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77879CF5">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0716249F">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F17513"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0E481BB6" w:rsidR="00F17513" w:rsidRDefault="00F17513" w:rsidP="00F1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90F93" w14:textId="3C3A2091" w:rsidR="00F17513" w:rsidRDefault="00F17513" w:rsidP="00F17513">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lastRenderedPageBreak/>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662BBC"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F70D2BA"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15937A2D"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B12247" w14:textId="7650D1F4" w:rsidR="00662BBC" w:rsidRPr="00C37F0B" w:rsidRDefault="00662BBC" w:rsidP="00662BBC">
            <w:pPr>
              <w:snapToGrid w:val="0"/>
              <w:rPr>
                <w:rFonts w:ascii="Times" w:eastAsiaTheme="minorEastAsia" w:hAnsi="Times" w:cs="Times"/>
                <w:b/>
                <w:color w:val="000000" w:themeColor="text1"/>
                <w:sz w:val="18"/>
                <w:szCs w:val="20"/>
                <w:lang w:val="en-GB" w:eastAsia="zh-CN"/>
              </w:rPr>
            </w:pPr>
          </w:p>
        </w:tc>
      </w:tr>
      <w:tr w:rsidR="00662BBC"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9BD7A2"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9BD7A2"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9BD7A2"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3203A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3203A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3203A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3203A3"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9BD7A2"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9BD7A2"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w:t>
            </w:r>
            <w:proofErr w:type="gramStart"/>
            <w:r w:rsidR="008119D0">
              <w:rPr>
                <w:rFonts w:eastAsia="Batang"/>
                <w:color w:val="3333FF"/>
                <w:sz w:val="18"/>
                <w:szCs w:val="20"/>
                <w:lang w:val="en-GB"/>
              </w:rPr>
              <w:t>3.C.</w:t>
            </w:r>
            <w:proofErr w:type="gramEnd"/>
            <w:r w:rsidR="008119D0">
              <w:rPr>
                <w:rFonts w:eastAsia="Batang"/>
                <w:color w:val="3333FF"/>
                <w:sz w:val="18"/>
                <w:szCs w:val="20"/>
                <w:lang w:val="en-GB"/>
              </w:rPr>
              <w:t>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lastRenderedPageBreak/>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3203A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3203A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3203A3"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3203A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3203A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lastRenderedPageBreak/>
              <w:t xml:space="preserve">Support/fine: </w:t>
            </w:r>
            <w:r w:rsidRPr="00CF1EF7">
              <w:rPr>
                <w:sz w:val="18"/>
                <w:szCs w:val="18"/>
                <w:lang w:val="en-GB"/>
              </w:rPr>
              <w:t>vivo, Samsung, Ericsson, Xiaomi, NTT DOCOMO, ZTE, Apple, Intel, Qualcomm, CATT, IDC</w:t>
            </w:r>
            <w:r>
              <w:rPr>
                <w:sz w:val="18"/>
                <w:szCs w:val="18"/>
                <w:lang w:val="en-GB"/>
              </w:rPr>
              <w:t xml:space="preserve">, Intel, </w:t>
            </w:r>
            <w:r>
              <w:rPr>
                <w:sz w:val="18"/>
                <w:szCs w:val="18"/>
                <w:lang w:val="en-GB"/>
              </w:rPr>
              <w:lastRenderedPageBreak/>
              <w:t xml:space="preserve">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w:t>
            </w:r>
            <w:r>
              <w:rPr>
                <w:sz w:val="18"/>
                <w:szCs w:val="18"/>
              </w:rPr>
              <w:lastRenderedPageBreak/>
              <w:t>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lastRenderedPageBreak/>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lastRenderedPageBreak/>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w:t>
            </w:r>
            <w:proofErr w:type="gramStart"/>
            <w:r w:rsidRPr="00685EB0">
              <w:rPr>
                <w:rFonts w:ascii="Times" w:eastAsia="Batang" w:hAnsi="Times"/>
                <w:sz w:val="16"/>
                <w:highlight w:val="yellow"/>
                <w:lang w:val="en-GB"/>
              </w:rPr>
              <w:t>sets</w:t>
            </w:r>
            <w:proofErr w:type="gramEnd"/>
            <w:r w:rsidRPr="00685EB0">
              <w:rPr>
                <w:rFonts w:ascii="Times" w:eastAsia="Batang" w:hAnsi="Times"/>
                <w:sz w:val="16"/>
                <w:highlight w:val="yellow"/>
                <w:lang w:val="en-GB"/>
              </w:rPr>
              <w:t xml:space="preserve">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ko-KR"/>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B8E8F23">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6F40C75">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bookmarkStart w:id="8" w:name="_GoBack"/>
            <w:bookmarkEnd w:id="8"/>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3203A3"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3203A3"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3203A3"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3203A3"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3203A3"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3203A3"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3203A3"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3203A3"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3203A3"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3203A3"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3203A3"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3203A3"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3203A3"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3203A3"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3203A3"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3203A3"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3203A3"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3203A3"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3203A3"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3203A3"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3203A3"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3203A3"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3203A3"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3203A3"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3203A3"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3203A3"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3203A3"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3203A3"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3203A3"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AB63" w14:textId="77777777" w:rsidR="003203A3" w:rsidRDefault="003203A3" w:rsidP="001E51B2">
      <w:r>
        <w:separator/>
      </w:r>
    </w:p>
  </w:endnote>
  <w:endnote w:type="continuationSeparator" w:id="0">
    <w:p w14:paraId="5875FC9F" w14:textId="77777777" w:rsidR="003203A3" w:rsidRDefault="003203A3"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84E9" w14:textId="77777777" w:rsidR="003203A3" w:rsidRDefault="003203A3" w:rsidP="001E51B2">
      <w:r>
        <w:separator/>
      </w:r>
    </w:p>
  </w:footnote>
  <w:footnote w:type="continuationSeparator" w:id="0">
    <w:p w14:paraId="54F85887" w14:textId="77777777" w:rsidR="003203A3" w:rsidRDefault="003203A3"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32"/>
  </w:num>
  <w:num w:numId="5">
    <w:abstractNumId w:val="40"/>
  </w:num>
  <w:num w:numId="6">
    <w:abstractNumId w:val="20"/>
  </w:num>
  <w:num w:numId="7">
    <w:abstractNumId w:val="25"/>
  </w:num>
  <w:num w:numId="8">
    <w:abstractNumId w:val="28"/>
  </w:num>
  <w:num w:numId="9">
    <w:abstractNumId w:val="31"/>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5"/>
  </w:num>
  <w:num w:numId="15">
    <w:abstractNumId w:val="17"/>
  </w:num>
  <w:num w:numId="16">
    <w:abstractNumId w:val="26"/>
  </w:num>
  <w:num w:numId="17">
    <w:abstractNumId w:val="13"/>
  </w:num>
  <w:num w:numId="18">
    <w:abstractNumId w:val="2"/>
  </w:num>
  <w:num w:numId="19">
    <w:abstractNumId w:val="21"/>
  </w:num>
  <w:num w:numId="20">
    <w:abstractNumId w:val="19"/>
  </w:num>
  <w:num w:numId="21">
    <w:abstractNumId w:val="1"/>
  </w:num>
  <w:num w:numId="22">
    <w:abstractNumId w:val="37"/>
  </w:num>
  <w:num w:numId="23">
    <w:abstractNumId w:val="6"/>
  </w:num>
  <w:num w:numId="24">
    <w:abstractNumId w:val="41"/>
  </w:num>
  <w:num w:numId="25">
    <w:abstractNumId w:val="18"/>
  </w:num>
  <w:num w:numId="26">
    <w:abstractNumId w:val="29"/>
  </w:num>
  <w:num w:numId="27">
    <w:abstractNumId w:val="10"/>
  </w:num>
  <w:num w:numId="28">
    <w:abstractNumId w:val="0"/>
  </w:num>
  <w:num w:numId="29">
    <w:abstractNumId w:val="9"/>
  </w:num>
  <w:num w:numId="30">
    <w:abstractNumId w:val="12"/>
  </w:num>
  <w:num w:numId="31">
    <w:abstractNumId w:val="8"/>
  </w:num>
  <w:num w:numId="32">
    <w:abstractNumId w:val="36"/>
  </w:num>
  <w:num w:numId="33">
    <w:abstractNumId w:val="14"/>
  </w:num>
  <w:num w:numId="34">
    <w:abstractNumId w:val="16"/>
  </w:num>
  <w:num w:numId="35">
    <w:abstractNumId w:val="34"/>
  </w:num>
  <w:num w:numId="36">
    <w:abstractNumId w:val="22"/>
  </w:num>
  <w:num w:numId="37">
    <w:abstractNumId w:val="24"/>
  </w:num>
  <w:num w:numId="38">
    <w:abstractNumId w:val="15"/>
  </w:num>
  <w:num w:numId="39">
    <w:abstractNumId w:val="3"/>
  </w:num>
  <w:num w:numId="40">
    <w:abstractNumId w:val="11"/>
  </w:num>
  <w:num w:numId="41">
    <w:abstractNumId w:val="3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1.png@01DAA8B6.C9E20CC0" TargetMode="External"/><Relationship Id="rId29" Type="http://schemas.openxmlformats.org/officeDocument/2006/relationships/image" Target="media/image9.png"/><Relationship Id="rId11"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image" Target="media/image12.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0.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image" Target="media/image13.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zh-CN"/>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55072"/>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zh-CN"/>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71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6401C62D-0B79-4B6C-9E54-DB94115ED3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21</Pages>
  <Words>7901</Words>
  <Characters>45037</Characters>
  <Application>Microsoft Office Word</Application>
  <DocSecurity>0</DocSecurity>
  <Lines>375</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Wenhong Chen</cp:lastModifiedBy>
  <cp:revision>14</cp:revision>
  <cp:lastPrinted>2021-10-06T09:28:00Z</cp:lastPrinted>
  <dcterms:created xsi:type="dcterms:W3CDTF">2024-05-20T09:14:00Z</dcterms:created>
  <dcterms:modified xsi:type="dcterms:W3CDTF">2024-05-20T12:15:00Z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