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7D5FFC">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pt" o:ole="">
                  <v:imagedata r:id="rId21" o:title=""/>
                </v:shape>
                <o:OLEObject Type="Embed" ProgID="Visio.Drawing.15" ShapeID="_x0000_i1025" DrawAspect="Content" ObjectID="_1777868864"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65pt;height:49.45pt" o:ole="">
                  <v:imagedata r:id="rId23" o:title=""/>
                </v:shape>
                <o:OLEObject Type="Embed" ProgID="Visio.Drawing.15" ShapeID="_x0000_i1026" DrawAspect="Content" ObjectID="_1777868865"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55pt;height:51.35pt" o:ole="">
                  <v:imagedata r:id="rId26" o:title=""/>
                </v:shape>
                <o:OLEObject Type="Embed" ProgID="Visio.Drawing.15" ShapeID="_x0000_i1027" DrawAspect="Content" ObjectID="_1777868866"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5pt;height:73.9pt" o:ole="">
                  <v:imagedata r:id="rId29" o:title=""/>
                </v:shape>
                <o:OLEObject Type="Embed" ProgID="Visio.Drawing.15" ShapeID="_x0000_i1028" DrawAspect="Content" ObjectID="_1777868867"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hint="eastAsia"/>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were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hint="eastAsia"/>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bl>
    <w:p w14:paraId="51040C1D" w14:textId="77777777" w:rsidR="00293A4E" w:rsidRDefault="00293A4E"/>
    <w:p w14:paraId="235190B3" w14:textId="77777777" w:rsidR="00293A4E" w:rsidRDefault="00293A4E"/>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lastRenderedPageBreak/>
              <w:drawing>
                <wp:inline distT="0" distB="0" distL="0" distR="0" wp14:anchorId="28DA288F" wp14:editId="7CC38B6E">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68868"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lastRenderedPageBreak/>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lastRenderedPageBreak/>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lastRenderedPageBreak/>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lastRenderedPageBreak/>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w:t>
            </w:r>
            <w:r w:rsidR="003D6DB3">
              <w:rPr>
                <w:rFonts w:eastAsia="Malgun Gothic" w:hint="eastAsia"/>
                <w:lang w:eastAsia="ko-KR"/>
              </w:rPr>
              <w:t xml:space="preserve"> For example, pattern/ratio would be semi-static and number of occasion would be dynamic. Considering unpredictable benefit of UAI, it is 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hint="eastAsia"/>
                <w:lang w:eastAsia="ko-KR"/>
              </w:rPr>
            </w:pPr>
            <w:r>
              <w:rPr>
                <w:rFonts w:eastAsia="Malgun Gothic"/>
                <w:lang w:eastAsia="ko-KR"/>
              </w:rPr>
              <w:t>Moderator</w:t>
            </w:r>
          </w:p>
        </w:tc>
        <w:tc>
          <w:tcPr>
            <w:tcW w:w="7507" w:type="dxa"/>
          </w:tcPr>
          <w:p w14:paraId="40DFE33D" w14:textId="16A2A4D8" w:rsidR="00700F51" w:rsidRDefault="00700F51" w:rsidP="00700F51">
            <w:pPr>
              <w:rPr>
                <w:lang w:val="en-US"/>
              </w:rPr>
            </w:pPr>
            <w:r w:rsidRPr="00700F51">
              <w:rPr>
                <w:b/>
                <w:bCs/>
                <w:highlight w:val="cyan"/>
                <w:lang w:val="en-US"/>
              </w:rPr>
              <w:t>Moderator’s s</w:t>
            </w:r>
            <w:r w:rsidRPr="00700F51">
              <w:rPr>
                <w:b/>
                <w:bCs/>
                <w:highlight w:val="cyan"/>
                <w:lang w:val="en-US"/>
              </w:rPr>
              <w:t>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lastRenderedPageBreak/>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hint="eastAsia"/>
                <w:lang w:val="en-US" w:eastAsia="ko-KR"/>
              </w:rPr>
            </w:pPr>
          </w:p>
        </w:tc>
      </w:tr>
    </w:tbl>
    <w:p w14:paraId="010A1BAD" w14:textId="77777777" w:rsidR="00293A4E" w:rsidRDefault="00293A4E"/>
    <w:p w14:paraId="7BD47EE8" w14:textId="77777777" w:rsidR="00293A4E" w:rsidRDefault="00293A4E"/>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lastRenderedPageBreak/>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lastRenderedPageBreak/>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lastRenderedPageBreak/>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FDDE" w14:textId="77777777" w:rsidR="004945D2" w:rsidRDefault="004945D2">
      <w:pPr>
        <w:spacing w:after="0"/>
      </w:pPr>
      <w:r>
        <w:separator/>
      </w:r>
    </w:p>
  </w:endnote>
  <w:endnote w:type="continuationSeparator" w:id="0">
    <w:p w14:paraId="5AE649DB" w14:textId="77777777" w:rsidR="004945D2" w:rsidRDefault="00494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8B83" w14:textId="77777777" w:rsidR="004945D2" w:rsidRDefault="004945D2">
      <w:pPr>
        <w:spacing w:after="0"/>
      </w:pPr>
      <w:r>
        <w:separator/>
      </w:r>
    </w:p>
  </w:footnote>
  <w:footnote w:type="continuationSeparator" w:id="0">
    <w:p w14:paraId="34EAFF73" w14:textId="77777777" w:rsidR="004945D2" w:rsidRDefault="004945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5"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2"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9087034">
    <w:abstractNumId w:val="30"/>
  </w:num>
  <w:num w:numId="2" w16cid:durableId="1625043407">
    <w:abstractNumId w:val="34"/>
  </w:num>
  <w:num w:numId="3" w16cid:durableId="31656192">
    <w:abstractNumId w:val="2"/>
  </w:num>
  <w:num w:numId="4" w16cid:durableId="785464499">
    <w:abstractNumId w:val="55"/>
  </w:num>
  <w:num w:numId="5" w16cid:durableId="2115513468">
    <w:abstractNumId w:val="7"/>
  </w:num>
  <w:num w:numId="6" w16cid:durableId="1447775481">
    <w:abstractNumId w:val="70"/>
  </w:num>
  <w:num w:numId="7" w16cid:durableId="249002892">
    <w:abstractNumId w:val="13"/>
  </w:num>
  <w:num w:numId="8" w16cid:durableId="1553038659">
    <w:abstractNumId w:val="24"/>
  </w:num>
  <w:num w:numId="9" w16cid:durableId="1766489092">
    <w:abstractNumId w:val="23"/>
  </w:num>
  <w:num w:numId="10" w16cid:durableId="1314602027">
    <w:abstractNumId w:val="27"/>
  </w:num>
  <w:num w:numId="11" w16cid:durableId="120659959">
    <w:abstractNumId w:val="48"/>
  </w:num>
  <w:num w:numId="12" w16cid:durableId="1469587912">
    <w:abstractNumId w:val="25"/>
  </w:num>
  <w:num w:numId="13" w16cid:durableId="927808332">
    <w:abstractNumId w:val="37"/>
  </w:num>
  <w:num w:numId="14" w16cid:durableId="740756425">
    <w:abstractNumId w:val="71"/>
  </w:num>
  <w:num w:numId="15" w16cid:durableId="434716543">
    <w:abstractNumId w:val="64"/>
  </w:num>
  <w:num w:numId="16" w16cid:durableId="1414468881">
    <w:abstractNumId w:val="62"/>
  </w:num>
  <w:num w:numId="17" w16cid:durableId="1848522336">
    <w:abstractNumId w:val="63"/>
  </w:num>
  <w:num w:numId="18" w16cid:durableId="1128818690">
    <w:abstractNumId w:val="43"/>
  </w:num>
  <w:num w:numId="19" w16cid:durableId="708339108">
    <w:abstractNumId w:val="1"/>
  </w:num>
  <w:num w:numId="20" w16cid:durableId="872033571">
    <w:abstractNumId w:val="67"/>
  </w:num>
  <w:num w:numId="21" w16cid:durableId="1403992084">
    <w:abstractNumId w:val="57"/>
  </w:num>
  <w:num w:numId="22" w16cid:durableId="1014527278">
    <w:abstractNumId w:val="66"/>
  </w:num>
  <w:num w:numId="23" w16cid:durableId="1378552238">
    <w:abstractNumId w:val="52"/>
  </w:num>
  <w:num w:numId="24" w16cid:durableId="522599679">
    <w:abstractNumId w:val="21"/>
  </w:num>
  <w:num w:numId="25" w16cid:durableId="1030910813">
    <w:abstractNumId w:val="35"/>
  </w:num>
  <w:num w:numId="26" w16cid:durableId="1473251340">
    <w:abstractNumId w:val="6"/>
  </w:num>
  <w:num w:numId="27" w16cid:durableId="1883057893">
    <w:abstractNumId w:val="40"/>
  </w:num>
  <w:num w:numId="28" w16cid:durableId="1765878843">
    <w:abstractNumId w:val="22"/>
  </w:num>
  <w:num w:numId="29" w16cid:durableId="1815751488">
    <w:abstractNumId w:val="44"/>
  </w:num>
  <w:num w:numId="30" w16cid:durableId="881134956">
    <w:abstractNumId w:val="51"/>
  </w:num>
  <w:num w:numId="31" w16cid:durableId="1642735140">
    <w:abstractNumId w:val="73"/>
  </w:num>
  <w:num w:numId="32" w16cid:durableId="1375814866">
    <w:abstractNumId w:val="38"/>
  </w:num>
  <w:num w:numId="33" w16cid:durableId="1629360729">
    <w:abstractNumId w:val="65"/>
  </w:num>
  <w:num w:numId="34" w16cid:durableId="434832957">
    <w:abstractNumId w:val="58"/>
  </w:num>
  <w:num w:numId="35" w16cid:durableId="2136829937">
    <w:abstractNumId w:val="19"/>
  </w:num>
  <w:num w:numId="36" w16cid:durableId="1223061146">
    <w:abstractNumId w:val="29"/>
  </w:num>
  <w:num w:numId="37" w16cid:durableId="1586453645">
    <w:abstractNumId w:val="59"/>
  </w:num>
  <w:num w:numId="38" w16cid:durableId="948270930">
    <w:abstractNumId w:val="0"/>
  </w:num>
  <w:num w:numId="39" w16cid:durableId="1326784500">
    <w:abstractNumId w:val="72"/>
  </w:num>
  <w:num w:numId="40" w16cid:durableId="671102488">
    <w:abstractNumId w:val="9"/>
  </w:num>
  <w:num w:numId="41" w16cid:durableId="28603569">
    <w:abstractNumId w:val="12"/>
  </w:num>
  <w:num w:numId="42" w16cid:durableId="2090810478">
    <w:abstractNumId w:val="41"/>
  </w:num>
  <w:num w:numId="43" w16cid:durableId="1655910504">
    <w:abstractNumId w:val="3"/>
  </w:num>
  <w:num w:numId="44" w16cid:durableId="185946740">
    <w:abstractNumId w:val="28"/>
  </w:num>
  <w:num w:numId="45" w16cid:durableId="276839655">
    <w:abstractNumId w:val="68"/>
  </w:num>
  <w:num w:numId="46" w16cid:durableId="335349523">
    <w:abstractNumId w:val="11"/>
  </w:num>
  <w:num w:numId="47" w16cid:durableId="1530139333">
    <w:abstractNumId w:val="49"/>
  </w:num>
  <w:num w:numId="48" w16cid:durableId="777455185">
    <w:abstractNumId w:val="61"/>
  </w:num>
  <w:num w:numId="49" w16cid:durableId="1984656225">
    <w:abstractNumId w:val="16"/>
  </w:num>
  <w:num w:numId="50" w16cid:durableId="733546078">
    <w:abstractNumId w:val="4"/>
  </w:num>
  <w:num w:numId="51" w16cid:durableId="692073588">
    <w:abstractNumId w:val="18"/>
  </w:num>
  <w:num w:numId="52" w16cid:durableId="740130803">
    <w:abstractNumId w:val="33"/>
  </w:num>
  <w:num w:numId="53" w16cid:durableId="1651403177">
    <w:abstractNumId w:val="15"/>
  </w:num>
  <w:num w:numId="54" w16cid:durableId="1943610070">
    <w:abstractNumId w:val="46"/>
  </w:num>
  <w:num w:numId="55" w16cid:durableId="1823424800">
    <w:abstractNumId w:val="17"/>
  </w:num>
  <w:num w:numId="56" w16cid:durableId="936063758">
    <w:abstractNumId w:val="32"/>
  </w:num>
  <w:num w:numId="57" w16cid:durableId="1024592896">
    <w:abstractNumId w:val="39"/>
  </w:num>
  <w:num w:numId="58" w16cid:durableId="612633872">
    <w:abstractNumId w:val="36"/>
  </w:num>
  <w:num w:numId="59" w16cid:durableId="886260703">
    <w:abstractNumId w:val="53"/>
  </w:num>
  <w:num w:numId="60" w16cid:durableId="1900706912">
    <w:abstractNumId w:val="50"/>
  </w:num>
  <w:num w:numId="61" w16cid:durableId="718482712">
    <w:abstractNumId w:val="54"/>
  </w:num>
  <w:num w:numId="62" w16cid:durableId="1711570302">
    <w:abstractNumId w:val="47"/>
  </w:num>
  <w:num w:numId="63" w16cid:durableId="1006371327">
    <w:abstractNumId w:val="45"/>
  </w:num>
  <w:num w:numId="64" w16cid:durableId="219444511">
    <w:abstractNumId w:val="14"/>
  </w:num>
  <w:num w:numId="65" w16cid:durableId="307593096">
    <w:abstractNumId w:val="8"/>
  </w:num>
  <w:num w:numId="66" w16cid:durableId="2121799879">
    <w:abstractNumId w:val="60"/>
  </w:num>
  <w:num w:numId="67" w16cid:durableId="241716802">
    <w:abstractNumId w:val="56"/>
  </w:num>
  <w:num w:numId="68" w16cid:durableId="548734167">
    <w:abstractNumId w:val="42"/>
  </w:num>
  <w:num w:numId="69" w16cid:durableId="2051342624">
    <w:abstractNumId w:val="10"/>
  </w:num>
  <w:num w:numId="70" w16cid:durableId="939215484">
    <w:abstractNumId w:val="5"/>
  </w:num>
  <w:num w:numId="71" w16cid:durableId="991179109">
    <w:abstractNumId w:val="31"/>
  </w:num>
  <w:num w:numId="72" w16cid:durableId="1797674778">
    <w:abstractNumId w:val="69"/>
  </w:num>
  <w:num w:numId="73" w16cid:durableId="215706288">
    <w:abstractNumId w:val="20"/>
  </w:num>
  <w:num w:numId="74" w16cid:durableId="1571766760">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45D2"/>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270058FA-0D23-48CE-B8AC-0082D2249B8A}">
  <ds:schemaRefs>
    <ds:schemaRef ds:uri="http://schemas.openxmlformats.org/officeDocument/2006/bibliography"/>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60</TotalTime>
  <Pages>64</Pages>
  <Words>24921</Words>
  <Characters>142056</Characters>
  <Application>Microsoft Office Word</Application>
  <DocSecurity>0</DocSecurity>
  <Lines>1183</Lines>
  <Paragraphs>333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22</cp:revision>
  <cp:lastPrinted>2016-06-20T11:35:00Z</cp:lastPrinted>
  <dcterms:created xsi:type="dcterms:W3CDTF">2024-05-22T01:54:00Z</dcterms:created>
  <dcterms:modified xsi:type="dcterms:W3CDTF">2024-05-22T04:40:00Z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