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24B1" w14:textId="77777777" w:rsidR="00293A4E" w:rsidRDefault="007D5FFC">
      <w:pPr>
        <w:pStyle w:val="af"/>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7D5FFC">
      <w:pPr>
        <w:pStyle w:val="af"/>
        <w:rPr>
          <w:bCs/>
          <w:sz w:val="24"/>
          <w:szCs w:val="24"/>
        </w:rPr>
      </w:pPr>
      <w:r>
        <w:rPr>
          <w:bCs/>
          <w:sz w:val="24"/>
          <w:szCs w:val="24"/>
        </w:rPr>
        <w:t>Fukuoka City, Fukuoka, Japan, May 20th – 24th, 2024</w:t>
      </w:r>
    </w:p>
    <w:p w14:paraId="023C21CB" w14:textId="77777777" w:rsidR="00293A4E" w:rsidRDefault="00293A4E">
      <w:pPr>
        <w:pStyle w:val="af"/>
        <w:rPr>
          <w:bCs/>
          <w:sz w:val="24"/>
          <w:szCs w:val="24"/>
        </w:rPr>
      </w:pPr>
    </w:p>
    <w:p w14:paraId="57E92609" w14:textId="77777777" w:rsidR="00293A4E" w:rsidRDefault="00293A4E">
      <w:pPr>
        <w:pStyle w:val="af"/>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1"/>
      </w:pPr>
      <w:r>
        <w:t>Introduction</w:t>
      </w:r>
    </w:p>
    <w:p w14:paraId="2CA2B454" w14:textId="77777777" w:rsidR="00293A4E" w:rsidRDefault="007D5FFC">
      <w:r>
        <w:t>The following objectives were agreed to be part of Rel19 WI on XR, XR (eXtended Reality) for NR Phase 3 [1]:</w:t>
      </w:r>
    </w:p>
    <w:tbl>
      <w:tblPr>
        <w:tblStyle w:val="af5"/>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1"/>
      </w:pPr>
      <w:r>
        <w:t>Enabling TX/RX for XR during RRM measurements</w:t>
      </w:r>
    </w:p>
    <w:p w14:paraId="4358CF1E" w14:textId="77777777" w:rsidR="00293A4E" w:rsidRDefault="00293A4E"/>
    <w:p w14:paraId="410E77F5" w14:textId="77777777" w:rsidR="00293A4E" w:rsidRDefault="007D5FFC">
      <w:pPr>
        <w:pStyle w:val="2"/>
      </w:pPr>
      <w:r>
        <w:t>Solutions based on network signalling</w:t>
      </w:r>
    </w:p>
    <w:p w14:paraId="631CC579" w14:textId="77777777" w:rsidR="00293A4E" w:rsidRDefault="00293A4E"/>
    <w:p w14:paraId="61D09A22" w14:textId="77777777" w:rsidR="00293A4E" w:rsidRDefault="007D5FFC">
      <w:pPr>
        <w:pStyle w:val="3"/>
      </w:pPr>
      <w:r>
        <w:t>General</w:t>
      </w:r>
    </w:p>
    <w:p w14:paraId="1AB5E8C4" w14:textId="77777777" w:rsidR="00293A4E" w:rsidRDefault="007D5FFC">
      <w:pPr>
        <w:pStyle w:val="4"/>
      </w:pPr>
      <w:r>
        <w:t>Companies proposals and observations</w:t>
      </w:r>
    </w:p>
    <w:p w14:paraId="4FAF5595" w14:textId="77777777" w:rsidR="00293A4E" w:rsidRDefault="00293A4E"/>
    <w:tbl>
      <w:tblPr>
        <w:tblStyle w:val="af5"/>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3"/>
      </w:pPr>
      <w:r>
        <w:lastRenderedPageBreak/>
        <w:t>Dynamic indication (Alt. 1)</w:t>
      </w:r>
    </w:p>
    <w:p w14:paraId="1DE75C9C" w14:textId="77777777" w:rsidR="00293A4E" w:rsidRDefault="007D5FFC">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For network based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afa"/>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ab"/>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65FEEE1B" w14:textId="77777777" w:rsidR="00293A4E" w:rsidRDefault="007D5FFC">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 ,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3"/>
      </w:pPr>
      <w:r>
        <w:t>Semi-persistent solution (Alt. 2)</w:t>
      </w:r>
    </w:p>
    <w:p w14:paraId="46E2A35B" w14:textId="77777777" w:rsidR="00293A4E" w:rsidRDefault="007D5FFC">
      <w:pPr>
        <w:pStyle w:val="4"/>
      </w:pPr>
      <w:r>
        <w:t>Companies proposals and observations</w:t>
      </w:r>
    </w:p>
    <w:tbl>
      <w:tblPr>
        <w:tblStyle w:val="af5"/>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afa"/>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7.4pt" o:ole="">
                  <v:imagedata r:id="rId21" o:title=""/>
                </v:shape>
                <o:OLEObject Type="Embed" ProgID="Visio.Drawing.15" ShapeID="_x0000_i1025" DrawAspect="Content" ObjectID="_1777877877"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5.55pt;height:48.95pt" o:ole="">
                  <v:imagedata r:id="rId23" o:title=""/>
                </v:shape>
                <o:OLEObject Type="Embed" ProgID="Visio.Drawing.15" ShapeID="_x0000_i1026" DrawAspect="Content" ObjectID="_1777877878"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3"/>
      </w:pPr>
      <w:r>
        <w:lastRenderedPageBreak/>
        <w:t>Semi-static solution (Alt. 3)</w:t>
      </w:r>
    </w:p>
    <w:p w14:paraId="39AB3913" w14:textId="77777777" w:rsidR="00293A4E" w:rsidRDefault="007D5FFC">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ab"/>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For network based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1FBFF82B"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45pt;height:50.7pt" o:ole="">
                  <v:imagedata r:id="rId26" o:title=""/>
                </v:shape>
                <o:OLEObject Type="Embed" ProgID="Visio.Drawing.15" ShapeID="_x0000_i1027" DrawAspect="Content" ObjectID="_1777877879" r:id="rId27"/>
              </w:object>
            </w:r>
          </w:p>
          <w:p w14:paraId="0D168B20" w14:textId="77777777" w:rsidR="00293A4E" w:rsidRDefault="007D5FFC">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a6"/>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1pt;height:74.3pt" o:ole="">
                  <v:imagedata r:id="rId29" o:title=""/>
                </v:shape>
                <o:OLEObject Type="Embed" ProgID="Visio.Drawing.15" ShapeID="_x0000_i1028" DrawAspect="Content" ObjectID="_1777877880" r:id="rId30"/>
              </w:object>
            </w:r>
          </w:p>
          <w:p w14:paraId="2B2270BC" w14:textId="77777777" w:rsidR="00293A4E" w:rsidRDefault="007D5FFC">
            <w:pPr>
              <w:pStyle w:val="a6"/>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3"/>
      </w:pPr>
      <w:r>
        <w:lastRenderedPageBreak/>
        <w:t>Combination of alternatives</w:t>
      </w:r>
    </w:p>
    <w:p w14:paraId="4B2053C9" w14:textId="77777777" w:rsidR="00293A4E" w:rsidRDefault="007D5FFC">
      <w:pPr>
        <w:pStyle w:val="4"/>
      </w:pPr>
      <w:r>
        <w:t>Companies proposals and observations</w:t>
      </w:r>
    </w:p>
    <w:p w14:paraId="323B348A" w14:textId="77777777" w:rsidR="00293A4E" w:rsidRDefault="00293A4E"/>
    <w:tbl>
      <w:tblPr>
        <w:tblStyle w:val="af5"/>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afa"/>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afa"/>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afa"/>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afa"/>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afa"/>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afa"/>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afa"/>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afa"/>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afa"/>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afa"/>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afa"/>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afa"/>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afa"/>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afa"/>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afa"/>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afa"/>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EF79339" w14:textId="77777777" w:rsidR="00293A4E" w:rsidRDefault="007D5FFC">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afa"/>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afa"/>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afa"/>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afa"/>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afa"/>
              <w:numPr>
                <w:ilvl w:val="0"/>
                <w:numId w:val="26"/>
              </w:numPr>
              <w:jc w:val="both"/>
              <w:rPr>
                <w:sz w:val="20"/>
                <w:szCs w:val="20"/>
              </w:rPr>
            </w:pPr>
            <w:r>
              <w:rPr>
                <w:sz w:val="20"/>
                <w:szCs w:val="20"/>
              </w:rPr>
              <w:t>Alt.1-1 (baseline) + Alt. 2-1a: Ericsson</w:t>
            </w:r>
          </w:p>
          <w:p w14:paraId="0EE5515F" w14:textId="77777777" w:rsidR="00293A4E" w:rsidRDefault="007D5FFC">
            <w:pPr>
              <w:pStyle w:val="afa"/>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afa"/>
              <w:numPr>
                <w:ilvl w:val="0"/>
                <w:numId w:val="26"/>
              </w:numPr>
              <w:jc w:val="both"/>
              <w:rPr>
                <w:sz w:val="20"/>
                <w:szCs w:val="20"/>
              </w:rPr>
            </w:pPr>
            <w:r>
              <w:rPr>
                <w:sz w:val="20"/>
                <w:szCs w:val="20"/>
              </w:rPr>
              <w:t>Alt. 1 + Alt. 2: MediaTek, Panasonic</w:t>
            </w:r>
          </w:p>
          <w:p w14:paraId="2C9653D6" w14:textId="77777777" w:rsidR="00293A4E" w:rsidRDefault="007D5FFC">
            <w:pPr>
              <w:pStyle w:val="afa"/>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afa"/>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afa"/>
        <w:numPr>
          <w:ilvl w:val="0"/>
          <w:numId w:val="27"/>
        </w:numPr>
        <w:jc w:val="both"/>
        <w:rPr>
          <w:sz w:val="20"/>
          <w:szCs w:val="20"/>
          <w:lang w:val="en-US"/>
        </w:rPr>
      </w:pPr>
      <w:r>
        <w:rPr>
          <w:sz w:val="20"/>
          <w:szCs w:val="20"/>
          <w:lang w:val="en-US"/>
        </w:rPr>
        <w:t>DCI format</w:t>
      </w:r>
    </w:p>
    <w:p w14:paraId="1F661C2A" w14:textId="77777777" w:rsidR="00293A4E" w:rsidRDefault="007D5FFC">
      <w:pPr>
        <w:pStyle w:val="afa"/>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afa"/>
        <w:numPr>
          <w:ilvl w:val="1"/>
          <w:numId w:val="27"/>
        </w:numPr>
        <w:jc w:val="both"/>
        <w:rPr>
          <w:sz w:val="20"/>
          <w:szCs w:val="20"/>
        </w:rPr>
      </w:pPr>
      <w:r>
        <w:rPr>
          <w:sz w:val="20"/>
          <w:szCs w:val="20"/>
        </w:rPr>
        <w:t>New DCI format: LG, Nokia</w:t>
      </w:r>
    </w:p>
    <w:p w14:paraId="33F0F98F" w14:textId="77777777" w:rsidR="00293A4E" w:rsidRDefault="007D5FFC">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afa"/>
        <w:numPr>
          <w:ilvl w:val="0"/>
          <w:numId w:val="27"/>
        </w:numPr>
        <w:jc w:val="both"/>
        <w:rPr>
          <w:sz w:val="20"/>
          <w:szCs w:val="20"/>
          <w:lang w:val="en-US"/>
        </w:rPr>
      </w:pPr>
      <w:r>
        <w:rPr>
          <w:sz w:val="20"/>
          <w:szCs w:val="20"/>
          <w:lang w:val="en-US"/>
        </w:rPr>
        <w:t>DCI content</w:t>
      </w:r>
    </w:p>
    <w:p w14:paraId="04ACFD7F" w14:textId="77777777" w:rsidR="00293A4E" w:rsidRDefault="007D5FFC">
      <w:pPr>
        <w:pStyle w:val="afa"/>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afa"/>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afa"/>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afa"/>
        <w:numPr>
          <w:ilvl w:val="0"/>
          <w:numId w:val="27"/>
        </w:numPr>
        <w:jc w:val="both"/>
        <w:rPr>
          <w:sz w:val="20"/>
          <w:szCs w:val="20"/>
          <w:lang w:val="en-US"/>
        </w:rPr>
      </w:pPr>
      <w:r>
        <w:rPr>
          <w:sz w:val="20"/>
          <w:szCs w:val="20"/>
          <w:lang w:val="en-US"/>
        </w:rPr>
        <w:t>Applicability</w:t>
      </w:r>
    </w:p>
    <w:p w14:paraId="2AD04882" w14:textId="77777777" w:rsidR="00293A4E" w:rsidRDefault="007D5FFC">
      <w:pPr>
        <w:pStyle w:val="afa"/>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afa"/>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afa"/>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afa"/>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afa"/>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afa"/>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af5"/>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523B8035" w14:textId="77777777" w:rsidR="00293A4E" w:rsidRDefault="007D5FFC">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Q2: at least for DL, and maybe for tethered UL, the XR jitter may not be small; so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We do not support Alt2, which has unnessary signalling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afa"/>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afa"/>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afa"/>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afa"/>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0AA70039" w14:textId="77777777" w:rsidR="00293A4E" w:rsidRDefault="007D5FFC">
            <w:pPr>
              <w:pStyle w:val="afa"/>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afa"/>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afa"/>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afa"/>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afa"/>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afa"/>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afa"/>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afa"/>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afa"/>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afa"/>
        <w:numPr>
          <w:ilvl w:val="0"/>
          <w:numId w:val="38"/>
        </w:numPr>
        <w:rPr>
          <w:sz w:val="20"/>
          <w:szCs w:val="20"/>
          <w:lang w:val="en-US"/>
        </w:rPr>
      </w:pPr>
      <w:r>
        <w:rPr>
          <w:sz w:val="20"/>
          <w:szCs w:val="20"/>
          <w:lang w:val="en-US"/>
        </w:rPr>
        <w:t>Alt. 1 (dynamic indication).</w:t>
      </w:r>
    </w:p>
    <w:p w14:paraId="3A593566" w14:textId="77777777" w:rsidR="00293A4E" w:rsidRDefault="007D5FFC">
      <w:pPr>
        <w:pStyle w:val="afa"/>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afa"/>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afa"/>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afa"/>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afa"/>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afa"/>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af5"/>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Q5:-</w:t>
            </w:r>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r>
              <w:rPr>
                <w:rFonts w:hint="eastAsia"/>
                <w:b/>
                <w:bCs/>
                <w:lang w:val="en-US" w:eastAsia="zh-CN"/>
              </w:rPr>
              <w:t>2</w:t>
            </w:r>
            <w:r>
              <w:rPr>
                <w:b/>
                <w:bCs/>
                <w:lang w:val="en-US"/>
              </w:rPr>
              <w:t>:</w:t>
            </w:r>
            <w:bookmarkEnd w:id="7"/>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3A199B">
        <w:tc>
          <w:tcPr>
            <w:tcW w:w="2122" w:type="dxa"/>
          </w:tcPr>
          <w:p w14:paraId="5A7D77AD" w14:textId="77777777" w:rsidR="007D5FFC" w:rsidRDefault="007D5FFC" w:rsidP="003A199B">
            <w:pPr>
              <w:rPr>
                <w:lang w:eastAsia="zh-CN"/>
              </w:rPr>
            </w:pPr>
            <w:r>
              <w:rPr>
                <w:rFonts w:hint="eastAsia"/>
                <w:lang w:eastAsia="zh-CN"/>
              </w:rPr>
              <w:t>Qualcomm</w:t>
            </w:r>
          </w:p>
        </w:tc>
        <w:tc>
          <w:tcPr>
            <w:tcW w:w="7507" w:type="dxa"/>
          </w:tcPr>
          <w:p w14:paraId="1A64FF84" w14:textId="77777777" w:rsidR="007D5FFC" w:rsidRDefault="007D5FFC" w:rsidP="003A199B">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3A199B">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3A199B">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gNB can pre-configure in advance which measurement occasions will be skipped from gNB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14:paraId="2F44A8FA" w14:textId="78EB9310" w:rsidR="009807E5" w:rsidRDefault="009807E5" w:rsidP="009807E5">
            <w:r>
              <w:rPr>
                <w:rFonts w:hint="eastAsia"/>
                <w:lang w:eastAsia="zh-CN"/>
              </w:rPr>
              <w:t>I</w:t>
            </w:r>
            <w:r>
              <w:rPr>
                <w:lang w:eastAsia="zh-CN"/>
              </w:rPr>
              <w:t>n summary</w:t>
            </w:r>
            <w:r>
              <w:t>, we support alt 3, whether alt-1 can be supported as complementary solution in addition to alt 3 can be further discussed.</w:t>
            </w:r>
          </w:p>
        </w:tc>
      </w:tr>
      <w:tr w:rsidR="00293A4E" w14:paraId="286F4DAF" w14:textId="77777777">
        <w:tc>
          <w:tcPr>
            <w:tcW w:w="2122" w:type="dxa"/>
          </w:tcPr>
          <w:p w14:paraId="15A26695" w14:textId="77777777" w:rsidR="00293A4E" w:rsidRDefault="00293A4E"/>
        </w:tc>
        <w:tc>
          <w:tcPr>
            <w:tcW w:w="7507" w:type="dxa"/>
          </w:tcPr>
          <w:p w14:paraId="124627BE" w14:textId="77777777" w:rsidR="00293A4E" w:rsidRDefault="00293A4E"/>
        </w:tc>
      </w:tr>
    </w:tbl>
    <w:p w14:paraId="51040C1D" w14:textId="77777777" w:rsidR="00293A4E" w:rsidRDefault="00293A4E"/>
    <w:p w14:paraId="235190B3" w14:textId="77777777" w:rsidR="00293A4E" w:rsidRDefault="00293A4E"/>
    <w:p w14:paraId="0B28E68B" w14:textId="77777777" w:rsidR="00293A4E" w:rsidRDefault="007D5FFC">
      <w:pPr>
        <w:pStyle w:val="2"/>
      </w:pPr>
      <w:r>
        <w:t>Timeline discussion</w:t>
      </w:r>
    </w:p>
    <w:p w14:paraId="3B2108DC" w14:textId="77777777" w:rsidR="00293A4E" w:rsidRDefault="00293A4E"/>
    <w:p w14:paraId="7D5DB9C2"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lastRenderedPageBreak/>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6FF9FAD7">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a6"/>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a6"/>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w:t>
            </w:r>
            <w:r>
              <w:rPr>
                <w:color w:val="000000" w:themeColor="text1"/>
                <w:sz w:val="20"/>
                <w:szCs w:val="20"/>
                <w:lang w:val="en-GB"/>
              </w:rPr>
              <w:lastRenderedPageBreak/>
              <w:t xml:space="preserve">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441708F4">
                <v:shape id="_x0000_i1029" type="#_x0000_t75" style="width:136.5pt;height:1in" o:ole="">
                  <v:imagedata r:id="rId34" o:title=""/>
                </v:shape>
                <o:OLEObject Type="Embed" ProgID="Visio.Drawing.15" ShapeID="_x0000_i1029" DrawAspect="Content" ObjectID="_1777877881" r:id="rId35"/>
              </w:object>
            </w:r>
          </w:p>
          <w:p w14:paraId="1ACA435D" w14:textId="77777777" w:rsidR="00293A4E" w:rsidRDefault="007D5FFC">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lastRenderedPageBreak/>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Proposal 8: RAN1 discusses two UE capabilities to accommodate both small and large time offsets.</w:t>
            </w:r>
          </w:p>
          <w:p w14:paraId="6B552532" w14:textId="77777777" w:rsidR="00293A4E" w:rsidRDefault="007D5FFC">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Figure 8 Timeline consideration of dynamic signaling</w:t>
            </w:r>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3"/>
      </w:pPr>
      <w:r>
        <w:lastRenderedPageBreak/>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afa"/>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afa"/>
        <w:numPr>
          <w:ilvl w:val="1"/>
          <w:numId w:val="41"/>
        </w:numPr>
        <w:jc w:val="both"/>
        <w:rPr>
          <w:b/>
          <w:bCs/>
          <w:sz w:val="20"/>
          <w:szCs w:val="20"/>
          <w:lang w:val="en-US"/>
        </w:rPr>
      </w:pPr>
      <w:r>
        <w:rPr>
          <w:color w:val="000000"/>
          <w:sz w:val="20"/>
          <w:szCs w:val="20"/>
          <w:lang w:val="en-US"/>
        </w:rPr>
        <w:t>RRM measurements are highly related to UE implementation: MediaTek</w:t>
      </w:r>
    </w:p>
    <w:p w14:paraId="272AF776" w14:textId="77777777" w:rsidR="00293A4E" w:rsidRDefault="007D5FFC">
      <w:pPr>
        <w:pStyle w:val="afa"/>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afa"/>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afa"/>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afa"/>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afa"/>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afa"/>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afa"/>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afa"/>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afa"/>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afa"/>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afa"/>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173A2B">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173A2B">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lastRenderedPageBreak/>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afa"/>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afa"/>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afa"/>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afa"/>
              <w:numPr>
                <w:ilvl w:val="1"/>
                <w:numId w:val="43"/>
              </w:numPr>
              <w:rPr>
                <w:sz w:val="20"/>
                <w:szCs w:val="20"/>
              </w:rPr>
            </w:pPr>
            <w:r>
              <w:rPr>
                <w:sz w:val="20"/>
                <w:szCs w:val="20"/>
              </w:rPr>
              <w:t xml:space="preserve">Tproc1, Tproc2; </w:t>
            </w:r>
          </w:p>
          <w:p w14:paraId="37C8CEE8" w14:textId="77777777" w:rsidR="00293A4E" w:rsidRDefault="007D5FFC">
            <w:pPr>
              <w:pStyle w:val="afa"/>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afa"/>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afa"/>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afa"/>
              <w:numPr>
                <w:ilvl w:val="1"/>
                <w:numId w:val="43"/>
              </w:numPr>
              <w:rPr>
                <w:sz w:val="20"/>
                <w:szCs w:val="20"/>
                <w:lang w:val="en-US"/>
              </w:rPr>
            </w:pPr>
            <w:r>
              <w:rPr>
                <w:sz w:val="20"/>
                <w:szCs w:val="20"/>
                <w:lang w:val="en-US"/>
              </w:rPr>
              <w:t>Other value (indicate a value).</w:t>
            </w:r>
          </w:p>
          <w:p w14:paraId="1DFA8B9E" w14:textId="77777777" w:rsidR="00293A4E" w:rsidRDefault="007D5FFC">
            <w:pPr>
              <w:pStyle w:val="afa"/>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af5"/>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gNB/UE procedure for RRM measurement. </w:t>
            </w:r>
          </w:p>
          <w:p w14:paraId="3470933B" w14:textId="77777777" w:rsidR="00293A4E" w:rsidRDefault="007D5FFC">
            <w:r>
              <w:rPr>
                <w:rFonts w:eastAsia="Malgun Gothic" w:hint="eastAsia"/>
                <w:lang w:eastAsia="ko-KR"/>
              </w:rPr>
              <w:lastRenderedPageBreak/>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lastRenderedPageBreak/>
              <w:t>Fraunhofer</w:t>
            </w:r>
          </w:p>
        </w:tc>
        <w:tc>
          <w:tcPr>
            <w:tcW w:w="7507" w:type="dxa"/>
          </w:tcPr>
          <w:p w14:paraId="514EB4E5" w14:textId="77777777" w:rsidR="00293A4E" w:rsidRDefault="007D5FFC">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7777777" w:rsidR="00293A4E" w:rsidRDefault="00293A4E">
            <w:pPr>
              <w:rPr>
                <w:lang w:eastAsia="zh-CN"/>
              </w:rPr>
            </w:pPr>
          </w:p>
        </w:tc>
        <w:tc>
          <w:tcPr>
            <w:tcW w:w="7507" w:type="dxa"/>
          </w:tcPr>
          <w:p w14:paraId="136F8831" w14:textId="77777777" w:rsidR="00293A4E" w:rsidRDefault="00293A4E"/>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2"/>
      </w:pPr>
      <w:r>
        <w:t>UE assistance information</w:t>
      </w:r>
    </w:p>
    <w:p w14:paraId="3AA92140" w14:textId="77777777" w:rsidR="00293A4E" w:rsidRDefault="00293A4E"/>
    <w:p w14:paraId="056D7476" w14:textId="77777777" w:rsidR="00293A4E" w:rsidRDefault="007D5FFC">
      <w:pPr>
        <w:pStyle w:val="3"/>
      </w:pPr>
      <w:r>
        <w:lastRenderedPageBreak/>
        <w:t>Companies proposals and observations</w:t>
      </w:r>
    </w:p>
    <w:tbl>
      <w:tblPr>
        <w:tblStyle w:val="af5"/>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provide assistance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lastRenderedPageBreak/>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lastRenderedPageBreak/>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lastRenderedPageBreak/>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lastRenderedPageBreak/>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t xml:space="preserve">Proposal 9. </w:t>
            </w:r>
            <w:r>
              <w:tab/>
              <w:t xml:space="preserve">UE assistance information to enable Tx/Rx in gaps/restrictions consists of: </w:t>
            </w:r>
          </w:p>
          <w:p w14:paraId="5D49769E" w14:textId="77777777" w:rsidR="00293A4E" w:rsidRDefault="007D5FFC">
            <w:pPr>
              <w:pStyle w:val="afa"/>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afa"/>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 :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afa"/>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afa"/>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lastRenderedPageBreak/>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afa"/>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afa"/>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a6"/>
              <w:jc w:val="center"/>
              <w:rPr>
                <w:bCs/>
              </w:rPr>
            </w:pPr>
          </w:p>
          <w:p w14:paraId="18CB4A3E"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a6"/>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3"/>
      </w:pPr>
      <w:r>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0749B87" w14:textId="77777777" w:rsidR="00293A4E" w:rsidRDefault="007D5FFC">
      <w:pPr>
        <w:pStyle w:val="afa"/>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afa"/>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afa"/>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afa"/>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afa"/>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afa"/>
        <w:jc w:val="both"/>
        <w:rPr>
          <w:sz w:val="20"/>
          <w:szCs w:val="20"/>
          <w:lang w:val="en-US"/>
        </w:rPr>
      </w:pPr>
    </w:p>
    <w:p w14:paraId="68A87CFA" w14:textId="77777777" w:rsidR="00293A4E" w:rsidRDefault="007D5FFC">
      <w:pPr>
        <w:pStyle w:val="afa"/>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afa"/>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afa"/>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afa"/>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afa"/>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afa"/>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6599877D" w14:textId="77777777" w:rsidR="00293A4E" w:rsidRDefault="00293A4E">
      <w:pPr>
        <w:pStyle w:val="afa"/>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afa"/>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afa"/>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afa"/>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afa"/>
        <w:numPr>
          <w:ilvl w:val="0"/>
          <w:numId w:val="53"/>
        </w:numPr>
        <w:jc w:val="both"/>
        <w:rPr>
          <w:sz w:val="20"/>
          <w:szCs w:val="20"/>
          <w:lang w:val="en-US"/>
        </w:rPr>
      </w:pPr>
      <w:r>
        <w:rPr>
          <w:sz w:val="20"/>
          <w:szCs w:val="20"/>
          <w:lang w:val="en-US"/>
        </w:rPr>
        <w:lastRenderedPageBreak/>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afa"/>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afa"/>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afa"/>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t>UE assistance information related to traffic:</w:t>
      </w:r>
    </w:p>
    <w:p w14:paraId="7E9CEE7E" w14:textId="77777777" w:rsidR="00293A4E" w:rsidRDefault="007D5FFC">
      <w:pPr>
        <w:pStyle w:val="afa"/>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afa"/>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afa"/>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afa"/>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afa"/>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afa"/>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afa"/>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afa"/>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afa"/>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afa"/>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afa"/>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3"/>
      </w:pPr>
      <w:r>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lastRenderedPageBreak/>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t>Q2:</w:t>
            </w:r>
            <w:r>
              <w:t xml:space="preserve"> Do you support UE assistance information related to measurement occasion?</w:t>
            </w:r>
          </w:p>
          <w:p w14:paraId="3120DA82" w14:textId="77777777" w:rsidR="00293A4E" w:rsidRDefault="007D5FFC">
            <w:pPr>
              <w:pStyle w:val="afa"/>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afa"/>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af5"/>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lastRenderedPageBreak/>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Q1: Agree, but only for traffic and mobility (which are up to RAN2 to discuss). However, as we noted in our tdoc, the channel conditions can be used in two different ways, i.e.,:</w:t>
            </w:r>
          </w:p>
          <w:p w14:paraId="3482D969" w14:textId="77777777" w:rsidR="00293A4E" w:rsidRDefault="007D5FFC">
            <w:pPr>
              <w:numPr>
                <w:ilvl w:val="0"/>
                <w:numId w:val="13"/>
              </w:numPr>
            </w:pPr>
            <w:r>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afa"/>
              <w:numPr>
                <w:ilvl w:val="0"/>
                <w:numId w:val="63"/>
              </w:numPr>
              <w:rPr>
                <w:sz w:val="20"/>
                <w:szCs w:val="20"/>
                <w:lang w:val="en-US"/>
              </w:rPr>
            </w:pPr>
            <w:r>
              <w:rPr>
                <w:sz w:val="20"/>
                <w:szCs w:val="20"/>
                <w:lang w:val="en-US"/>
              </w:rPr>
              <w:t>Support: Qualcomm</w:t>
            </w:r>
          </w:p>
          <w:p w14:paraId="2E1A9E40" w14:textId="77777777" w:rsidR="00293A4E" w:rsidRDefault="007D5FFC">
            <w:pPr>
              <w:pStyle w:val="afa"/>
              <w:numPr>
                <w:ilvl w:val="0"/>
                <w:numId w:val="63"/>
              </w:numPr>
              <w:rPr>
                <w:lang w:val="en-US"/>
              </w:rPr>
            </w:pPr>
            <w:r>
              <w:rPr>
                <w:sz w:val="20"/>
                <w:szCs w:val="20"/>
                <w:lang w:val="en-US"/>
              </w:rPr>
              <w:t>the patterns of gap(s)/restriction(s) where skipping is feasible or acceptable: Huawei</w:t>
            </w:r>
          </w:p>
          <w:p w14:paraId="4E35C328" w14:textId="77777777" w:rsidR="00293A4E" w:rsidRDefault="007D5FFC">
            <w:pPr>
              <w:pStyle w:val="afa"/>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lastRenderedPageBreak/>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afa"/>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afa"/>
              <w:numPr>
                <w:ilvl w:val="1"/>
                <w:numId w:val="48"/>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afa"/>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afa"/>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measurement, so gNB can make better balace between XR traffic and RRM measurement impact. </w:t>
            </w:r>
          </w:p>
          <w:p w14:paraId="51CC14C4" w14:textId="77777777" w:rsidR="00293A4E" w:rsidRDefault="007D5FFC">
            <w:pPr>
              <w:pStyle w:val="afa"/>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afa"/>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afa"/>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 xml:space="preserve">channel conditions changes very frequently, in that case, that means RRM measurement is </w:t>
            </w:r>
            <w:r>
              <w:rPr>
                <w:rFonts w:eastAsia="Batang"/>
                <w:sz w:val="20"/>
                <w:szCs w:val="20"/>
                <w:lang w:val="en-US"/>
              </w:rPr>
              <w:lastRenderedPageBreak/>
              <w:t>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afa"/>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afa"/>
              <w:numPr>
                <w:ilvl w:val="1"/>
                <w:numId w:val="49"/>
              </w:numPr>
              <w:jc w:val="both"/>
              <w:rPr>
                <w:rFonts w:eastAsia="Batang"/>
                <w:sz w:val="20"/>
                <w:szCs w:val="20"/>
                <w:lang w:val="en-US"/>
              </w:rPr>
            </w:pPr>
            <w:r>
              <w:rPr>
                <w:rFonts w:eastAsiaTheme="minorEastAsia"/>
                <w:sz w:val="20"/>
                <w:szCs w:val="20"/>
                <w:lang w:val="en-US"/>
              </w:rPr>
              <w:t xml:space="preserve">Again, it is meaningless to consider only the need of XR traffic without any consideration on RRM impact. Without UAI, gNB may need to  make conservative decision to skip less gaps, otherwise, it may bring significant adverse impact on RRM. </w:t>
            </w:r>
          </w:p>
          <w:p w14:paraId="50E37788"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416D860E" w14:textId="77777777" w:rsidR="00293A4E" w:rsidRDefault="007D5FFC">
            <w:pPr>
              <w:pStyle w:val="afa"/>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afa"/>
              <w:numPr>
                <w:ilvl w:val="0"/>
                <w:numId w:val="47"/>
              </w:numPr>
              <w:jc w:val="both"/>
              <w:rPr>
                <w:sz w:val="20"/>
                <w:szCs w:val="20"/>
                <w:lang w:val="en-US"/>
              </w:rPr>
            </w:pPr>
            <w:r>
              <w:rPr>
                <w:sz w:val="20"/>
                <w:szCs w:val="20"/>
                <w:lang w:val="en-US"/>
              </w:rPr>
              <w:lastRenderedPageBreak/>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afa"/>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lastRenderedPageBreak/>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afa"/>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afa"/>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afa"/>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3"/>
      </w:pPr>
      <w:r>
        <w:t>High priority discussion: Round #2</w:t>
      </w:r>
    </w:p>
    <w:p w14:paraId="44E14BAF" w14:textId="77777777" w:rsidR="00293A4E" w:rsidRDefault="007D5FFC">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afa"/>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afa"/>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afa"/>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afa"/>
              <w:numPr>
                <w:ilvl w:val="1"/>
                <w:numId w:val="64"/>
              </w:numPr>
              <w:jc w:val="both"/>
              <w:rPr>
                <w:sz w:val="20"/>
                <w:szCs w:val="20"/>
                <w:lang w:val="en-US"/>
              </w:rPr>
            </w:pPr>
            <w:r>
              <w:rPr>
                <w:sz w:val="20"/>
                <w:szCs w:val="20"/>
                <w:lang w:val="en-US"/>
              </w:rPr>
              <w:lastRenderedPageBreak/>
              <w:t>If network indicates skipping of the measurement occasion(s) indicated by UE to be needed, the performance impact should be accounted by RAN4.</w:t>
            </w:r>
          </w:p>
          <w:p w14:paraId="74686329"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First for better understanding, would the proponents agree to modify the first bullet to clarify the intent of the UE assistance information and it’s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3A199B">
        <w:tc>
          <w:tcPr>
            <w:tcW w:w="2122" w:type="dxa"/>
          </w:tcPr>
          <w:p w14:paraId="3B63FF79" w14:textId="77777777" w:rsidR="00456B28" w:rsidRDefault="00456B28" w:rsidP="003A199B">
            <w:pPr>
              <w:rPr>
                <w:lang w:eastAsia="zh-CN"/>
              </w:rPr>
            </w:pPr>
            <w:r>
              <w:rPr>
                <w:rFonts w:hint="eastAsia"/>
                <w:lang w:eastAsia="zh-CN"/>
              </w:rPr>
              <w:lastRenderedPageBreak/>
              <w:t>Qualcomm</w:t>
            </w:r>
          </w:p>
        </w:tc>
        <w:tc>
          <w:tcPr>
            <w:tcW w:w="7507" w:type="dxa"/>
          </w:tcPr>
          <w:p w14:paraId="064CAB3D" w14:textId="77777777" w:rsidR="00456B28" w:rsidRDefault="00456B28" w:rsidP="003A199B">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3A199B">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3A199B">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bookmarkStart w:id="12" w:name="_GoBack" w:colFirst="0" w:colLast="1"/>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gNB’s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gNB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afa"/>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gNB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bookmarkEnd w:id="12"/>
      <w:tr w:rsidR="00293A4E" w14:paraId="6D0557E7" w14:textId="77777777">
        <w:tc>
          <w:tcPr>
            <w:tcW w:w="2122" w:type="dxa"/>
          </w:tcPr>
          <w:p w14:paraId="1B7DD2DC" w14:textId="77777777" w:rsidR="00293A4E" w:rsidRDefault="00293A4E"/>
        </w:tc>
        <w:tc>
          <w:tcPr>
            <w:tcW w:w="7507" w:type="dxa"/>
          </w:tcPr>
          <w:p w14:paraId="450F0A27" w14:textId="77777777" w:rsidR="00293A4E" w:rsidRDefault="00293A4E"/>
        </w:tc>
      </w:tr>
    </w:tbl>
    <w:p w14:paraId="010A1BAD" w14:textId="77777777" w:rsidR="00293A4E" w:rsidRDefault="00293A4E"/>
    <w:p w14:paraId="7BD47EE8" w14:textId="77777777" w:rsidR="00293A4E" w:rsidRDefault="00293A4E"/>
    <w:p w14:paraId="221579ED" w14:textId="77777777" w:rsidR="00293A4E" w:rsidRDefault="007D5FFC">
      <w:pPr>
        <w:pStyle w:val="2"/>
      </w:pPr>
      <w:r>
        <w:lastRenderedPageBreak/>
        <w:t>Other types of solutions</w:t>
      </w:r>
    </w:p>
    <w:p w14:paraId="2CF350D7" w14:textId="77777777" w:rsidR="00293A4E" w:rsidRDefault="00293A4E"/>
    <w:p w14:paraId="0D71167C"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afa"/>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afa"/>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af5"/>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77777777" w:rsidR="00293A4E" w:rsidRDefault="00293A4E">
            <w:pPr>
              <w:rPr>
                <w:lang w:val="en-US" w:eastAsia="zh-CN"/>
              </w:rPr>
            </w:pPr>
          </w:p>
        </w:tc>
        <w:tc>
          <w:tcPr>
            <w:tcW w:w="7507" w:type="dxa"/>
          </w:tcPr>
          <w:p w14:paraId="68EE2BAF" w14:textId="77777777" w:rsidR="00293A4E" w:rsidRDefault="00293A4E">
            <w:pPr>
              <w:rPr>
                <w:lang w:val="en-US" w:eastAsia="zh-CN"/>
              </w:rPr>
            </w:pP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2"/>
      </w:pPr>
      <w:r>
        <w:t>Partial skipping</w:t>
      </w:r>
    </w:p>
    <w:p w14:paraId="45AAD04D" w14:textId="77777777" w:rsidR="00293A4E" w:rsidRDefault="00293A4E"/>
    <w:p w14:paraId="4505E367"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a6"/>
              <w:jc w:val="center"/>
            </w:pPr>
            <w:bookmarkStart w:id="13"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3"/>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lastRenderedPageBreak/>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Legacy RRC signaling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afa"/>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afa"/>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afa"/>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09DB7CE" w14:textId="77777777" w:rsidR="00293A4E" w:rsidRDefault="007D5FFC">
      <w:pPr>
        <w:pStyle w:val="afa"/>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afa"/>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afa"/>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afa"/>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afa"/>
              <w:ind w:left="312"/>
              <w:rPr>
                <w:b/>
                <w:bCs/>
                <w:sz w:val="20"/>
                <w:szCs w:val="20"/>
                <w:lang w:val="en-US"/>
              </w:rPr>
            </w:pPr>
          </w:p>
          <w:p w14:paraId="1C633795" w14:textId="77777777" w:rsidR="00293A4E" w:rsidRDefault="007D5FFC">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afa"/>
              <w:ind w:left="312"/>
              <w:rPr>
                <w:sz w:val="20"/>
                <w:szCs w:val="20"/>
                <w:lang w:val="en-US"/>
              </w:rPr>
            </w:pPr>
          </w:p>
        </w:tc>
      </w:tr>
    </w:tbl>
    <w:p w14:paraId="7A3F11F2" w14:textId="77777777" w:rsidR="00293A4E" w:rsidRDefault="00293A4E"/>
    <w:p w14:paraId="60A06188" w14:textId="77777777" w:rsidR="00293A4E" w:rsidRDefault="00293A4E"/>
    <w:tbl>
      <w:tblPr>
        <w:tblStyle w:val="af5"/>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7777777" w:rsidR="00293A4E" w:rsidRDefault="00293A4E"/>
        </w:tc>
        <w:tc>
          <w:tcPr>
            <w:tcW w:w="7507" w:type="dxa"/>
          </w:tcPr>
          <w:p w14:paraId="5C51856B" w14:textId="77777777" w:rsidR="00293A4E" w:rsidRDefault="00293A4E"/>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2"/>
      </w:pPr>
      <w:r>
        <w:t>Other issues</w:t>
      </w:r>
    </w:p>
    <w:p w14:paraId="6B7CDBB8" w14:textId="77777777" w:rsidR="00293A4E" w:rsidRDefault="00293A4E"/>
    <w:p w14:paraId="30060354"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afa"/>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afa"/>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afa"/>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3"/>
      </w:pPr>
      <w:r>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77777777" w:rsidR="00293A4E" w:rsidRDefault="00293A4E"/>
        </w:tc>
        <w:tc>
          <w:tcPr>
            <w:tcW w:w="7507" w:type="dxa"/>
          </w:tcPr>
          <w:p w14:paraId="28DD6567" w14:textId="77777777" w:rsidR="00293A4E" w:rsidRDefault="00293A4E"/>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1"/>
      </w:pPr>
      <w:r>
        <w:t>Proposals for online sessions</w:t>
      </w:r>
    </w:p>
    <w:p w14:paraId="5932292D" w14:textId="77777777" w:rsidR="00293A4E" w:rsidRDefault="00293A4E"/>
    <w:p w14:paraId="7462764A" w14:textId="77777777" w:rsidR="00293A4E" w:rsidRDefault="007D5FFC">
      <w:pPr>
        <w:pStyle w:val="2"/>
      </w:pPr>
      <w:r>
        <w:t>Online session on Tuesday</w:t>
      </w:r>
    </w:p>
    <w:tbl>
      <w:tblPr>
        <w:tblStyle w:val="af5"/>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DDA4F1A" w14:textId="77777777" w:rsidR="00293A4E" w:rsidRDefault="007D5FFC">
            <w:pPr>
              <w:pStyle w:val="afa"/>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afa"/>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afa"/>
              <w:numPr>
                <w:ilvl w:val="0"/>
                <w:numId w:val="39"/>
              </w:numPr>
              <w:spacing w:line="259" w:lineRule="auto"/>
              <w:rPr>
                <w:sz w:val="20"/>
                <w:szCs w:val="20"/>
                <w:lang w:val="en-US"/>
              </w:rPr>
            </w:pPr>
            <w:r>
              <w:rPr>
                <w:sz w:val="20"/>
                <w:szCs w:val="20"/>
                <w:lang w:val="en-US"/>
              </w:rPr>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afa"/>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afa"/>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afa"/>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afa"/>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afa"/>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afa"/>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afa"/>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afa"/>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afa"/>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afa"/>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af5"/>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lastRenderedPageBreak/>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t>Summary of views:</w:t>
            </w:r>
          </w:p>
          <w:p w14:paraId="54AF5171"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afa"/>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afa"/>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afa"/>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afa"/>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7D5FFC">
      <w:pPr>
        <w:pStyle w:val="2"/>
      </w:pPr>
      <w:r>
        <w:t>Online session on Wednesday</w:t>
      </w:r>
    </w:p>
    <w:p w14:paraId="7D46CDC7" w14:textId="77777777" w:rsidR="00293A4E" w:rsidRDefault="00293A4E">
      <w:pPr>
        <w:rPr>
          <w:lang w:val="en-US"/>
        </w:rPr>
      </w:pPr>
    </w:p>
    <w:p w14:paraId="20513D1C" w14:textId="77777777" w:rsidR="00293A4E" w:rsidRDefault="007D5FFC">
      <w:pPr>
        <w:pStyle w:val="1"/>
      </w:pPr>
      <w:r>
        <w:t>Agreements</w:t>
      </w:r>
    </w:p>
    <w:p w14:paraId="67A231B6" w14:textId="77777777" w:rsidR="00293A4E" w:rsidRDefault="00293A4E"/>
    <w:p w14:paraId="545A0B73" w14:textId="77777777" w:rsidR="00293A4E" w:rsidRDefault="007D5FFC">
      <w:pPr>
        <w:pStyle w:val="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afa"/>
        <w:numPr>
          <w:ilvl w:val="0"/>
          <w:numId w:val="71"/>
        </w:numPr>
        <w:rPr>
          <w:sz w:val="18"/>
          <w:szCs w:val="18"/>
          <w:lang w:val="en-US"/>
        </w:rPr>
      </w:pPr>
      <w:r>
        <w:rPr>
          <w:sz w:val="18"/>
          <w:szCs w:val="18"/>
          <w:lang w:val="en-US"/>
        </w:rPr>
        <w:t>FFS: Other types of solutions.</w:t>
      </w:r>
    </w:p>
    <w:p w14:paraId="46EBBCE6" w14:textId="77777777" w:rsidR="00293A4E" w:rsidRDefault="007D5FFC">
      <w:pPr>
        <w:pStyle w:val="afa"/>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afa"/>
        <w:numPr>
          <w:ilvl w:val="1"/>
          <w:numId w:val="18"/>
        </w:numPr>
        <w:rPr>
          <w:sz w:val="18"/>
          <w:szCs w:val="18"/>
          <w:lang w:val="en-US"/>
        </w:rPr>
      </w:pPr>
      <w:r>
        <w:rPr>
          <w:sz w:val="18"/>
          <w:szCs w:val="18"/>
          <w:lang w:val="en-US"/>
        </w:rPr>
        <w:t>FFS: details</w:t>
      </w:r>
    </w:p>
    <w:p w14:paraId="6476DF75" w14:textId="77777777" w:rsidR="00293A4E" w:rsidRDefault="007D5FFC">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afa"/>
        <w:numPr>
          <w:ilvl w:val="1"/>
          <w:numId w:val="18"/>
        </w:numPr>
        <w:rPr>
          <w:sz w:val="18"/>
          <w:szCs w:val="18"/>
          <w:lang w:val="en-US"/>
        </w:rPr>
      </w:pPr>
      <w:r>
        <w:rPr>
          <w:sz w:val="18"/>
          <w:szCs w:val="18"/>
          <w:lang w:val="en-US"/>
        </w:rPr>
        <w:t>FFS: details</w:t>
      </w:r>
    </w:p>
    <w:p w14:paraId="7C995349" w14:textId="77777777" w:rsidR="00293A4E" w:rsidRDefault="007D5FFC">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afa"/>
        <w:numPr>
          <w:ilvl w:val="1"/>
          <w:numId w:val="18"/>
        </w:numPr>
        <w:rPr>
          <w:sz w:val="18"/>
          <w:szCs w:val="18"/>
          <w:lang w:val="en-US"/>
        </w:rPr>
      </w:pPr>
      <w:r>
        <w:rPr>
          <w:sz w:val="18"/>
          <w:szCs w:val="18"/>
          <w:lang w:val="en-US"/>
        </w:rPr>
        <w:t>FFS: details</w:t>
      </w:r>
    </w:p>
    <w:p w14:paraId="7169654D" w14:textId="77777777" w:rsidR="00293A4E" w:rsidRDefault="007D5FFC">
      <w:pPr>
        <w:pStyle w:val="afa"/>
        <w:numPr>
          <w:ilvl w:val="0"/>
          <w:numId w:val="18"/>
        </w:numPr>
        <w:rPr>
          <w:sz w:val="18"/>
          <w:szCs w:val="18"/>
          <w:lang w:val="en-US"/>
        </w:rPr>
      </w:pPr>
      <w:r>
        <w:rPr>
          <w:sz w:val="18"/>
          <w:szCs w:val="18"/>
          <w:lang w:val="en-US"/>
        </w:rPr>
        <w:lastRenderedPageBreak/>
        <w:t xml:space="preserve">Alt. 4: Dynamic solution to adapt/change gap/SMTC configuration to enable TX/RX in gaps/restrictions that are caused by RRM measurements. </w:t>
      </w:r>
    </w:p>
    <w:p w14:paraId="73603EB2" w14:textId="77777777" w:rsidR="00293A4E" w:rsidRDefault="007D5FFC">
      <w:pPr>
        <w:pStyle w:val="afa"/>
        <w:numPr>
          <w:ilvl w:val="1"/>
          <w:numId w:val="18"/>
        </w:numPr>
        <w:rPr>
          <w:sz w:val="18"/>
          <w:szCs w:val="18"/>
        </w:rPr>
      </w:pPr>
      <w:r>
        <w:rPr>
          <w:sz w:val="18"/>
          <w:szCs w:val="18"/>
          <w:lang w:val="en-US"/>
        </w:rPr>
        <w:t>FFS: details</w:t>
      </w:r>
    </w:p>
    <w:p w14:paraId="4E521917" w14:textId="77777777" w:rsidR="00293A4E" w:rsidRDefault="007D5FFC">
      <w:pPr>
        <w:pStyle w:val="afa"/>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afa"/>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afa"/>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afa"/>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afa"/>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afa"/>
        <w:numPr>
          <w:ilvl w:val="2"/>
          <w:numId w:val="18"/>
        </w:numPr>
        <w:rPr>
          <w:sz w:val="20"/>
          <w:szCs w:val="20"/>
          <w:lang w:val="en-US"/>
        </w:rPr>
      </w:pPr>
      <w:r>
        <w:rPr>
          <w:sz w:val="20"/>
          <w:szCs w:val="20"/>
          <w:lang w:val="en-US"/>
        </w:rPr>
        <w:t>FFS: Details of pattern</w:t>
      </w:r>
    </w:p>
    <w:p w14:paraId="48BF7463"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lastRenderedPageBreak/>
        <w:t>Agreement</w:t>
      </w:r>
    </w:p>
    <w:p w14:paraId="6874760E" w14:textId="77777777" w:rsidR="00293A4E" w:rsidRDefault="007D5FFC">
      <w:pPr>
        <w:pStyle w:val="ab"/>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afa"/>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afa"/>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afa"/>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afa"/>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afa"/>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afa"/>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afa"/>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afa"/>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afa"/>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afa"/>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afa"/>
        <w:numPr>
          <w:ilvl w:val="1"/>
          <w:numId w:val="72"/>
        </w:numPr>
        <w:rPr>
          <w:sz w:val="20"/>
          <w:szCs w:val="20"/>
          <w:lang w:val="en-US"/>
        </w:rPr>
      </w:pPr>
      <w:r>
        <w:rPr>
          <w:sz w:val="20"/>
          <w:szCs w:val="20"/>
          <w:lang w:val="en-US"/>
        </w:rPr>
        <w:t>FFS: RSRP is below/above search threshold (s-MeasureConfig);</w:t>
      </w:r>
    </w:p>
    <w:p w14:paraId="36CAC512" w14:textId="77777777" w:rsidR="00293A4E" w:rsidRDefault="007D5FFC">
      <w:pPr>
        <w:pStyle w:val="afa"/>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afa"/>
        <w:numPr>
          <w:ilvl w:val="1"/>
          <w:numId w:val="72"/>
        </w:numPr>
        <w:rPr>
          <w:sz w:val="20"/>
          <w:szCs w:val="20"/>
          <w:lang w:val="en-US"/>
        </w:rPr>
      </w:pPr>
      <w:r>
        <w:rPr>
          <w:sz w:val="20"/>
          <w:szCs w:val="20"/>
          <w:lang w:val="en-US"/>
        </w:rPr>
        <w:t>FFS: PSI (PDU set importance);</w:t>
      </w:r>
    </w:p>
    <w:p w14:paraId="727F6049" w14:textId="77777777" w:rsidR="00293A4E" w:rsidRDefault="007D5FFC">
      <w:pPr>
        <w:pStyle w:val="afa"/>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afa"/>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afa"/>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afa"/>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afa"/>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173A2B">
            <w:pPr>
              <w:pStyle w:val="afa"/>
              <w:ind w:left="0" w:right="742"/>
              <w:rPr>
                <w:sz w:val="20"/>
                <w:szCs w:val="20"/>
              </w:rPr>
            </w:pPr>
            <w:hyperlink r:id="rId40" w:history="1">
              <w:r w:rsidR="007D5FFC">
                <w:rPr>
                  <w:rStyle w:val="af7"/>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173A2B">
            <w:pPr>
              <w:pStyle w:val="afa"/>
              <w:ind w:left="0" w:right="742"/>
              <w:rPr>
                <w:rFonts w:eastAsia="Times New Roman"/>
                <w:sz w:val="20"/>
                <w:szCs w:val="20"/>
                <w:u w:val="single"/>
                <w:lang w:val="en-US"/>
              </w:rPr>
            </w:pPr>
            <w:hyperlink r:id="rId41" w:history="1">
              <w:r w:rsidR="007D5FFC">
                <w:rPr>
                  <w:rStyle w:val="af7"/>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173A2B">
            <w:pPr>
              <w:pStyle w:val="afa"/>
              <w:ind w:left="0" w:right="742"/>
              <w:rPr>
                <w:rFonts w:eastAsia="Times New Roman"/>
                <w:sz w:val="20"/>
                <w:szCs w:val="20"/>
                <w:u w:val="single"/>
                <w:lang w:val="en-US"/>
              </w:rPr>
            </w:pPr>
            <w:hyperlink r:id="rId42" w:history="1">
              <w:r w:rsidR="007D5FFC">
                <w:rPr>
                  <w:rStyle w:val="af7"/>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173A2B">
            <w:pPr>
              <w:pStyle w:val="afa"/>
              <w:ind w:left="0" w:right="742"/>
              <w:rPr>
                <w:rFonts w:eastAsia="Times New Roman"/>
                <w:sz w:val="20"/>
                <w:szCs w:val="20"/>
                <w:u w:val="single"/>
                <w:lang w:val="en-US"/>
              </w:rPr>
            </w:pPr>
            <w:hyperlink r:id="rId43" w:history="1">
              <w:r w:rsidR="007D5FFC">
                <w:rPr>
                  <w:rStyle w:val="af7"/>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173A2B">
            <w:pPr>
              <w:pStyle w:val="afa"/>
              <w:ind w:left="0" w:right="742"/>
              <w:rPr>
                <w:rFonts w:eastAsia="Times New Roman"/>
                <w:sz w:val="20"/>
                <w:szCs w:val="20"/>
                <w:u w:val="single"/>
                <w:lang w:val="en-US"/>
              </w:rPr>
            </w:pPr>
            <w:hyperlink r:id="rId44" w:history="1">
              <w:r w:rsidR="007D5FFC">
                <w:rPr>
                  <w:rStyle w:val="af7"/>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173A2B">
            <w:pPr>
              <w:pStyle w:val="afa"/>
              <w:ind w:left="0" w:right="742"/>
              <w:rPr>
                <w:rFonts w:eastAsia="Times New Roman"/>
                <w:sz w:val="20"/>
                <w:szCs w:val="20"/>
                <w:u w:val="single"/>
                <w:lang w:val="en-US"/>
              </w:rPr>
            </w:pPr>
            <w:hyperlink r:id="rId45" w:history="1">
              <w:r w:rsidR="007D5FFC">
                <w:rPr>
                  <w:rStyle w:val="af7"/>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173A2B">
            <w:pPr>
              <w:pStyle w:val="afa"/>
              <w:ind w:left="0" w:right="742"/>
              <w:rPr>
                <w:rFonts w:eastAsia="Times New Roman"/>
                <w:sz w:val="20"/>
                <w:szCs w:val="20"/>
                <w:u w:val="single"/>
                <w:lang w:val="en-US"/>
              </w:rPr>
            </w:pPr>
            <w:hyperlink r:id="rId46" w:history="1">
              <w:r w:rsidR="007D5FFC">
                <w:rPr>
                  <w:rStyle w:val="af7"/>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173A2B">
            <w:pPr>
              <w:pStyle w:val="afa"/>
              <w:ind w:left="0" w:right="742"/>
              <w:rPr>
                <w:rFonts w:eastAsia="Times New Roman"/>
                <w:sz w:val="20"/>
                <w:szCs w:val="20"/>
                <w:u w:val="single"/>
                <w:lang w:val="en-US"/>
              </w:rPr>
            </w:pPr>
            <w:hyperlink r:id="rId47" w:history="1">
              <w:r w:rsidR="007D5FFC">
                <w:rPr>
                  <w:rStyle w:val="af7"/>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afa"/>
              <w:ind w:left="0" w:right="742"/>
              <w:rPr>
                <w:rFonts w:eastAsia="Times New Roman"/>
                <w:sz w:val="20"/>
                <w:szCs w:val="20"/>
                <w:u w:val="single"/>
                <w:lang w:val="en-US"/>
              </w:rPr>
            </w:pPr>
            <w:r>
              <w:rPr>
                <w:rFonts w:eastAsia="Times New Roman"/>
                <w:b w:val="0"/>
                <w:bCs w:val="0"/>
                <w:sz w:val="20"/>
                <w:szCs w:val="20"/>
                <w:u w:val="single"/>
                <w:lang w:val="en-US"/>
              </w:rPr>
              <w:lastRenderedPageBreak/>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173A2B">
            <w:pPr>
              <w:pStyle w:val="afa"/>
              <w:ind w:left="0" w:right="742"/>
              <w:rPr>
                <w:rFonts w:eastAsia="Times New Roman"/>
                <w:sz w:val="20"/>
                <w:szCs w:val="20"/>
                <w:u w:val="single"/>
                <w:lang w:val="en-US"/>
              </w:rPr>
            </w:pPr>
            <w:hyperlink r:id="rId48" w:history="1">
              <w:r w:rsidR="007D5FFC">
                <w:rPr>
                  <w:rStyle w:val="af7"/>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173A2B">
            <w:pPr>
              <w:pStyle w:val="afa"/>
              <w:ind w:left="0" w:right="1167"/>
              <w:rPr>
                <w:rFonts w:eastAsia="Times New Roman"/>
                <w:sz w:val="20"/>
                <w:szCs w:val="20"/>
                <w:u w:val="single"/>
                <w:lang w:val="en-US"/>
              </w:rPr>
            </w:pPr>
            <w:hyperlink r:id="rId49" w:history="1">
              <w:r w:rsidR="007D5FFC">
                <w:rPr>
                  <w:rStyle w:val="af7"/>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173A2B">
            <w:pPr>
              <w:pStyle w:val="afa"/>
              <w:ind w:left="0" w:right="1167"/>
              <w:rPr>
                <w:rFonts w:eastAsia="Times New Roman"/>
                <w:sz w:val="20"/>
                <w:szCs w:val="20"/>
                <w:u w:val="single"/>
                <w:lang w:val="en-US"/>
              </w:rPr>
            </w:pPr>
            <w:hyperlink r:id="rId50" w:history="1">
              <w:r w:rsidR="007D5FFC">
                <w:rPr>
                  <w:rStyle w:val="af7"/>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173A2B">
            <w:pPr>
              <w:pStyle w:val="afa"/>
              <w:ind w:left="0" w:right="1167"/>
              <w:rPr>
                <w:rFonts w:eastAsia="Times New Roman"/>
                <w:sz w:val="20"/>
                <w:szCs w:val="20"/>
                <w:u w:val="single"/>
                <w:lang w:val="en-US"/>
              </w:rPr>
            </w:pPr>
            <w:hyperlink r:id="rId51" w:history="1">
              <w:r w:rsidR="007D5FFC">
                <w:rPr>
                  <w:rStyle w:val="af7"/>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173A2B">
            <w:pPr>
              <w:pStyle w:val="afa"/>
              <w:ind w:left="0" w:right="742"/>
              <w:rPr>
                <w:rFonts w:eastAsia="Times New Roman"/>
                <w:sz w:val="20"/>
                <w:szCs w:val="20"/>
                <w:u w:val="single"/>
                <w:lang w:val="en-US"/>
              </w:rPr>
            </w:pPr>
            <w:hyperlink r:id="rId52" w:history="1">
              <w:r w:rsidR="007D5FFC">
                <w:rPr>
                  <w:rStyle w:val="af7"/>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173A2B">
            <w:pPr>
              <w:pStyle w:val="afa"/>
              <w:ind w:left="0" w:right="1167"/>
              <w:rPr>
                <w:rFonts w:eastAsia="Times New Roman"/>
                <w:sz w:val="20"/>
                <w:szCs w:val="20"/>
                <w:u w:val="single"/>
                <w:lang w:val="en-US"/>
              </w:rPr>
            </w:pPr>
            <w:hyperlink r:id="rId53" w:history="1">
              <w:r w:rsidR="007D5FFC">
                <w:rPr>
                  <w:rStyle w:val="af7"/>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173A2B">
            <w:pPr>
              <w:pStyle w:val="afa"/>
              <w:ind w:left="0" w:right="1167"/>
              <w:rPr>
                <w:rFonts w:eastAsia="Times New Roman"/>
                <w:sz w:val="20"/>
                <w:szCs w:val="20"/>
                <w:u w:val="single"/>
                <w:lang w:val="en-US"/>
              </w:rPr>
            </w:pPr>
            <w:hyperlink r:id="rId54" w:history="1">
              <w:r w:rsidR="007D5FFC">
                <w:rPr>
                  <w:rStyle w:val="af7"/>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173A2B">
            <w:pPr>
              <w:pStyle w:val="afa"/>
              <w:ind w:left="0" w:right="1167"/>
              <w:rPr>
                <w:rFonts w:eastAsia="Times New Roman"/>
                <w:sz w:val="20"/>
                <w:szCs w:val="20"/>
                <w:u w:val="single"/>
                <w:lang w:val="en-US"/>
              </w:rPr>
            </w:pPr>
            <w:hyperlink r:id="rId55" w:history="1">
              <w:r w:rsidR="007D5FFC">
                <w:rPr>
                  <w:rStyle w:val="af7"/>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173A2B">
            <w:pPr>
              <w:pStyle w:val="afa"/>
              <w:ind w:left="0" w:right="1167"/>
              <w:rPr>
                <w:rFonts w:eastAsia="Times New Roman"/>
                <w:sz w:val="20"/>
                <w:szCs w:val="20"/>
                <w:u w:val="single"/>
                <w:lang w:val="en-US"/>
              </w:rPr>
            </w:pPr>
            <w:hyperlink r:id="rId56" w:history="1">
              <w:r w:rsidR="007D5FFC">
                <w:rPr>
                  <w:rStyle w:val="af7"/>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173A2B">
            <w:pPr>
              <w:pStyle w:val="afa"/>
              <w:ind w:left="0" w:right="1167"/>
              <w:rPr>
                <w:rFonts w:eastAsia="Times New Roman"/>
                <w:sz w:val="20"/>
                <w:szCs w:val="20"/>
                <w:u w:val="single"/>
                <w:lang w:val="en-US"/>
              </w:rPr>
            </w:pPr>
            <w:hyperlink r:id="rId57" w:history="1">
              <w:r w:rsidR="007D5FFC">
                <w:rPr>
                  <w:rStyle w:val="af7"/>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173A2B">
            <w:pPr>
              <w:pStyle w:val="afa"/>
              <w:ind w:left="0" w:right="1167"/>
              <w:rPr>
                <w:rFonts w:eastAsia="Times New Roman"/>
                <w:sz w:val="20"/>
                <w:szCs w:val="20"/>
                <w:u w:val="single"/>
                <w:lang w:val="en-US"/>
              </w:rPr>
            </w:pPr>
            <w:hyperlink r:id="rId58" w:history="1">
              <w:r w:rsidR="007D5FFC">
                <w:rPr>
                  <w:rStyle w:val="af7"/>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173A2B">
            <w:pPr>
              <w:pStyle w:val="afa"/>
              <w:ind w:left="0" w:right="1167"/>
              <w:rPr>
                <w:rFonts w:eastAsia="Times New Roman"/>
                <w:sz w:val="20"/>
                <w:szCs w:val="20"/>
                <w:u w:val="single"/>
                <w:lang w:val="en-US"/>
              </w:rPr>
            </w:pPr>
            <w:hyperlink r:id="rId59" w:history="1">
              <w:r w:rsidR="007D5FFC">
                <w:rPr>
                  <w:rStyle w:val="af7"/>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173A2B">
            <w:pPr>
              <w:pStyle w:val="afa"/>
              <w:ind w:left="0" w:right="1167"/>
              <w:rPr>
                <w:rFonts w:eastAsia="Times New Roman"/>
                <w:sz w:val="20"/>
                <w:szCs w:val="20"/>
                <w:u w:val="single"/>
                <w:lang w:val="en-US"/>
              </w:rPr>
            </w:pPr>
            <w:hyperlink r:id="rId60" w:history="1">
              <w:r w:rsidR="007D5FFC">
                <w:rPr>
                  <w:rStyle w:val="af7"/>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173A2B">
            <w:pPr>
              <w:pStyle w:val="afa"/>
              <w:ind w:left="0" w:right="1167"/>
              <w:rPr>
                <w:rFonts w:eastAsia="Times New Roman"/>
                <w:sz w:val="20"/>
                <w:szCs w:val="20"/>
                <w:u w:val="single"/>
                <w:lang w:val="en-US"/>
              </w:rPr>
            </w:pPr>
            <w:hyperlink r:id="rId61" w:history="1">
              <w:r w:rsidR="007D5FFC">
                <w:rPr>
                  <w:rStyle w:val="af7"/>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173A2B">
            <w:pPr>
              <w:pStyle w:val="afa"/>
              <w:ind w:left="0" w:right="1167"/>
              <w:rPr>
                <w:rFonts w:eastAsia="Times New Roman"/>
                <w:sz w:val="20"/>
                <w:szCs w:val="20"/>
                <w:u w:val="single"/>
                <w:lang w:val="en-US"/>
              </w:rPr>
            </w:pPr>
            <w:hyperlink r:id="rId62" w:history="1">
              <w:r w:rsidR="007D5FFC">
                <w:rPr>
                  <w:rStyle w:val="af7"/>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173A2B">
            <w:pPr>
              <w:pStyle w:val="afa"/>
              <w:ind w:left="0" w:right="1167"/>
              <w:rPr>
                <w:rFonts w:eastAsia="Times New Roman"/>
                <w:sz w:val="20"/>
                <w:szCs w:val="20"/>
                <w:u w:val="single"/>
                <w:lang w:val="en-US"/>
              </w:rPr>
            </w:pPr>
            <w:hyperlink r:id="rId63" w:history="1">
              <w:r w:rsidR="007D5FFC">
                <w:rPr>
                  <w:rStyle w:val="af7"/>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173A2B">
            <w:pPr>
              <w:pStyle w:val="afa"/>
              <w:ind w:left="0" w:right="1167"/>
              <w:rPr>
                <w:rFonts w:eastAsia="Times New Roman"/>
                <w:sz w:val="20"/>
                <w:szCs w:val="20"/>
                <w:u w:val="single"/>
                <w:lang w:val="en-US"/>
              </w:rPr>
            </w:pPr>
            <w:hyperlink r:id="rId64" w:history="1">
              <w:r w:rsidR="007D5FFC">
                <w:rPr>
                  <w:rStyle w:val="af7"/>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173A2B">
            <w:pPr>
              <w:pStyle w:val="afa"/>
              <w:ind w:left="0" w:right="1167"/>
              <w:rPr>
                <w:rFonts w:eastAsia="Times New Roman"/>
                <w:sz w:val="20"/>
                <w:szCs w:val="20"/>
                <w:u w:val="single"/>
                <w:lang w:val="en-US"/>
              </w:rPr>
            </w:pPr>
            <w:hyperlink r:id="rId65" w:history="1">
              <w:r w:rsidR="007D5FFC">
                <w:rPr>
                  <w:rStyle w:val="af7"/>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173A2B">
            <w:pPr>
              <w:pStyle w:val="afa"/>
              <w:ind w:left="0" w:right="1167"/>
              <w:rPr>
                <w:kern w:val="24"/>
                <w:sz w:val="20"/>
                <w:szCs w:val="20"/>
                <w:u w:val="single"/>
              </w:rPr>
            </w:pPr>
            <w:hyperlink r:id="rId66" w:history="1">
              <w:r w:rsidR="007D5FFC">
                <w:rPr>
                  <w:rStyle w:val="af7"/>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3C3F" w14:textId="77777777" w:rsidR="00173A2B" w:rsidRDefault="00173A2B">
      <w:pPr>
        <w:spacing w:after="0"/>
      </w:pPr>
      <w:r>
        <w:separator/>
      </w:r>
    </w:p>
  </w:endnote>
  <w:endnote w:type="continuationSeparator" w:id="0">
    <w:p w14:paraId="487668AA" w14:textId="77777777" w:rsidR="00173A2B" w:rsidRDefault="00173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39DA5" w14:textId="77777777" w:rsidR="00173A2B" w:rsidRDefault="00173A2B">
      <w:pPr>
        <w:spacing w:after="0"/>
      </w:pPr>
      <w:r>
        <w:separator/>
      </w:r>
    </w:p>
  </w:footnote>
  <w:footnote w:type="continuationSeparator" w:id="0">
    <w:p w14:paraId="1B570767" w14:textId="77777777" w:rsidR="00173A2B" w:rsidRDefault="00173A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7"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3"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0"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
  </w:num>
  <w:num w:numId="4">
    <w:abstractNumId w:val="53"/>
  </w:num>
  <w:num w:numId="5">
    <w:abstractNumId w:val="7"/>
  </w:num>
  <w:num w:numId="6">
    <w:abstractNumId w:val="68"/>
  </w:num>
  <w:num w:numId="7">
    <w:abstractNumId w:val="13"/>
  </w:num>
  <w:num w:numId="8">
    <w:abstractNumId w:val="23"/>
  </w:num>
  <w:num w:numId="9">
    <w:abstractNumId w:val="22"/>
  </w:num>
  <w:num w:numId="10">
    <w:abstractNumId w:val="25"/>
  </w:num>
  <w:num w:numId="11">
    <w:abstractNumId w:val="46"/>
  </w:num>
  <w:num w:numId="12">
    <w:abstractNumId w:val="24"/>
  </w:num>
  <w:num w:numId="13">
    <w:abstractNumId w:val="35"/>
  </w:num>
  <w:num w:numId="14">
    <w:abstractNumId w:val="69"/>
  </w:num>
  <w:num w:numId="15">
    <w:abstractNumId w:val="62"/>
  </w:num>
  <w:num w:numId="16">
    <w:abstractNumId w:val="60"/>
  </w:num>
  <w:num w:numId="17">
    <w:abstractNumId w:val="61"/>
  </w:num>
  <w:num w:numId="18">
    <w:abstractNumId w:val="41"/>
  </w:num>
  <w:num w:numId="19">
    <w:abstractNumId w:val="1"/>
  </w:num>
  <w:num w:numId="20">
    <w:abstractNumId w:val="65"/>
  </w:num>
  <w:num w:numId="21">
    <w:abstractNumId w:val="55"/>
  </w:num>
  <w:num w:numId="22">
    <w:abstractNumId w:val="64"/>
  </w:num>
  <w:num w:numId="23">
    <w:abstractNumId w:val="50"/>
  </w:num>
  <w:num w:numId="24">
    <w:abstractNumId w:val="20"/>
  </w:num>
  <w:num w:numId="25">
    <w:abstractNumId w:val="33"/>
  </w:num>
  <w:num w:numId="26">
    <w:abstractNumId w:val="6"/>
  </w:num>
  <w:num w:numId="27">
    <w:abstractNumId w:val="38"/>
  </w:num>
  <w:num w:numId="28">
    <w:abstractNumId w:val="21"/>
  </w:num>
  <w:num w:numId="29">
    <w:abstractNumId w:val="42"/>
  </w:num>
  <w:num w:numId="30">
    <w:abstractNumId w:val="49"/>
  </w:num>
  <w:num w:numId="31">
    <w:abstractNumId w:val="71"/>
  </w:num>
  <w:num w:numId="32">
    <w:abstractNumId w:val="36"/>
  </w:num>
  <w:num w:numId="33">
    <w:abstractNumId w:val="63"/>
  </w:num>
  <w:num w:numId="34">
    <w:abstractNumId w:val="56"/>
  </w:num>
  <w:num w:numId="35">
    <w:abstractNumId w:val="19"/>
  </w:num>
  <w:num w:numId="36">
    <w:abstractNumId w:val="27"/>
  </w:num>
  <w:num w:numId="37">
    <w:abstractNumId w:val="57"/>
  </w:num>
  <w:num w:numId="38">
    <w:abstractNumId w:val="0"/>
  </w:num>
  <w:num w:numId="39">
    <w:abstractNumId w:val="70"/>
  </w:num>
  <w:num w:numId="40">
    <w:abstractNumId w:val="9"/>
  </w:num>
  <w:num w:numId="41">
    <w:abstractNumId w:val="12"/>
  </w:num>
  <w:num w:numId="42">
    <w:abstractNumId w:val="39"/>
  </w:num>
  <w:num w:numId="43">
    <w:abstractNumId w:val="3"/>
  </w:num>
  <w:num w:numId="44">
    <w:abstractNumId w:val="26"/>
  </w:num>
  <w:num w:numId="45">
    <w:abstractNumId w:val="66"/>
  </w:num>
  <w:num w:numId="46">
    <w:abstractNumId w:val="11"/>
  </w:num>
  <w:num w:numId="47">
    <w:abstractNumId w:val="47"/>
  </w:num>
  <w:num w:numId="48">
    <w:abstractNumId w:val="59"/>
  </w:num>
  <w:num w:numId="49">
    <w:abstractNumId w:val="16"/>
  </w:num>
  <w:num w:numId="50">
    <w:abstractNumId w:val="4"/>
  </w:num>
  <w:num w:numId="51">
    <w:abstractNumId w:val="18"/>
  </w:num>
  <w:num w:numId="52">
    <w:abstractNumId w:val="31"/>
  </w:num>
  <w:num w:numId="53">
    <w:abstractNumId w:val="15"/>
  </w:num>
  <w:num w:numId="54">
    <w:abstractNumId w:val="44"/>
  </w:num>
  <w:num w:numId="55">
    <w:abstractNumId w:val="17"/>
  </w:num>
  <w:num w:numId="56">
    <w:abstractNumId w:val="30"/>
  </w:num>
  <w:num w:numId="57">
    <w:abstractNumId w:val="37"/>
  </w:num>
  <w:num w:numId="58">
    <w:abstractNumId w:val="34"/>
  </w:num>
  <w:num w:numId="59">
    <w:abstractNumId w:val="51"/>
  </w:num>
  <w:num w:numId="60">
    <w:abstractNumId w:val="48"/>
  </w:num>
  <w:num w:numId="61">
    <w:abstractNumId w:val="52"/>
  </w:num>
  <w:num w:numId="62">
    <w:abstractNumId w:val="45"/>
  </w:num>
  <w:num w:numId="63">
    <w:abstractNumId w:val="43"/>
  </w:num>
  <w:num w:numId="64">
    <w:abstractNumId w:val="14"/>
  </w:num>
  <w:num w:numId="65">
    <w:abstractNumId w:val="8"/>
  </w:num>
  <w:num w:numId="66">
    <w:abstractNumId w:val="58"/>
  </w:num>
  <w:num w:numId="67">
    <w:abstractNumId w:val="54"/>
  </w:num>
  <w:num w:numId="68">
    <w:abstractNumId w:val="40"/>
  </w:num>
  <w:num w:numId="69">
    <w:abstractNumId w:val="10"/>
  </w:num>
  <w:num w:numId="70">
    <w:abstractNumId w:val="5"/>
  </w:num>
  <w:num w:numId="71">
    <w:abstractNumId w:val="29"/>
  </w:num>
  <w:num w:numId="72">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autoRedefine/>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autoRedefine/>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1"/>
    <w:autoRedefine/>
    <w:qFormat/>
    <w:pPr>
      <w:ind w:left="1135"/>
    </w:pPr>
  </w:style>
  <w:style w:type="paragraph" w:styleId="21">
    <w:name w:val="List 2"/>
    <w:basedOn w:val="a3"/>
    <w:autoRedefine/>
    <w:qFormat/>
    <w:pPr>
      <w:ind w:left="851"/>
    </w:pPr>
  </w:style>
  <w:style w:type="paragraph" w:styleId="a3">
    <w:name w:val="List"/>
    <w:basedOn w:val="a"/>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semiHidden/>
    <w:qFormat/>
    <w:pPr>
      <w:ind w:left="1985" w:hanging="1985"/>
    </w:pPr>
  </w:style>
  <w:style w:type="paragraph" w:styleId="TOC5">
    <w:name w:val="toc 5"/>
    <w:basedOn w:val="TOC4"/>
    <w:next w:val="a"/>
    <w:autoRedefine/>
    <w:semiHidden/>
    <w:qFormat/>
    <w:pPr>
      <w:ind w:left="1701" w:hanging="1701"/>
    </w:pPr>
  </w:style>
  <w:style w:type="paragraph" w:styleId="TOC4">
    <w:name w:val="toc 4"/>
    <w:basedOn w:val="TOC3"/>
    <w:next w:val="a"/>
    <w:autoRedefine/>
    <w:semiHidden/>
    <w:qFormat/>
    <w:pPr>
      <w:ind w:left="1418" w:hanging="1418"/>
    </w:pPr>
  </w:style>
  <w:style w:type="paragraph" w:styleId="TOC3">
    <w:name w:val="toc 3"/>
    <w:basedOn w:val="TOC2"/>
    <w:next w:val="a"/>
    <w:autoRedefine/>
    <w:semiHidden/>
    <w:qFormat/>
    <w:pPr>
      <w:ind w:left="1134" w:hanging="1134"/>
    </w:pPr>
  </w:style>
  <w:style w:type="paragraph" w:styleId="TOC2">
    <w:name w:val="toc 2"/>
    <w:basedOn w:val="TOC1"/>
    <w:next w:val="a"/>
    <w:autoRedefine/>
    <w:semiHidden/>
    <w:qFormat/>
    <w:pPr>
      <w:keepNext w:val="0"/>
      <w:spacing w:before="0"/>
      <w:ind w:left="851" w:hanging="851"/>
    </w:pPr>
    <w:rPr>
      <w:sz w:val="20"/>
    </w:rPr>
  </w:style>
  <w:style w:type="paragraph" w:styleId="TOC1">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a7"/>
    <w:uiPriority w:val="35"/>
    <w:qFormat/>
    <w:pPr>
      <w:spacing w:before="120" w:after="120"/>
    </w:pPr>
    <w:rPr>
      <w:b/>
    </w:rPr>
  </w:style>
  <w:style w:type="paragraph" w:styleId="a8">
    <w:name w:val="Document Map"/>
    <w:basedOn w:val="a"/>
    <w:autoRedefine/>
    <w:semiHidden/>
    <w:qFormat/>
    <w:pPr>
      <w:shd w:val="clear" w:color="auto" w:fill="000080"/>
    </w:pPr>
    <w:rPr>
      <w:rFonts w:ascii="Tahoma" w:hAnsi="Tahoma" w:cs="Tahoma"/>
    </w:rPr>
  </w:style>
  <w:style w:type="paragraph" w:styleId="a9">
    <w:name w:val="annotation text"/>
    <w:basedOn w:val="a"/>
    <w:link w:val="aa"/>
    <w:autoRedefine/>
    <w:semiHidden/>
    <w:qFormat/>
    <w:pPr>
      <w:overflowPunct/>
      <w:autoSpaceDE/>
      <w:autoSpaceDN/>
      <w:adjustRightInd/>
      <w:textAlignment w:val="auto"/>
    </w:pPr>
    <w:rPr>
      <w:rFonts w:eastAsia="MS Mincho"/>
    </w:rPr>
  </w:style>
  <w:style w:type="paragraph" w:styleId="ab">
    <w:name w:val="Body Text"/>
    <w:basedOn w:val="a"/>
    <w:link w:val="ac"/>
    <w:autoRedefine/>
    <w:qFormat/>
    <w:pPr>
      <w:spacing w:after="120"/>
    </w:pPr>
  </w:style>
  <w:style w:type="paragraph" w:styleId="50">
    <w:name w:val="List Bullet 5"/>
    <w:basedOn w:val="40"/>
    <w:autoRedefine/>
    <w:qFormat/>
    <w:pPr>
      <w:ind w:left="1702"/>
    </w:pPr>
  </w:style>
  <w:style w:type="paragraph" w:styleId="TOC8">
    <w:name w:val="toc 8"/>
    <w:basedOn w:val="TOC1"/>
    <w:next w:val="a"/>
    <w:autoRedefine/>
    <w:semiHidden/>
    <w:qFormat/>
    <w:pPr>
      <w:spacing w:before="180"/>
      <w:ind w:left="2693" w:hanging="2693"/>
    </w:pPr>
    <w:rPr>
      <w:b/>
    </w:rPr>
  </w:style>
  <w:style w:type="paragraph" w:styleId="ad">
    <w:name w:val="Balloon Text"/>
    <w:basedOn w:val="a"/>
    <w:autoRedefine/>
    <w:semiHidden/>
    <w:qFormat/>
    <w:rPr>
      <w:rFonts w:ascii="Tahoma" w:hAnsi="Tahoma" w:cs="Tahoma"/>
      <w:sz w:val="16"/>
      <w:szCs w:val="16"/>
    </w:rPr>
  </w:style>
  <w:style w:type="paragraph" w:styleId="ae">
    <w:name w:val="footer"/>
    <w:basedOn w:val="af"/>
    <w:autoRedefine/>
    <w:qFormat/>
    <w:pPr>
      <w:jc w:val="center"/>
    </w:pPr>
    <w:rPr>
      <w:i/>
    </w:rPr>
  </w:style>
  <w:style w:type="paragraph" w:styleId="af">
    <w:name w:val="header"/>
    <w:link w:val="af0"/>
    <w:autoRedefine/>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next w:val="a"/>
    <w:autoRedefine/>
    <w:semiHidden/>
    <w:qFormat/>
    <w:pPr>
      <w:ind w:left="1418" w:hanging="1418"/>
    </w:pPr>
  </w:style>
  <w:style w:type="paragraph" w:styleId="24">
    <w:name w:val="Body Text 2"/>
    <w:basedOn w:val="a"/>
    <w:autoRedefine/>
    <w:qFormat/>
    <w:pPr>
      <w:overflowPunct/>
      <w:autoSpaceDE/>
      <w:autoSpaceDN/>
      <w:adjustRightInd/>
      <w:textAlignment w:val="auto"/>
    </w:pPr>
    <w:rPr>
      <w:rFonts w:eastAsia="MS Mincho"/>
      <w:color w:val="FFFF00"/>
      <w:lang w:eastAsia="ja-JP"/>
    </w:rPr>
  </w:style>
  <w:style w:type="paragraph" w:styleId="af3">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4">
    <w:name w:val="annotation subject"/>
    <w:basedOn w:val="a9"/>
    <w:next w:val="a9"/>
    <w:autoRedefine/>
    <w:semiHidden/>
    <w:qFormat/>
    <w:pPr>
      <w:overflowPunct w:val="0"/>
      <w:autoSpaceDE w:val="0"/>
      <w:autoSpaceDN w:val="0"/>
      <w:adjustRightInd w:val="0"/>
      <w:textAlignment w:val="baseline"/>
    </w:pPr>
    <w:rPr>
      <w:rFonts w:eastAsia="Times New Roman"/>
      <w:b/>
      <w:bCs/>
    </w:rPr>
  </w:style>
  <w:style w:type="table" w:styleId="af5">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autoRedefine/>
    <w:semiHidden/>
    <w:unhideWhenUsed/>
    <w:qFormat/>
    <w:rPr>
      <w:color w:val="800080"/>
      <w:u w:val="single"/>
    </w:rPr>
  </w:style>
  <w:style w:type="character" w:styleId="af7">
    <w:name w:val="Hyperlink"/>
    <w:autoRedefine/>
    <w:uiPriority w:val="99"/>
    <w:qFormat/>
    <w:rPr>
      <w:color w:val="0000FF"/>
      <w:u w:val="single"/>
    </w:rPr>
  </w:style>
  <w:style w:type="character" w:styleId="af8">
    <w:name w:val="annotation reference"/>
    <w:semiHidden/>
    <w:qFormat/>
    <w:rPr>
      <w:sz w:val="16"/>
    </w:rPr>
  </w:style>
  <w:style w:type="character" w:styleId="af9">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autoRedefine/>
    <w:qFormat/>
    <w:pPr>
      <w:keepLines/>
      <w:ind w:left="1702" w:hanging="1418"/>
    </w:pPr>
  </w:style>
  <w:style w:type="paragraph" w:customStyle="1" w:styleId="FP">
    <w:name w:val="FP"/>
    <w:basedOn w:val="a"/>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3"/>
    <w:link w:val="B1Char"/>
    <w:autoRedefine/>
    <w:qFormat/>
  </w:style>
  <w:style w:type="paragraph" w:customStyle="1" w:styleId="B2">
    <w:name w:val="B2"/>
    <w:basedOn w:val="21"/>
    <w:link w:val="B2Char"/>
    <w:autoRedefine/>
    <w:qFormat/>
  </w:style>
  <w:style w:type="paragraph" w:customStyle="1" w:styleId="B3">
    <w:name w:val="B3"/>
    <w:basedOn w:val="30"/>
    <w:autoRedefine/>
    <w:qFormat/>
  </w:style>
  <w:style w:type="paragraph" w:customStyle="1" w:styleId="B4">
    <w:name w:val="B4"/>
    <w:basedOn w:val="41"/>
    <w:qFormat/>
  </w:style>
  <w:style w:type="paragraph" w:customStyle="1" w:styleId="B5">
    <w:name w:val="B5"/>
    <w:basedOn w:val="51"/>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a7">
    <w:name w:val="题注 字符"/>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autoRedefine/>
    <w:qFormat/>
    <w:rPr>
      <w:rFonts w:ascii="Times New Roman" w:hAnsi="Times New Roman"/>
      <w:lang w:val="en-GB"/>
    </w:rPr>
  </w:style>
  <w:style w:type="character" w:customStyle="1" w:styleId="aa">
    <w:name w:val="批注文字 字符"/>
    <w:link w:val="a9"/>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autoRedefine/>
    <w:uiPriority w:val="34"/>
    <w:qFormat/>
    <w:locked/>
    <w:rPr>
      <w:rFonts w:ascii="Times New Roman" w:hAnsi="Times New Roman"/>
      <w:sz w:val="24"/>
      <w:szCs w:val="24"/>
      <w:lang w:val="fi-FI" w:eastAsia="zh-CN"/>
    </w:rPr>
  </w:style>
  <w:style w:type="character" w:styleId="afc">
    <w:name w:val="Placeholder Text"/>
    <w:basedOn w:val="a0"/>
    <w:autoRedefine/>
    <w:uiPriority w:val="99"/>
    <w:semiHidden/>
    <w:qFormat/>
    <w:rPr>
      <w:color w:val="808080"/>
    </w:rPr>
  </w:style>
  <w:style w:type="character" w:customStyle="1" w:styleId="af0">
    <w:name w:val="页眉 字符"/>
    <w:basedOn w:val="a0"/>
    <w:link w:val="af"/>
    <w:autoRedefine/>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autoRedefine/>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afd">
    <w:name w:val="No Spacing"/>
    <w:autoRedefine/>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2">
    <w:name w:val="未处理的提及1"/>
    <w:basedOn w:val="a0"/>
    <w:autoRedefine/>
    <w:uiPriority w:val="99"/>
    <w:semiHidden/>
    <w:unhideWhenUsed/>
    <w:rPr>
      <w:color w:val="605E5C"/>
      <w:shd w:val="clear" w:color="auto" w:fill="E1DFDD"/>
    </w:rPr>
  </w:style>
  <w:style w:type="character" w:customStyle="1" w:styleId="26">
    <w:name w:val="未处理的提及2"/>
    <w:basedOn w:val="a0"/>
    <w:autoRedefine/>
    <w:uiPriority w:val="99"/>
    <w:semiHidden/>
    <w:unhideWhenUsed/>
    <w:qFormat/>
    <w:rPr>
      <w:color w:val="605E5C"/>
      <w:shd w:val="clear" w:color="auto" w:fill="E1DFDD"/>
    </w:rPr>
  </w:style>
  <w:style w:type="character" w:customStyle="1" w:styleId="UnresolvedMention2">
    <w:name w:val="Unresolved Mention2"/>
    <w:basedOn w:val="a0"/>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a1"/>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7.xml><?xml version="1.0" encoding="utf-8"?>
<ds:datastoreItem xmlns:ds="http://schemas.openxmlformats.org/officeDocument/2006/customXml" ds:itemID="{270058FA-0D23-48CE-B8AC-0082D224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61</Pages>
  <Words>23868</Words>
  <Characters>136051</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159600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Na Li</cp:lastModifiedBy>
  <cp:revision>2</cp:revision>
  <cp:lastPrinted>2016-06-20T11:35:00Z</cp:lastPrinted>
  <dcterms:created xsi:type="dcterms:W3CDTF">2024-05-22T01:31:00Z</dcterms:created>
  <dcterms:modified xsi:type="dcterms:W3CDTF">2024-05-22T01:31:00Z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