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77777777" w:rsidR="00293A4E" w:rsidRDefault="007D5FFC">
      <w:pPr>
        <w:pStyle w:val="Header"/>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Header"/>
        <w:rPr>
          <w:bCs/>
          <w:sz w:val="24"/>
          <w:szCs w:val="24"/>
        </w:rPr>
      </w:pPr>
      <w:r>
        <w:rPr>
          <w:bCs/>
          <w:sz w:val="24"/>
          <w:szCs w:val="24"/>
        </w:rPr>
        <w:t>Fukuoka City, Fukuoka, Japan, May 20th – 24th, 2024</w:t>
      </w:r>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 xml:space="preserve">Discussion and </w:t>
      </w:r>
      <w:r>
        <w:rPr>
          <w:rFonts w:ascii="Arial" w:hAnsi="Arial" w:cs="Arial"/>
          <w:b/>
          <w:bCs/>
          <w:sz w:val="24"/>
          <w:szCs w:val="24"/>
        </w:rPr>
        <w:t>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 xml:space="preserve">Specify the following user plane </w:t>
            </w:r>
            <w:r>
              <w:rPr>
                <w:sz w:val="16"/>
                <w:szCs w:val="16"/>
              </w:rPr>
              <w:t>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 xml:space="preserve">Extend Release 18 </w:t>
            </w:r>
            <w:r>
              <w:rPr>
                <w:sz w:val="16"/>
                <w:szCs w:val="16"/>
              </w:rPr>
              <w:t>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 xml:space="preserve">The design </w:t>
            </w:r>
            <w:r>
              <w:rPr>
                <w:lang w:eastAsia="zh-CN"/>
              </w:rPr>
              <w:t>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w:t>
            </w:r>
            <w:r>
              <w:rPr>
                <w:b w:val="0"/>
                <w:sz w:val="20"/>
              </w:rPr>
              <w:t xml:space="preserve">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 xml:space="preserve">Proposal 4: Temporary measurement gap modification to enable Tx/Rx can be at least in a form of skipping a </w:t>
            </w:r>
            <w:r>
              <w:t>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 xml:space="preserve">Alt. 1-1: Explicit indication by DCI to </w:t>
            </w:r>
            <w:r>
              <w:rPr>
                <w:rFonts w:eastAsia="Batang"/>
                <w:lang w:val="en-US" w:eastAsia="zh-CN"/>
              </w:rPr>
              <w:t>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xml:space="preserve">. Due to uncertainty in application packet arrival and size, as well as uncertainty in scheduling a </w:t>
            </w:r>
            <w:r>
              <w:rPr>
                <w:lang w:eastAsia="zh-CN"/>
              </w:rPr>
              <w:t>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xml:space="preserve">: Dynamic scheduling of data overlapping with MGs is an </w:t>
            </w:r>
            <w:r>
              <w:rPr>
                <w:rFonts w:eastAsia="Times"/>
                <w:b w:val="0"/>
                <w:bCs/>
                <w:lang w:val="en-US"/>
              </w:rPr>
              <w:t>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 xml:space="preserve">Proposal 1: </w:t>
            </w:r>
            <w:r>
              <w:t>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 xml:space="preserve">Alt 1-3: Implicit indication by DCI scheduling a transmission/reception overlapping with a gap(s)/restriction(s) to skip the </w:t>
            </w:r>
            <w:r>
              <w:rPr>
                <w:sz w:val="20"/>
                <w:szCs w:val="20"/>
                <w:lang w:val="en-US"/>
              </w:rPr>
              <w:t>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 xml:space="preserve">Proposal 2: If the time offset is agreed to be large (e.g., larger than 2ms): Adopt Alt 1-1/1-2 for </w:t>
            </w:r>
            <w:r>
              <w:t>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w:t>
            </w:r>
            <w:r>
              <w:rPr>
                <w:b w:val="0"/>
                <w:sz w:val="20"/>
              </w:rPr>
              <w:t xml:space="preserve">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 xml:space="preserve">Alt 1-3: Implicit indication by legacy DCI scheduling a PDSCH/PUSCH/PUCCH overlapping with a gap(s)/restriction(s) to skip the </w:t>
            </w:r>
            <w:r>
              <w:rPr>
                <w:rFonts w:eastAsiaTheme="minorEastAsia"/>
                <w:color w:val="000000"/>
                <w:sz w:val="20"/>
                <w:szCs w:val="20"/>
                <w:lang w:val="en-US"/>
              </w:rPr>
              <w:t>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 xml:space="preserve">Proposal 2: The Alt.2: semi-persistent solution should be </w:t>
            </w:r>
            <w:r>
              <w:rPr>
                <w:lang w:val="en-US" w:eastAsia="zh-CN"/>
              </w:rPr>
              <w:t>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xml:space="preserve">: Timeline of the MG </w:t>
            </w:r>
            <w:r>
              <w:rPr>
                <w:b w:val="0"/>
                <w:bCs/>
              </w:rPr>
              <w:t>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 xml:space="preserve">Proposal 4: Deprioritize Alt. 2 for the solution to enable Tx/Rx in gaps/restrictions that are caused by RRM </w:t>
            </w:r>
            <w:r>
              <w:rPr>
                <w:b w:val="0"/>
                <w:sz w:val="20"/>
              </w:rPr>
              <w:t>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 xml:space="preserve">Proposal 5: De-prioritize semi-persistent solutions with deactivation/activation of SMTC windows as those are anticipated to offer no benefits over dynamic DCI based solutions. Thus, </w:t>
            </w:r>
            <w:r>
              <w:rPr>
                <w:lang w:val="en-US"/>
              </w:rPr>
              <w:t>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Alt 2-1: gNB</w:t>
            </w:r>
            <w:r>
              <w:rPr>
                <w:sz w:val="20"/>
                <w:szCs w:val="20"/>
                <w:lang w:val="en-GB"/>
              </w:rPr>
              <w:t xml:space="preserve">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w:t>
            </w:r>
            <w:r>
              <w:rPr>
                <w:sz w:val="20"/>
                <w:szCs w:val="20"/>
                <w:lang w:val="en-US"/>
              </w:rPr>
              <w:t>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5pt" o:ole="">
                  <v:imagedata r:id="rId21" o:title=""/>
                </v:shape>
                <o:OLEObject Type="Embed" ProgID="Visio.Drawing.15" ShapeID="_x0000_i1025" DrawAspect="Content" ObjectID="_1777876237"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5pt;height:49pt" o:ole="">
                  <v:imagedata r:id="rId23" o:title=""/>
                </v:shape>
                <o:OLEObject Type="Embed" ProgID="Visio.Drawing.15" ShapeID="_x0000_i1026" DrawAspect="Content" ObjectID="_1777876238"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 xml:space="preserve">As baseline solution, support Alt. 3-1: Configure a </w:t>
            </w:r>
            <w:r>
              <w:rPr>
                <w:lang w:val="en-US"/>
              </w:rPr>
              <w:t>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 xml:space="preserve">DCI </w:t>
            </w:r>
            <w:r>
              <w:rPr>
                <w:lang w:val="en-US"/>
              </w:rPr>
              <w:t>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 xml:space="preserve">Deprioritize Alt. 3-1 / 3-2 like </w:t>
            </w:r>
            <w:r>
              <w:rPr>
                <w:b w:val="0"/>
                <w:sz w:val="20"/>
              </w:rPr>
              <w:t>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5pt;height:50.5pt" o:ole="">
                  <v:imagedata r:id="rId26" o:title=""/>
                </v:shape>
                <o:OLEObject Type="Embed" ProgID="Visio.Drawing.15" ShapeID="_x0000_i1027" DrawAspect="Content" ObjectID="_1777876239"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pt;height:74pt" o:ole="">
                  <v:imagedata r:id="rId29" o:title=""/>
                </v:shape>
                <o:OLEObject Type="Embed" ProgID="Visio.Drawing.15" ShapeID="_x0000_i1028" DrawAspect="Content" ObjectID="_1777876240"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w:t>
            </w:r>
            <w:r>
              <w:rPr>
                <w:sz w:val="20"/>
                <w:szCs w:val="20"/>
                <w:lang w:val="en-US"/>
              </w:rPr>
              <w:t>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 xml:space="preserve">For </w:t>
            </w:r>
            <w:r>
              <w:rPr>
                <w:rFonts w:eastAsia="Batang"/>
                <w:b w:val="0"/>
              </w:rPr>
              <w:t>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 xml:space="preserve">Alt. 3: Semi-static solution to enable </w:t>
            </w:r>
            <w:r>
              <w:rPr>
                <w:rFonts w:eastAsia="Batang"/>
                <w:lang w:eastAsia="zh-CN"/>
              </w:rPr>
              <w:t>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 xml:space="preserve">The semi-persistent signaling approach may </w:t>
            </w:r>
            <w:r>
              <w:rPr>
                <w:lang w:val="en-US"/>
              </w:rPr>
              <w:t>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 xml:space="preserve">Proposal 6: Alt 3-1/3-3 can be considered as complements to Alt 1-1. But, as Alt 1-1 offers better flexibility it should be </w:t>
            </w:r>
            <w:r>
              <w:rPr>
                <w:lang w:val="en-US"/>
              </w:rPr>
              <w:t>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 xml:space="preserve">III: has less </w:t>
            </w:r>
            <w:r>
              <w:rPr>
                <w:sz w:val="20"/>
                <w:szCs w:val="20"/>
                <w:lang w:val="en-US"/>
              </w:rPr>
              <w:t>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w:t>
            </w:r>
            <w:r>
              <w:rPr>
                <w:sz w:val="20"/>
                <w:szCs w:val="20"/>
                <w:lang w:val="en-US"/>
              </w:rPr>
              <w:t>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w:t>
            </w:r>
            <w:r>
              <w:rPr>
                <w:sz w:val="20"/>
                <w:szCs w:val="20"/>
                <w:lang w:val="en-US"/>
              </w:rPr>
              <w:t>,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 xml:space="preserve">Alt. 1 + Alt 3-3/3-4 for </w:t>
            </w:r>
            <w:r>
              <w:rPr>
                <w:sz w:val="20"/>
                <w:szCs w:val="20"/>
                <w:lang w:val="en-US"/>
              </w:rPr>
              <w:t>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 xml:space="preserve">Alt. 3-1 Configure a pattern(s) via RRC to indicate </w:t>
      </w:r>
      <w:r>
        <w:rPr>
          <w:lang w:val="en-US"/>
        </w:rPr>
        <w:t>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 xml:space="preserve">The “particular semi-statically pre-configured Tx/Rx occasions” in Alt 3-3 </w:t>
      </w:r>
      <w:r>
        <w:rPr>
          <w:rFonts w:eastAsiaTheme="minorEastAsia"/>
          <w:color w:val="000000"/>
          <w:sz w:val="20"/>
          <w:szCs w:val="20"/>
          <w:lang w:val="en-US"/>
        </w:rPr>
        <w:t>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w:t>
      </w:r>
      <w:r>
        <w:t xml:space="preserve">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Option 2:</w:t>
            </w:r>
            <w:r>
              <w:rPr>
                <w:sz w:val="20"/>
                <w:szCs w:val="20"/>
                <w:lang w:val="fr-FR"/>
              </w:rPr>
              <w:t xml:space="preserve">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w:t>
            </w:r>
            <w:r>
              <w:t xml:space="preserve">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w:t>
            </w:r>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w:t>
            </w:r>
            <w:r>
              <w:rPr>
                <w:color w:val="00B050"/>
                <w:sz w:val="20"/>
                <w:szCs w:val="20"/>
                <w:lang w:val="en-US"/>
              </w:rPr>
              <w:t xml:space="preserve">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w:t>
            </w:r>
            <w:r>
              <w: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 xml:space="preserve">We do not support Alt2, which has </w:t>
            </w:r>
            <w:r>
              <w:rPr>
                <w:lang w:val="en-US" w:eastAsia="zh-CN"/>
              </w:rPr>
              <w:t>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For XR traffic, they are semi-periodic. So</w:t>
            </w:r>
            <w:r>
              <w:rPr>
                <w:lang w:val="en-US" w:eastAsia="zh-CN"/>
              </w:rPr>
              <w:t xml:space="preserve">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 xml:space="preserve">Combination of </w:t>
            </w:r>
            <w:r>
              <w:rPr>
                <w:lang w:val="en-US"/>
              </w:rPr>
              <w:t>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w:t>
            </w:r>
            <w:r>
              <w:rPr>
                <w:lang w:eastAsia="zh-CN"/>
              </w:rPr>
              <w:t xml:space="preserve">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44DFF0DA" w14:textId="77777777" w:rsidR="00293A4E" w:rsidRDefault="007D5FFC">
            <w:pPr>
              <w:pStyle w:val="ListParagraph"/>
              <w:numPr>
                <w:ilvl w:val="1"/>
                <w:numId w:val="38"/>
              </w:numPr>
              <w:rPr>
                <w:sz w:val="20"/>
                <w:szCs w:val="20"/>
                <w:lang w:val="fr-FR"/>
              </w:rPr>
            </w:pPr>
            <w:r>
              <w:rPr>
                <w:sz w:val="20"/>
                <w:szCs w:val="20"/>
                <w:lang w:val="en-US"/>
              </w:rPr>
              <w:t>FFS: whether to support additional solution to complement Alt. 2.</w:t>
            </w:r>
          </w:p>
          <w:p w14:paraId="5E27C212" w14:textId="77777777" w:rsidR="00293A4E" w:rsidRDefault="007D5FFC">
            <w:pPr>
              <w:pStyle w:val="ListParagraph"/>
              <w:numPr>
                <w:ilvl w:val="1"/>
                <w:numId w:val="38"/>
              </w:numPr>
              <w:rPr>
                <w:sz w:val="20"/>
                <w:szCs w:val="20"/>
                <w:lang w:val="fr-FR"/>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 xml:space="preserve">High </w:t>
      </w:r>
      <w:r>
        <w:t>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 xml:space="preserve">At least Alt1 is </w:t>
      </w:r>
      <w:r>
        <w:rPr>
          <w:lang w:val="en-US"/>
        </w:rPr>
        <w:t>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w:t>
            </w:r>
            <w:r>
              <w:rPr>
                <w:lang w:val="en-US" w:eastAsia="zh-CN"/>
              </w:rPr>
              <w:t>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xml:space="preserve">, during online session some companies were mentioning about combination of alternatives to complement each other. How exactly such </w:t>
            </w:r>
            <w:r>
              <w:rPr>
                <w:rFonts w:eastAsia="Malgun Gothic"/>
                <w:lang w:eastAsia="ko-KR"/>
              </w:rPr>
              <w:t>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w:t>
            </w:r>
            <w:r>
              <w:rPr>
                <w:rFonts w:hint="eastAsia"/>
                <w:lang w:val="en-US" w:eastAsia="zh-CN"/>
              </w:rPr>
              <w:t>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3A199B">
        <w:tc>
          <w:tcPr>
            <w:tcW w:w="2122" w:type="dxa"/>
          </w:tcPr>
          <w:p w14:paraId="5A7D77AD" w14:textId="77777777" w:rsidR="007D5FFC" w:rsidRDefault="007D5FFC" w:rsidP="003A199B">
            <w:pPr>
              <w:rPr>
                <w:rFonts w:hint="eastAsia"/>
                <w:lang w:eastAsia="zh-CN"/>
              </w:rPr>
            </w:pPr>
            <w:r>
              <w:rPr>
                <w:rFonts w:hint="eastAsia"/>
                <w:lang w:eastAsia="zh-CN"/>
              </w:rPr>
              <w:t>Qualcomm</w:t>
            </w:r>
          </w:p>
        </w:tc>
        <w:tc>
          <w:tcPr>
            <w:tcW w:w="7507" w:type="dxa"/>
          </w:tcPr>
          <w:p w14:paraId="1A64FF84" w14:textId="77777777" w:rsidR="007D5FFC" w:rsidRDefault="007D5FFC" w:rsidP="003A199B">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3A199B">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3A199B">
            <w:pPr>
              <w:rPr>
                <w:rFonts w:hint="eastAsia"/>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293A4E" w14:paraId="5FFB859E" w14:textId="77777777">
        <w:tc>
          <w:tcPr>
            <w:tcW w:w="2122" w:type="dxa"/>
          </w:tcPr>
          <w:p w14:paraId="76F7EC16" w14:textId="77777777" w:rsidR="00293A4E" w:rsidRDefault="00293A4E"/>
        </w:tc>
        <w:tc>
          <w:tcPr>
            <w:tcW w:w="7507" w:type="dxa"/>
          </w:tcPr>
          <w:p w14:paraId="20290041" w14:textId="77777777" w:rsidR="00293A4E" w:rsidRDefault="00293A4E"/>
        </w:tc>
      </w:tr>
      <w:tr w:rsidR="00293A4E" w14:paraId="7813409B" w14:textId="77777777">
        <w:tc>
          <w:tcPr>
            <w:tcW w:w="2122" w:type="dxa"/>
          </w:tcPr>
          <w:p w14:paraId="4F41ED97" w14:textId="77777777" w:rsidR="00293A4E" w:rsidRDefault="00293A4E"/>
        </w:tc>
        <w:tc>
          <w:tcPr>
            <w:tcW w:w="7507" w:type="dxa"/>
          </w:tcPr>
          <w:p w14:paraId="2F44A8FA" w14:textId="77777777" w:rsidR="00293A4E" w:rsidRDefault="00293A4E"/>
        </w:tc>
      </w:tr>
      <w:tr w:rsidR="00293A4E" w14:paraId="286F4DAF" w14:textId="77777777">
        <w:tc>
          <w:tcPr>
            <w:tcW w:w="2122" w:type="dxa"/>
          </w:tcPr>
          <w:p w14:paraId="15A26695" w14:textId="77777777" w:rsidR="00293A4E" w:rsidRDefault="00293A4E"/>
        </w:tc>
        <w:tc>
          <w:tcPr>
            <w:tcW w:w="7507" w:type="dxa"/>
          </w:tcPr>
          <w:p w14:paraId="124627BE" w14:textId="77777777" w:rsidR="00293A4E" w:rsidRDefault="00293A4E"/>
        </w:tc>
      </w:tr>
    </w:tbl>
    <w:p w14:paraId="51040C1D" w14:textId="77777777" w:rsidR="00293A4E" w:rsidRDefault="00293A4E"/>
    <w:p w14:paraId="235190B3" w14:textId="77777777" w:rsidR="00293A4E" w:rsidRDefault="00293A4E"/>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 xml:space="preserve">Proposal 7: the minimum time gap between the end of a PDCCH indicating time-window and the start of the time-window is non-zero; and its duration can be a UE </w:t>
            </w:r>
            <w:r>
              <w:rPr>
                <w:lang w:eastAsia="zh-CN"/>
              </w:rPr>
              <w:t>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0FA87534">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xml:space="preserve">: Illustration of dynamic indication of a MG </w:t>
            </w:r>
            <w:r>
              <w:t>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lastRenderedPageBreak/>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m:t>
              </m:r>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 xml:space="preserve">Proposal 1: In Alt 1 (Dynamic indication), the time offset between the end of received dynamic indication and start of gap(s)/restriction(s) occasion that is going to be skipped shall be larger than X, e.g., X could be equal to PUSCH </w:t>
            </w:r>
            <w:r>
              <w:rPr>
                <w:lang w:val="en-US"/>
              </w:rPr>
              <w:t>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876241"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lastRenderedPageBreak/>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 xml:space="preserve">During the previous meeting RAN1#116bis, different </w:t>
      </w:r>
      <w:r>
        <w:rPr>
          <w:lang w:val="en-US"/>
        </w:rPr>
        <w:t>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7D5FFC">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Pr>
          <w:lang w:val="en-US"/>
        </w:rPr>
        <w:t xml:space="preserve"> is the corresponding timing (in milliseconds),</w:t>
      </w:r>
    </w:p>
    <w:p w14:paraId="792F808B" w14:textId="77777777" w:rsidR="00293A4E" w:rsidRDefault="007D5FFC">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Pr>
          <w:lang w:val="en-US"/>
        </w:rPr>
        <w:t xml:space="preserve"> is the number of slots per subframe for the SCS configuration </w:t>
      </w:r>
      <m:oMath>
        <m:r>
          <w:rPr>
            <w:rFonts w:ascii="Cambria Math" w:hAnsi="Cambria Math"/>
            <w:lang w:val="en-US"/>
          </w:rPr>
          <m:t>μ</m:t>
        </m:r>
      </m:oMath>
      <w:r>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 xml:space="preserve">Moderator’s </w:t>
      </w:r>
      <w:r>
        <w:rPr>
          <w:highlight w:val="cyan"/>
          <w:lang w:val="en-US"/>
        </w:rPr>
        <w:t>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w:t>
      </w:r>
      <w:r>
        <w:t xml:space="preserv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w:t>
            </w:r>
            <w:r>
              <w:t>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Proposal 8: a UE may provide assistance</w:t>
            </w:r>
            <w:r>
              <w:t xml:space="preserv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 xml:space="preserve">Proposal 3. Support to introduce new UE assistance information for solution(s) to enable Tx/Rx in gaps/restrictions that are caused by RRM measurements. At least consider the following UE </w:t>
            </w:r>
            <w:r>
              <w:rPr>
                <w:rFonts w:eastAsiaTheme="minorEastAsia"/>
                <w:lang w:val="en-US" w:eastAsia="zh-CN"/>
              </w:rPr>
              <w:t>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w:t>
                  </w:r>
                  <w:r>
                    <w:rPr>
                      <w:vertAlign w:val="subscript"/>
                    </w:rPr>
                    <w:t>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r>
                    <w:rPr>
                      <w:rFonts w:cs="Arial"/>
                      <w:b/>
                      <w:bCs/>
                      <w:sz w:val="18"/>
                      <w:szCs w:val="18"/>
                      <w:vertAlign w:val="subscript"/>
                    </w:rPr>
                    <w:t>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w:t>
            </w:r>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w:t>
            </w:r>
            <w:r>
              <w:rPr>
                <w:lang w:val="en-US"/>
              </w:rPr>
              <w:t xml:space="preserve">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r>
            <w:r>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 xml:space="preserve">The network already has sufficient information about the RSRP/RSRQ, mobility status and the </w:t>
            </w:r>
            <w:r>
              <w:t>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 xml:space="preserve">Proposal 5: Introduce one-shot new UE assistance information for solution(s) to enable Tx/Rx in gaps/restrictions that are caused by RRM </w:t>
            </w:r>
            <w:r>
              <w:t>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 xml:space="preserve">XR packet transmission time = </w:t>
                  </w:r>
                  <w:r>
                    <w:rPr>
                      <w:rFonts w:eastAsiaTheme="minorEastAsia"/>
                      <w:sz w:val="16"/>
                      <w:szCs w:val="21"/>
                      <w:lang w:eastAsia="zh-CN"/>
                    </w:rPr>
                    <w:t>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 xml:space="preserve">RRM measurements prediction can be used by the UE in </w:t>
      </w:r>
      <w:r>
        <w:rPr>
          <w:sz w:val="20"/>
          <w:szCs w:val="20"/>
          <w:lang w:val="en-US"/>
        </w:rPr>
        <w:t>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benefit of a new UAI should be </w:t>
      </w:r>
      <w:r>
        <w:rPr>
          <w:rFonts w:eastAsia="Batang"/>
          <w:sz w:val="20"/>
          <w:szCs w:val="20"/>
          <w:lang w:val="en-US"/>
        </w:rPr>
        <w:t>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w:t>
            </w:r>
            <w:r>
              <w:rPr>
                <w:rFonts w:hint="eastAsia"/>
                <w:lang w:val="en-US" w:eastAsia="zh-CN"/>
              </w:rPr>
              <w:t xml:space="preserv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 xml:space="preserve">Q2: </w:t>
            </w:r>
            <w:r>
              <w:t>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w:t>
            </w:r>
            <w:r>
              <w:t>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lastRenderedPageBreak/>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t xml:space="preserve">the patterns of </w:t>
            </w:r>
            <w:r>
              <w:rPr>
                <w:sz w:val="20"/>
                <w:szCs w:val="20"/>
                <w:lang w:val="en-US"/>
              </w:rPr>
              <w:t>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w:t>
            </w:r>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or UL service, gNB</w:t>
            </w:r>
            <w:r>
              <w:t xml:space="preserve">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w:t>
      </w:r>
      <w:r>
        <w:t>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lastRenderedPageBreak/>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3A199B">
        <w:tc>
          <w:tcPr>
            <w:tcW w:w="2122" w:type="dxa"/>
          </w:tcPr>
          <w:p w14:paraId="3B63FF79" w14:textId="77777777" w:rsidR="00456B28" w:rsidRDefault="00456B28" w:rsidP="003A199B">
            <w:pPr>
              <w:rPr>
                <w:rFonts w:hint="eastAsia"/>
                <w:lang w:eastAsia="zh-CN"/>
              </w:rPr>
            </w:pPr>
            <w:r>
              <w:rPr>
                <w:rFonts w:hint="eastAsia"/>
                <w:lang w:eastAsia="zh-CN"/>
              </w:rPr>
              <w:t>Qualcomm</w:t>
            </w:r>
          </w:p>
        </w:tc>
        <w:tc>
          <w:tcPr>
            <w:tcW w:w="7507" w:type="dxa"/>
          </w:tcPr>
          <w:p w14:paraId="064CAB3D" w14:textId="77777777" w:rsidR="00456B28" w:rsidRDefault="00456B28" w:rsidP="003A199B">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3A199B">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3A199B">
            <w:pPr>
              <w:rPr>
                <w:rFonts w:hint="eastAsia"/>
                <w:i/>
                <w:iCs/>
                <w:lang w:eastAsia="zh-CN"/>
              </w:rPr>
            </w:pPr>
            <w:r w:rsidRPr="00F22E77">
              <w:rPr>
                <w:rFonts w:hint="eastAsia"/>
                <w:i/>
                <w:iCs/>
                <w:lang w:eastAsia="zh-CN"/>
              </w:rPr>
              <w:lastRenderedPageBreak/>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293A4E" w14:paraId="3A24F1EB" w14:textId="77777777">
        <w:tc>
          <w:tcPr>
            <w:tcW w:w="2122" w:type="dxa"/>
          </w:tcPr>
          <w:p w14:paraId="33EE1A40" w14:textId="77777777" w:rsidR="00293A4E" w:rsidRDefault="00293A4E"/>
        </w:tc>
        <w:tc>
          <w:tcPr>
            <w:tcW w:w="7507" w:type="dxa"/>
          </w:tcPr>
          <w:p w14:paraId="5071D5D3" w14:textId="77777777" w:rsidR="00293A4E" w:rsidRDefault="00293A4E"/>
        </w:tc>
      </w:tr>
      <w:tr w:rsidR="00293A4E" w14:paraId="20D80D2A" w14:textId="77777777">
        <w:tc>
          <w:tcPr>
            <w:tcW w:w="2122" w:type="dxa"/>
          </w:tcPr>
          <w:p w14:paraId="36619E49" w14:textId="77777777" w:rsidR="00293A4E" w:rsidRDefault="00293A4E"/>
        </w:tc>
        <w:tc>
          <w:tcPr>
            <w:tcW w:w="7507" w:type="dxa"/>
          </w:tcPr>
          <w:p w14:paraId="5A022F29" w14:textId="77777777" w:rsidR="00293A4E" w:rsidRDefault="00293A4E"/>
        </w:tc>
      </w:tr>
      <w:tr w:rsidR="00293A4E" w14:paraId="6D0557E7" w14:textId="77777777">
        <w:tc>
          <w:tcPr>
            <w:tcW w:w="2122" w:type="dxa"/>
          </w:tcPr>
          <w:p w14:paraId="1B7DD2DC" w14:textId="77777777" w:rsidR="00293A4E" w:rsidRDefault="00293A4E"/>
        </w:tc>
        <w:tc>
          <w:tcPr>
            <w:tcW w:w="7507" w:type="dxa"/>
          </w:tcPr>
          <w:p w14:paraId="450F0A27" w14:textId="77777777" w:rsidR="00293A4E" w:rsidRDefault="00293A4E"/>
        </w:tc>
      </w:tr>
    </w:tbl>
    <w:p w14:paraId="010A1BAD" w14:textId="77777777" w:rsidR="00293A4E" w:rsidRDefault="00293A4E"/>
    <w:p w14:paraId="7BD47EE8" w14:textId="77777777" w:rsidR="00293A4E" w:rsidRDefault="00293A4E"/>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r>
        <w:t>Companies</w:t>
      </w:r>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 xml:space="preserve">UE assesses whether the remaining transmission time is larger than the configured delay </w:t>
      </w:r>
      <w:r>
        <w:rPr>
          <w:rFonts w:eastAsia="Times"/>
          <w:sz w:val="20"/>
          <w:szCs w:val="20"/>
          <w:lang w:val="en-US"/>
        </w:rPr>
        <w:t>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lastRenderedPageBreak/>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lastRenderedPageBreak/>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 xml:space="preserve">Proposal 3. Partial slots/symbols within measurement restrictions for data </w:t>
            </w:r>
            <w:r>
              <w:rPr>
                <w:lang w:eastAsia="zh-CN"/>
              </w:rPr>
              <w:t>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 xml:space="preserve">Relevant reporting and processing mechanisms for mitigating UEs idle time caused by RRM </w:t>
            </w:r>
            <w:r>
              <w:t>measurements could be deliberated in RAN1, if deemed necessary.</w:t>
            </w:r>
          </w:p>
          <w:p w14:paraId="6208B4BC" w14:textId="77777777" w:rsidR="00293A4E" w:rsidRDefault="007D5FFC">
            <w:pPr>
              <w:spacing w:beforeLines="50" w:before="120"/>
            </w:pPr>
            <w:r>
              <w:lastRenderedPageBreak/>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w:t>
      </w:r>
      <w:r>
        <w:rPr>
          <w:lang w:val="en-US"/>
        </w:rPr>
        <w:t xml:space="preserve">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lastRenderedPageBreak/>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t>Other issues</w:t>
      </w:r>
    </w:p>
    <w:p w14:paraId="6B7CDBB8" w14:textId="77777777" w:rsidR="00293A4E" w:rsidRDefault="00293A4E"/>
    <w:p w14:paraId="30060354" w14:textId="77777777" w:rsidR="00293A4E" w:rsidRDefault="007D5FFC">
      <w:pPr>
        <w:pStyle w:val="Heading3"/>
      </w:pPr>
      <w:r>
        <w:t>Companies</w:t>
      </w:r>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w:t>
      </w:r>
      <w:r>
        <w:rPr>
          <w:lang w:val="en-US"/>
        </w:rPr>
        <w:lastRenderedPageBreak/>
        <w:t xml:space="preserve">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w:t>
      </w:r>
      <w:r>
        <w:rPr>
          <w:b/>
          <w:bCs/>
          <w:lang w:val="en-US"/>
        </w:rPr>
        <w:t>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lastRenderedPageBreak/>
              <w:t>Summary of views:</w:t>
            </w:r>
          </w:p>
          <w:p w14:paraId="4D101AA0" w14:textId="77777777" w:rsidR="00293A4E" w:rsidRDefault="007D5FFC">
            <w:pPr>
              <w:spacing w:after="0"/>
              <w:rPr>
                <w:lang w:val="en-US"/>
              </w:rPr>
            </w:pPr>
            <w:r>
              <w:rPr>
                <w:b/>
                <w:bCs/>
                <w:lang w:val="en-US"/>
              </w:rPr>
              <w:t>Support Alt. 1:</w:t>
            </w:r>
            <w:r>
              <w:rPr>
                <w:lang w:val="en-US"/>
              </w:rPr>
              <w:t xml:space="preserve"> InterDigital</w:t>
            </w:r>
            <w:r>
              <w:rPr>
                <w:lang w:val="en-US"/>
              </w:rPr>
              <w:t xml:space="preserve">,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66209329" w14:textId="77777777" w:rsidR="00293A4E" w:rsidRDefault="007D5FFC">
      <w:pPr>
        <w:pStyle w:val="ListParagraph"/>
        <w:numPr>
          <w:ilvl w:val="1"/>
          <w:numId w:val="38"/>
        </w:numPr>
        <w:rPr>
          <w:sz w:val="20"/>
          <w:szCs w:val="20"/>
          <w:lang w:val="fr-FR"/>
        </w:rPr>
      </w:pPr>
      <w:r>
        <w:rPr>
          <w:sz w:val="20"/>
          <w:szCs w:val="20"/>
          <w:lang w:val="en-US"/>
        </w:rPr>
        <w:t>FFS: whether to support additional solution to complement Alt. 2.</w:t>
      </w:r>
    </w:p>
    <w:p w14:paraId="0ABA6E34" w14:textId="77777777" w:rsidR="00293A4E" w:rsidRDefault="007D5FFC">
      <w:pPr>
        <w:pStyle w:val="ListParagraph"/>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 xml:space="preserve">new UE assistance information related to channel conditions, traffic, UE </w:t>
      </w:r>
      <w:r>
        <w:rPr>
          <w:strike/>
          <w:color w:val="000000" w:themeColor="text1"/>
          <w:lang w:val="en-US"/>
        </w:rPr>
        <w:t>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 xml:space="preserve">In RAN1#117 select one of the following </w:t>
      </w:r>
      <w:r>
        <w:t>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 xml:space="preserve">From RAN1 perspective, when an occasion(s) of gaps/restrictions that are caused by RRM measurements are cancelled/skipped fully, UE is assumed to receive/transmit in the </w:t>
      </w:r>
      <w:r>
        <w:rPr>
          <w:sz w:val="18"/>
          <w:szCs w:val="18"/>
          <w:lang w:val="en-US"/>
        </w:rPr>
        <w:t>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lastRenderedPageBreak/>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 xml:space="preserve">For solutions based on triggering/enabling by network signaling to enable </w:t>
      </w:r>
      <w:r>
        <w:rPr>
          <w:lang w:val="en-US"/>
        </w:rPr>
        <w:t>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 xml:space="preserve">FFS: How to consider time offset between the </w:t>
      </w:r>
      <w:r>
        <w:rPr>
          <w:sz w:val="20"/>
          <w:szCs w:val="20"/>
          <w:lang w:val="en-US"/>
        </w:rPr>
        <w:t>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lastRenderedPageBreak/>
        <w:t>RAN1 continues to discuss and decide whether or not</w:t>
      </w:r>
      <w:r>
        <w:rPr>
          <w:lang w:val="en-US"/>
        </w:rPr>
        <w:t xml:space="preserve">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7D5FFC">
            <w:pPr>
              <w:pStyle w:val="ListParagraph"/>
              <w:ind w:left="0" w:right="742"/>
              <w:rPr>
                <w:sz w:val="20"/>
                <w:szCs w:val="20"/>
              </w:rPr>
            </w:pPr>
            <w:hyperlink r:id="rId40" w:history="1">
              <w:r>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7D5FFC">
            <w:pPr>
              <w:pStyle w:val="ListParagraph"/>
              <w:ind w:left="0" w:right="742"/>
              <w:rPr>
                <w:rFonts w:eastAsia="Times New Roman"/>
                <w:sz w:val="20"/>
                <w:szCs w:val="20"/>
                <w:u w:val="single"/>
                <w:lang w:val="en-US"/>
              </w:rPr>
            </w:pPr>
            <w:hyperlink r:id="rId41" w:history="1">
              <w:r>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7D5FFC">
            <w:pPr>
              <w:pStyle w:val="ListParagraph"/>
              <w:ind w:left="0" w:right="742"/>
              <w:rPr>
                <w:rFonts w:eastAsia="Times New Roman"/>
                <w:sz w:val="20"/>
                <w:szCs w:val="20"/>
                <w:u w:val="single"/>
                <w:lang w:val="en-US"/>
              </w:rPr>
            </w:pPr>
            <w:hyperlink r:id="rId42" w:history="1">
              <w:r>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7D5FFC">
            <w:pPr>
              <w:pStyle w:val="ListParagraph"/>
              <w:ind w:left="0" w:right="742"/>
              <w:rPr>
                <w:rFonts w:eastAsia="Times New Roman"/>
                <w:sz w:val="20"/>
                <w:szCs w:val="20"/>
                <w:u w:val="single"/>
                <w:lang w:val="en-US"/>
              </w:rPr>
            </w:pPr>
            <w:hyperlink r:id="rId43" w:history="1">
              <w:r>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7D5FFC">
            <w:pPr>
              <w:pStyle w:val="ListParagraph"/>
              <w:ind w:left="0" w:right="742"/>
              <w:rPr>
                <w:rFonts w:eastAsia="Times New Roman"/>
                <w:sz w:val="20"/>
                <w:szCs w:val="20"/>
                <w:u w:val="single"/>
                <w:lang w:val="en-US"/>
              </w:rPr>
            </w:pPr>
            <w:hyperlink r:id="rId44" w:history="1">
              <w:r>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7D5FFC">
            <w:pPr>
              <w:pStyle w:val="ListParagraph"/>
              <w:ind w:left="0" w:right="742"/>
              <w:rPr>
                <w:rFonts w:eastAsia="Times New Roman"/>
                <w:sz w:val="20"/>
                <w:szCs w:val="20"/>
                <w:u w:val="single"/>
                <w:lang w:val="en-US"/>
              </w:rPr>
            </w:pPr>
            <w:hyperlink r:id="rId45" w:history="1">
              <w:r>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7D5FFC">
            <w:pPr>
              <w:pStyle w:val="ListParagraph"/>
              <w:ind w:left="0" w:right="742"/>
              <w:rPr>
                <w:rFonts w:eastAsia="Times New Roman"/>
                <w:sz w:val="20"/>
                <w:szCs w:val="20"/>
                <w:u w:val="single"/>
                <w:lang w:val="en-US"/>
              </w:rPr>
            </w:pPr>
            <w:hyperlink r:id="rId46" w:history="1">
              <w:r>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7D5FFC">
            <w:pPr>
              <w:pStyle w:val="ListParagraph"/>
              <w:ind w:left="0" w:right="742"/>
              <w:rPr>
                <w:rFonts w:eastAsia="Times New Roman"/>
                <w:sz w:val="20"/>
                <w:szCs w:val="20"/>
                <w:u w:val="single"/>
                <w:lang w:val="en-US"/>
              </w:rPr>
            </w:pPr>
            <w:hyperlink r:id="rId47" w:history="1">
              <w:r>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7D5FFC">
            <w:pPr>
              <w:pStyle w:val="ListParagraph"/>
              <w:ind w:left="0" w:right="742"/>
              <w:rPr>
                <w:rFonts w:eastAsia="Times New Roman"/>
                <w:sz w:val="20"/>
                <w:szCs w:val="20"/>
                <w:u w:val="single"/>
                <w:lang w:val="en-US"/>
              </w:rPr>
            </w:pPr>
            <w:hyperlink r:id="rId48" w:history="1">
              <w:r>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7D5FFC">
            <w:pPr>
              <w:pStyle w:val="ListParagraph"/>
              <w:ind w:left="0" w:right="1167"/>
              <w:rPr>
                <w:rFonts w:eastAsia="Times New Roman"/>
                <w:sz w:val="20"/>
                <w:szCs w:val="20"/>
                <w:u w:val="single"/>
                <w:lang w:val="en-US"/>
              </w:rPr>
            </w:pPr>
            <w:hyperlink r:id="rId49" w:history="1">
              <w:r>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7D5FFC">
            <w:pPr>
              <w:pStyle w:val="ListParagraph"/>
              <w:ind w:left="0" w:right="1167"/>
              <w:rPr>
                <w:rFonts w:eastAsia="Times New Roman"/>
                <w:sz w:val="20"/>
                <w:szCs w:val="20"/>
                <w:u w:val="single"/>
                <w:lang w:val="en-US"/>
              </w:rPr>
            </w:pPr>
            <w:hyperlink r:id="rId50" w:history="1">
              <w:r>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7D5FFC">
            <w:pPr>
              <w:pStyle w:val="ListParagraph"/>
              <w:ind w:left="0" w:right="1167"/>
              <w:rPr>
                <w:rFonts w:eastAsia="Times New Roman"/>
                <w:sz w:val="20"/>
                <w:szCs w:val="20"/>
                <w:u w:val="single"/>
                <w:lang w:val="en-US"/>
              </w:rPr>
            </w:pPr>
            <w:hyperlink r:id="rId51" w:history="1">
              <w:r>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7D5FFC">
            <w:pPr>
              <w:pStyle w:val="ListParagraph"/>
              <w:ind w:left="0" w:right="742"/>
              <w:rPr>
                <w:rFonts w:eastAsia="Times New Roman"/>
                <w:sz w:val="20"/>
                <w:szCs w:val="20"/>
                <w:u w:val="single"/>
                <w:lang w:val="en-US"/>
              </w:rPr>
            </w:pPr>
            <w:hyperlink r:id="rId52" w:history="1">
              <w:r>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7D5FFC">
            <w:pPr>
              <w:pStyle w:val="ListParagraph"/>
              <w:ind w:left="0" w:right="1167"/>
              <w:rPr>
                <w:rFonts w:eastAsia="Times New Roman"/>
                <w:sz w:val="20"/>
                <w:szCs w:val="20"/>
                <w:u w:val="single"/>
                <w:lang w:val="en-US"/>
              </w:rPr>
            </w:pPr>
            <w:hyperlink r:id="rId53" w:history="1">
              <w:r>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7D5FFC">
            <w:pPr>
              <w:pStyle w:val="ListParagraph"/>
              <w:ind w:left="0" w:right="1167"/>
              <w:rPr>
                <w:rFonts w:eastAsia="Times New Roman"/>
                <w:sz w:val="20"/>
                <w:szCs w:val="20"/>
                <w:u w:val="single"/>
                <w:lang w:val="en-US"/>
              </w:rPr>
            </w:pPr>
            <w:hyperlink r:id="rId54" w:history="1">
              <w:r>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7D5FFC">
            <w:pPr>
              <w:pStyle w:val="ListParagraph"/>
              <w:ind w:left="0" w:right="1167"/>
              <w:rPr>
                <w:rFonts w:eastAsia="Times New Roman"/>
                <w:sz w:val="20"/>
                <w:szCs w:val="20"/>
                <w:u w:val="single"/>
                <w:lang w:val="en-US"/>
              </w:rPr>
            </w:pPr>
            <w:hyperlink r:id="rId55" w:history="1">
              <w:r>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7D5FFC">
            <w:pPr>
              <w:pStyle w:val="ListParagraph"/>
              <w:ind w:left="0" w:right="1167"/>
              <w:rPr>
                <w:rFonts w:eastAsia="Times New Roman"/>
                <w:sz w:val="20"/>
                <w:szCs w:val="20"/>
                <w:u w:val="single"/>
                <w:lang w:val="en-US"/>
              </w:rPr>
            </w:pPr>
            <w:hyperlink r:id="rId56" w:history="1">
              <w:r>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7D5FFC">
            <w:pPr>
              <w:pStyle w:val="ListParagraph"/>
              <w:ind w:left="0" w:right="1167"/>
              <w:rPr>
                <w:rFonts w:eastAsia="Times New Roman"/>
                <w:sz w:val="20"/>
                <w:szCs w:val="20"/>
                <w:u w:val="single"/>
                <w:lang w:val="en-US"/>
              </w:rPr>
            </w:pPr>
            <w:hyperlink r:id="rId57" w:history="1">
              <w:r>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7D5FFC">
            <w:pPr>
              <w:pStyle w:val="ListParagraph"/>
              <w:ind w:left="0" w:right="1167"/>
              <w:rPr>
                <w:rFonts w:eastAsia="Times New Roman"/>
                <w:sz w:val="20"/>
                <w:szCs w:val="20"/>
                <w:u w:val="single"/>
                <w:lang w:val="en-US"/>
              </w:rPr>
            </w:pPr>
            <w:hyperlink r:id="rId58" w:history="1">
              <w:r>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7D5FFC">
            <w:pPr>
              <w:pStyle w:val="ListParagraph"/>
              <w:ind w:left="0" w:right="1167"/>
              <w:rPr>
                <w:rFonts w:eastAsia="Times New Roman"/>
                <w:sz w:val="20"/>
                <w:szCs w:val="20"/>
                <w:u w:val="single"/>
                <w:lang w:val="en-US"/>
              </w:rPr>
            </w:pPr>
            <w:hyperlink r:id="rId59" w:history="1">
              <w:r>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7D5FFC">
            <w:pPr>
              <w:pStyle w:val="ListParagraph"/>
              <w:ind w:left="0" w:right="1167"/>
              <w:rPr>
                <w:rFonts w:eastAsia="Times New Roman"/>
                <w:sz w:val="20"/>
                <w:szCs w:val="20"/>
                <w:u w:val="single"/>
                <w:lang w:val="en-US"/>
              </w:rPr>
            </w:pPr>
            <w:hyperlink r:id="rId60" w:history="1">
              <w:r>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7D5FFC">
            <w:pPr>
              <w:pStyle w:val="ListParagraph"/>
              <w:ind w:left="0" w:right="1167"/>
              <w:rPr>
                <w:rFonts w:eastAsia="Times New Roman"/>
                <w:sz w:val="20"/>
                <w:szCs w:val="20"/>
                <w:u w:val="single"/>
                <w:lang w:val="en-US"/>
              </w:rPr>
            </w:pPr>
            <w:hyperlink r:id="rId61" w:history="1">
              <w:r>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7D5FFC">
            <w:pPr>
              <w:pStyle w:val="ListParagraph"/>
              <w:ind w:left="0" w:right="1167"/>
              <w:rPr>
                <w:rFonts w:eastAsia="Times New Roman"/>
                <w:sz w:val="20"/>
                <w:szCs w:val="20"/>
                <w:u w:val="single"/>
                <w:lang w:val="en-US"/>
              </w:rPr>
            </w:pPr>
            <w:hyperlink r:id="rId62" w:history="1">
              <w:r>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7D5FFC">
            <w:pPr>
              <w:pStyle w:val="ListParagraph"/>
              <w:ind w:left="0" w:right="1167"/>
              <w:rPr>
                <w:rFonts w:eastAsia="Times New Roman"/>
                <w:sz w:val="20"/>
                <w:szCs w:val="20"/>
                <w:u w:val="single"/>
                <w:lang w:val="en-US"/>
              </w:rPr>
            </w:pPr>
            <w:hyperlink r:id="rId63" w:history="1">
              <w:r>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7D5FFC">
            <w:pPr>
              <w:pStyle w:val="ListParagraph"/>
              <w:ind w:left="0" w:right="1167"/>
              <w:rPr>
                <w:rFonts w:eastAsia="Times New Roman"/>
                <w:sz w:val="20"/>
                <w:szCs w:val="20"/>
                <w:u w:val="single"/>
                <w:lang w:val="en-US"/>
              </w:rPr>
            </w:pPr>
            <w:hyperlink r:id="rId64" w:history="1">
              <w:r>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7D5FFC">
            <w:pPr>
              <w:pStyle w:val="ListParagraph"/>
              <w:ind w:left="0" w:right="1167"/>
              <w:rPr>
                <w:rFonts w:eastAsia="Times New Roman"/>
                <w:sz w:val="20"/>
                <w:szCs w:val="20"/>
                <w:u w:val="single"/>
                <w:lang w:val="en-US"/>
              </w:rPr>
            </w:pPr>
            <w:hyperlink r:id="rId65" w:history="1">
              <w:r>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7D5FFC">
            <w:pPr>
              <w:pStyle w:val="ListParagraph"/>
              <w:ind w:left="0" w:right="1167"/>
              <w:rPr>
                <w:kern w:val="24"/>
                <w:sz w:val="20"/>
                <w:szCs w:val="20"/>
                <w:u w:val="single"/>
              </w:rPr>
            </w:pPr>
            <w:hyperlink r:id="rId66" w:history="1">
              <w:r>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24D7" w14:textId="77777777" w:rsidR="00133E16" w:rsidRDefault="00133E16">
      <w:pPr>
        <w:spacing w:after="0"/>
      </w:pPr>
      <w:r>
        <w:separator/>
      </w:r>
    </w:p>
  </w:endnote>
  <w:endnote w:type="continuationSeparator" w:id="0">
    <w:p w14:paraId="23C96982" w14:textId="77777777" w:rsidR="00133E16" w:rsidRDefault="00133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53EA" w14:textId="77777777" w:rsidR="00133E16" w:rsidRDefault="00133E16">
      <w:pPr>
        <w:spacing w:after="0"/>
      </w:pPr>
      <w:r>
        <w:separator/>
      </w:r>
    </w:p>
  </w:footnote>
  <w:footnote w:type="continuationSeparator" w:id="0">
    <w:p w14:paraId="0C2AFBA3" w14:textId="77777777" w:rsidR="00133E16" w:rsidRDefault="00133E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5267566">
    <w:abstractNumId w:val="28"/>
  </w:num>
  <w:num w:numId="2" w16cid:durableId="1828204859">
    <w:abstractNumId w:val="32"/>
  </w:num>
  <w:num w:numId="3" w16cid:durableId="770516456">
    <w:abstractNumId w:val="2"/>
  </w:num>
  <w:num w:numId="4" w16cid:durableId="2147358026">
    <w:abstractNumId w:val="53"/>
  </w:num>
  <w:num w:numId="5" w16cid:durableId="1064138877">
    <w:abstractNumId w:val="7"/>
  </w:num>
  <w:num w:numId="6" w16cid:durableId="1573585399">
    <w:abstractNumId w:val="68"/>
  </w:num>
  <w:num w:numId="7" w16cid:durableId="2005694947">
    <w:abstractNumId w:val="13"/>
  </w:num>
  <w:num w:numId="8" w16cid:durableId="1032223249">
    <w:abstractNumId w:val="23"/>
  </w:num>
  <w:num w:numId="9" w16cid:durableId="1839077261">
    <w:abstractNumId w:val="22"/>
  </w:num>
  <w:num w:numId="10" w16cid:durableId="1293949959">
    <w:abstractNumId w:val="25"/>
  </w:num>
  <w:num w:numId="11" w16cid:durableId="704988519">
    <w:abstractNumId w:val="46"/>
  </w:num>
  <w:num w:numId="12" w16cid:durableId="1046875681">
    <w:abstractNumId w:val="24"/>
  </w:num>
  <w:num w:numId="13" w16cid:durableId="602498582">
    <w:abstractNumId w:val="35"/>
  </w:num>
  <w:num w:numId="14" w16cid:durableId="2136943318">
    <w:abstractNumId w:val="69"/>
  </w:num>
  <w:num w:numId="15" w16cid:durableId="1183973837">
    <w:abstractNumId w:val="62"/>
  </w:num>
  <w:num w:numId="16" w16cid:durableId="1456370907">
    <w:abstractNumId w:val="60"/>
  </w:num>
  <w:num w:numId="17" w16cid:durableId="1190492877">
    <w:abstractNumId w:val="61"/>
  </w:num>
  <w:num w:numId="18" w16cid:durableId="2028363098">
    <w:abstractNumId w:val="41"/>
  </w:num>
  <w:num w:numId="19" w16cid:durableId="501941709">
    <w:abstractNumId w:val="1"/>
  </w:num>
  <w:num w:numId="20" w16cid:durableId="1729568062">
    <w:abstractNumId w:val="65"/>
  </w:num>
  <w:num w:numId="21" w16cid:durableId="1336150721">
    <w:abstractNumId w:val="55"/>
  </w:num>
  <w:num w:numId="22" w16cid:durableId="1408306188">
    <w:abstractNumId w:val="64"/>
  </w:num>
  <w:num w:numId="23" w16cid:durableId="2073116393">
    <w:abstractNumId w:val="50"/>
  </w:num>
  <w:num w:numId="24" w16cid:durableId="204149237">
    <w:abstractNumId w:val="20"/>
  </w:num>
  <w:num w:numId="25" w16cid:durableId="394671490">
    <w:abstractNumId w:val="33"/>
  </w:num>
  <w:num w:numId="26" w16cid:durableId="346752728">
    <w:abstractNumId w:val="6"/>
  </w:num>
  <w:num w:numId="27" w16cid:durableId="74473950">
    <w:abstractNumId w:val="38"/>
  </w:num>
  <w:num w:numId="28" w16cid:durableId="1846632370">
    <w:abstractNumId w:val="21"/>
  </w:num>
  <w:num w:numId="29" w16cid:durableId="229968315">
    <w:abstractNumId w:val="42"/>
  </w:num>
  <w:num w:numId="30" w16cid:durableId="1846288719">
    <w:abstractNumId w:val="49"/>
  </w:num>
  <w:num w:numId="31" w16cid:durableId="281426966">
    <w:abstractNumId w:val="71"/>
  </w:num>
  <w:num w:numId="32" w16cid:durableId="388774392">
    <w:abstractNumId w:val="36"/>
  </w:num>
  <w:num w:numId="33" w16cid:durableId="540632400">
    <w:abstractNumId w:val="63"/>
  </w:num>
  <w:num w:numId="34" w16cid:durableId="2079863570">
    <w:abstractNumId w:val="56"/>
  </w:num>
  <w:num w:numId="35" w16cid:durableId="453258018">
    <w:abstractNumId w:val="19"/>
  </w:num>
  <w:num w:numId="36" w16cid:durableId="852381630">
    <w:abstractNumId w:val="27"/>
  </w:num>
  <w:num w:numId="37" w16cid:durableId="1870220057">
    <w:abstractNumId w:val="57"/>
  </w:num>
  <w:num w:numId="38" w16cid:durableId="65539420">
    <w:abstractNumId w:val="0"/>
  </w:num>
  <w:num w:numId="39" w16cid:durableId="756750999">
    <w:abstractNumId w:val="70"/>
  </w:num>
  <w:num w:numId="40" w16cid:durableId="1550067156">
    <w:abstractNumId w:val="9"/>
  </w:num>
  <w:num w:numId="41" w16cid:durableId="617687359">
    <w:abstractNumId w:val="12"/>
  </w:num>
  <w:num w:numId="42" w16cid:durableId="1997948520">
    <w:abstractNumId w:val="39"/>
  </w:num>
  <w:num w:numId="43" w16cid:durableId="501942172">
    <w:abstractNumId w:val="3"/>
  </w:num>
  <w:num w:numId="44" w16cid:durableId="381948804">
    <w:abstractNumId w:val="26"/>
  </w:num>
  <w:num w:numId="45" w16cid:durableId="1168401727">
    <w:abstractNumId w:val="66"/>
  </w:num>
  <w:num w:numId="46" w16cid:durableId="1597205924">
    <w:abstractNumId w:val="11"/>
  </w:num>
  <w:num w:numId="47" w16cid:durableId="2134442816">
    <w:abstractNumId w:val="47"/>
  </w:num>
  <w:num w:numId="48" w16cid:durableId="1792430165">
    <w:abstractNumId w:val="59"/>
  </w:num>
  <w:num w:numId="49" w16cid:durableId="773474474">
    <w:abstractNumId w:val="16"/>
  </w:num>
  <w:num w:numId="50" w16cid:durableId="151409062">
    <w:abstractNumId w:val="4"/>
  </w:num>
  <w:num w:numId="51" w16cid:durableId="924804995">
    <w:abstractNumId w:val="18"/>
  </w:num>
  <w:num w:numId="52" w16cid:durableId="796144137">
    <w:abstractNumId w:val="31"/>
  </w:num>
  <w:num w:numId="53" w16cid:durableId="121308792">
    <w:abstractNumId w:val="15"/>
  </w:num>
  <w:num w:numId="54" w16cid:durableId="1349867272">
    <w:abstractNumId w:val="44"/>
  </w:num>
  <w:num w:numId="55" w16cid:durableId="1832912027">
    <w:abstractNumId w:val="17"/>
  </w:num>
  <w:num w:numId="56" w16cid:durableId="633557223">
    <w:abstractNumId w:val="30"/>
  </w:num>
  <w:num w:numId="57" w16cid:durableId="1147166064">
    <w:abstractNumId w:val="37"/>
  </w:num>
  <w:num w:numId="58" w16cid:durableId="1556966048">
    <w:abstractNumId w:val="34"/>
  </w:num>
  <w:num w:numId="59" w16cid:durableId="679235835">
    <w:abstractNumId w:val="51"/>
  </w:num>
  <w:num w:numId="60" w16cid:durableId="810051028">
    <w:abstractNumId w:val="48"/>
  </w:num>
  <w:num w:numId="61" w16cid:durableId="1336954823">
    <w:abstractNumId w:val="52"/>
  </w:num>
  <w:num w:numId="62" w16cid:durableId="898250266">
    <w:abstractNumId w:val="45"/>
  </w:num>
  <w:num w:numId="63" w16cid:durableId="602802366">
    <w:abstractNumId w:val="43"/>
  </w:num>
  <w:num w:numId="64" w16cid:durableId="26682662">
    <w:abstractNumId w:val="14"/>
  </w:num>
  <w:num w:numId="65" w16cid:durableId="2115634417">
    <w:abstractNumId w:val="8"/>
  </w:num>
  <w:num w:numId="66" w16cid:durableId="749934636">
    <w:abstractNumId w:val="58"/>
  </w:num>
  <w:num w:numId="67" w16cid:durableId="2090493490">
    <w:abstractNumId w:val="54"/>
  </w:num>
  <w:num w:numId="68" w16cid:durableId="1591351227">
    <w:abstractNumId w:val="40"/>
  </w:num>
  <w:num w:numId="69" w16cid:durableId="1437561725">
    <w:abstractNumId w:val="10"/>
  </w:num>
  <w:num w:numId="70" w16cid:durableId="872888278">
    <w:abstractNumId w:val="5"/>
  </w:num>
  <w:num w:numId="71" w16cid:durableId="1570382077">
    <w:abstractNumId w:val="29"/>
  </w:num>
  <w:num w:numId="72" w16cid:durableId="1253585357">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54261EE6-5D54-4238-8A9E-90F2B1B300DA}">
  <ds:schemaRefs>
    <ds:schemaRef ds:uri="http://schemas.openxmlformats.org/officeDocument/2006/bibliography"/>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60</Pages>
  <Words>23136</Words>
  <Characters>131880</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154707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Huilin Xu</cp:lastModifiedBy>
  <cp:revision>5</cp:revision>
  <cp:lastPrinted>2016-06-20T11:35:00Z</cp:lastPrinted>
  <dcterms:created xsi:type="dcterms:W3CDTF">2024-05-21T21:17:00Z</dcterms:created>
  <dcterms:modified xsi:type="dcterms:W3CDTF">2024-05-22T00:27:00Z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