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7"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w:t>
      </w:r>
      <w:r>
        <w:rPr>
          <w:bCs/>
          <w:sz w:val="24"/>
          <w:szCs w:val="24"/>
          <w:u w:val="single"/>
        </w:rPr>
        <w:t>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lastRenderedPageBreak/>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E3AF6F6" w14:textId="77777777" w:rsidR="007B56B6" w:rsidRDefault="007B56B6" w:rsidP="00F20AD4"/>
    <w:p w14:paraId="1262B71F" w14:textId="77777777" w:rsidR="007B56B6" w:rsidRPr="006A4F4C" w:rsidRDefault="007B56B6"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lastRenderedPageBreak/>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77777777" w:rsidR="00A96C14" w:rsidRDefault="00A96C14" w:rsidP="00802692">
            <w:pPr>
              <w:rPr>
                <w:iCs/>
              </w:rPr>
            </w:pPr>
          </w:p>
        </w:tc>
        <w:tc>
          <w:tcPr>
            <w:tcW w:w="7555" w:type="dxa"/>
          </w:tcPr>
          <w:p w14:paraId="231E3143" w14:textId="77777777" w:rsidR="00A96C14" w:rsidRDefault="00A96C14" w:rsidP="00802692">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lastRenderedPageBreak/>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lastRenderedPageBreak/>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hint="eastAsia"/>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hint="eastAsia"/>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lastRenderedPageBreak/>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hint="eastAsia"/>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rFonts w:hint="eastAsia"/>
                <w:iCs/>
                <w:color w:val="FF0000"/>
              </w:rPr>
            </w:pPr>
            <w:r>
              <w:rPr>
                <w:iCs/>
                <w:color w:val="FF0000"/>
              </w:rPr>
              <w:t xml:space="preserve">To </w:t>
            </w:r>
            <w:r>
              <w:rPr>
                <w:iCs/>
                <w:color w:val="FF0000"/>
              </w:rPr>
              <w:t>NTT DOCOMO</w:t>
            </w:r>
            <w:r>
              <w:rPr>
                <w:iCs/>
                <w:color w:val="FF0000"/>
              </w:rPr>
              <w:t>: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lastRenderedPageBreak/>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lastRenderedPageBreak/>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7"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7"/>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8"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8"/>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w:t>
            </w:r>
            <w:r>
              <w:rPr>
                <w:rFonts w:eastAsia="SimSun"/>
                <w:lang w:eastAsia="zh-CN"/>
              </w:rPr>
              <w:lastRenderedPageBreak/>
              <w:t xml:space="preserve">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lastRenderedPageBreak/>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29"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29"/>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lastRenderedPageBreak/>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lastRenderedPageBreak/>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lastRenderedPageBreak/>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lastRenderedPageBreak/>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w:t>
            </w:r>
            <w:r w:rsidRPr="00AC2B5E">
              <w:rPr>
                <w:sz w:val="18"/>
                <w:szCs w:val="18"/>
              </w:rPr>
              <w:lastRenderedPageBreak/>
              <w:t xml:space="preserve">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lastRenderedPageBreak/>
              <w:t xml:space="preserve">Less complexity if parameter exchange method and </w:t>
            </w:r>
            <w:r w:rsidRPr="00E71709">
              <w:rPr>
                <w:rFonts w:eastAsiaTheme="minorEastAsia"/>
                <w:sz w:val="18"/>
                <w:szCs w:val="18"/>
                <w:lang w:eastAsia="x-none"/>
              </w:rPr>
              <w:lastRenderedPageBreak/>
              <w:t>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 xml:space="preserve">ess time in agreeing reference model </w:t>
            </w:r>
            <w:r w:rsidRPr="007D6DC0">
              <w:rPr>
                <w:rFonts w:eastAsiaTheme="minorEastAsia"/>
                <w:sz w:val="18"/>
                <w:szCs w:val="18"/>
                <w:lang w:eastAsia="x-none"/>
              </w:rPr>
              <w:lastRenderedPageBreak/>
              <w:t>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lastRenderedPageBreak/>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30"/>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1"/>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2"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2"/>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3"/>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4"/>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5" w:name="_Toc166249529"/>
      <w:r w:rsidRPr="005F5D9F">
        <w:rPr>
          <w:rFonts w:ascii="Arial" w:hAnsi="Arial" w:cs="Arial"/>
          <w:sz w:val="20"/>
          <w:szCs w:val="20"/>
        </w:rPr>
        <w:t>How can the operator identify the responsibility if the enhanced two-sided model fails in operation in the field?</w:t>
      </w:r>
      <w:bookmarkEnd w:id="35"/>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6"/>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1"/>
      <w:r>
        <w:rPr>
          <w:rFonts w:ascii="Arial" w:hAnsi="Arial" w:cs="Arial"/>
          <w:sz w:val="20"/>
          <w:szCs w:val="20"/>
        </w:rPr>
        <w:lastRenderedPageBreak/>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7"/>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8"/>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9"/>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0" w:name="_Toc166249534"/>
      <w:r>
        <w:rPr>
          <w:rFonts w:ascii="Arial" w:hAnsi="Arial" w:cs="Arial"/>
          <w:sz w:val="20"/>
          <w:szCs w:val="20"/>
        </w:rPr>
        <w:t>For Option 3a, further study the following aspects:</w:t>
      </w:r>
      <w:bookmarkEnd w:id="40"/>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5"/>
      <w:r>
        <w:rPr>
          <w:rFonts w:ascii="Arial" w:hAnsi="Arial" w:cs="Arial"/>
          <w:sz w:val="20"/>
          <w:szCs w:val="20"/>
        </w:rPr>
        <w:t>The feasibility and complexity of standardizing the structure of the reference model.</w:t>
      </w:r>
      <w:bookmarkEnd w:id="41"/>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2"/>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7"/>
      <w:r>
        <w:rPr>
          <w:rFonts w:ascii="Arial" w:hAnsi="Arial" w:cs="Arial"/>
          <w:sz w:val="20"/>
          <w:szCs w:val="20"/>
        </w:rPr>
        <w:t>The feasibility and complexity of standardizing at least the format and structure of all information to be exchanged from the NW-side to UE-side.</w:t>
      </w:r>
      <w:bookmarkEnd w:id="43"/>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8"/>
      <w:r>
        <w:rPr>
          <w:rFonts w:ascii="Arial" w:hAnsi="Arial" w:cs="Arial"/>
          <w:sz w:val="20"/>
          <w:szCs w:val="20"/>
        </w:rPr>
        <w:t>The feasibility and complexity of standardizing a delivery method that does not involve over the air delivery.</w:t>
      </w:r>
      <w:bookmarkEnd w:id="44"/>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5"/>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6"/>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1"/>
      <w:r w:rsidRPr="002C4B76">
        <w:rPr>
          <w:rFonts w:ascii="Arial" w:hAnsi="Arial" w:cs="Arial"/>
          <w:sz w:val="20"/>
          <w:szCs w:val="20"/>
        </w:rPr>
        <w:t>How can the operator identify the responsibility if the two-sided model fails in operation in the field?</w:t>
      </w:r>
      <w:bookmarkEnd w:id="47"/>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8" w:name="_Toc166249542"/>
      <w:r>
        <w:rPr>
          <w:rFonts w:ascii="Arial" w:hAnsi="Arial" w:cs="Arial"/>
          <w:sz w:val="20"/>
          <w:szCs w:val="20"/>
        </w:rPr>
        <w:t>Comparison among different sub-options (Option 3a-1, 3a-2, and 3a-3).</w:t>
      </w:r>
      <w:bookmarkEnd w:id="48"/>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9"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9"/>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0"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50"/>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1"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1"/>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2"/>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7"/>
      <w:r>
        <w:rPr>
          <w:rFonts w:ascii="Arial" w:hAnsi="Arial" w:cs="Arial"/>
          <w:sz w:val="20"/>
          <w:szCs w:val="20"/>
        </w:rPr>
        <w:t>Any additional information that needs to be standardized to improve the feasibility for a UE to use received parameters directly for inference?</w:t>
      </w:r>
      <w:bookmarkEnd w:id="53"/>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4"/>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49"/>
      <w:r w:rsidRPr="00F32F29">
        <w:rPr>
          <w:rFonts w:ascii="Arial" w:hAnsi="Arial" w:cs="Arial"/>
          <w:sz w:val="20"/>
          <w:szCs w:val="20"/>
        </w:rPr>
        <w:t>How can the operator identify the responsibility if the two-sided model fails in operation in the field?</w:t>
      </w:r>
      <w:bookmarkEnd w:id="55"/>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6" w:name="_Toc166249550"/>
      <w:r w:rsidRPr="006C205B">
        <w:rPr>
          <w:rFonts w:ascii="Arial" w:hAnsi="Arial" w:cs="Arial"/>
          <w:sz w:val="20"/>
          <w:szCs w:val="20"/>
        </w:rPr>
        <w:t>The performance comparison between Option 3a and Option 3b.</w:t>
      </w:r>
      <w:bookmarkEnd w:id="56"/>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7"/>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2"/>
      <w:r w:rsidRPr="009C6CF9">
        <w:rPr>
          <w:rFonts w:ascii="Arial" w:hAnsi="Arial" w:cs="Arial"/>
          <w:sz w:val="20"/>
          <w:szCs w:val="20"/>
        </w:rPr>
        <w:lastRenderedPageBreak/>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8"/>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9"/>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0" w:name="_Toc166249554"/>
      <w:r w:rsidRPr="00AD6ED5">
        <w:rPr>
          <w:rFonts w:ascii="Arial" w:hAnsi="Arial" w:cs="Arial"/>
          <w:sz w:val="20"/>
          <w:szCs w:val="20"/>
        </w:rPr>
        <w:t>For Option 4-1, further study the following aspects:</w:t>
      </w:r>
      <w:bookmarkEnd w:id="60"/>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1"/>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6"/>
      <w:r>
        <w:rPr>
          <w:rFonts w:ascii="Arial" w:hAnsi="Arial" w:cs="Arial"/>
          <w:sz w:val="20"/>
          <w:szCs w:val="20"/>
        </w:rPr>
        <w:t>The feasibility and complexity of standardizing at least the format and structure of all information to be exchanged from the NW-side to UE-side.</w:t>
      </w:r>
      <w:bookmarkEnd w:id="62"/>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7"/>
      <w:r>
        <w:rPr>
          <w:rFonts w:ascii="Arial" w:hAnsi="Arial" w:cs="Arial"/>
          <w:sz w:val="20"/>
          <w:szCs w:val="20"/>
        </w:rPr>
        <w:t>The feasibility and complexity of standardizing a delivery method that does not involve over the air delivery.</w:t>
      </w:r>
      <w:bookmarkEnd w:id="63"/>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4"/>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5"/>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6"/>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7" w:name="_Toc166249561"/>
      <w:r w:rsidRPr="002C4B76">
        <w:rPr>
          <w:rFonts w:ascii="Arial" w:hAnsi="Arial" w:cs="Arial"/>
          <w:sz w:val="20"/>
          <w:szCs w:val="20"/>
        </w:rPr>
        <w:t>How can the operator identify the responsibility if the two-sided model fails in operation in the field?</w:t>
      </w:r>
      <w:bookmarkEnd w:id="67"/>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8"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8"/>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lastRenderedPageBreak/>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9"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9"/>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70"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70"/>
    </w:p>
    <w:p w14:paraId="4A1718A9" w14:textId="77777777" w:rsidR="004F7764" w:rsidRPr="004F7764" w:rsidRDefault="004F7764" w:rsidP="004F7764">
      <w:pPr>
        <w:spacing w:after="120"/>
        <w:rPr>
          <w:b/>
        </w:rPr>
      </w:pPr>
      <w:bookmarkStart w:id="71"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1"/>
    </w:p>
    <w:p w14:paraId="0961F7C2" w14:textId="77777777" w:rsidR="00AA5EFC" w:rsidRPr="00AA5EFC" w:rsidRDefault="00AA5EFC" w:rsidP="00AA5EFC">
      <w:pPr>
        <w:spacing w:after="120"/>
        <w:rPr>
          <w:b/>
        </w:rPr>
      </w:pPr>
      <w:bookmarkStart w:id="72"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2"/>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3"/>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4"/>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5"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5"/>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6" w:name="_Toc166058323"/>
      <w:bookmarkStart w:id="77" w:name="_Toc166068760"/>
      <w:bookmarkStart w:id="78" w:name="_Toc161310086"/>
      <w:bookmarkStart w:id="79"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6"/>
      <w:r>
        <w:t>.</w:t>
      </w:r>
      <w:bookmarkEnd w:id="77"/>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29"/>
      <w:bookmarkStart w:id="81" w:name="_Toc166068766"/>
      <w:bookmarkEnd w:id="78"/>
      <w:bookmarkEnd w:id="79"/>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2" w:name="_Toc166058330"/>
      <w:bookmarkStart w:id="83"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2"/>
      <w:bookmarkEnd w:id="83"/>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4" w:name="_Toc166058332"/>
      <w:bookmarkStart w:id="85"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4"/>
      <w:bookmarkEnd w:id="85"/>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3"/>
      <w:bookmarkStart w:id="87" w:name="_Toc166068770"/>
      <w:r>
        <w:t>Despite potentially much lower complexity, direct use of received parameters (instead of offline engineering) may result in UE encoder with not acceptable performance. Further study is needed in this regard.</w:t>
      </w:r>
      <w:bookmarkEnd w:id="86"/>
      <w:bookmarkEnd w:id="87"/>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4"/>
      <w:bookmarkStart w:id="89" w:name="_Toc166068771"/>
      <w:r>
        <w:lastRenderedPageBreak/>
        <w:t>Until further investigation, give higher priority to options based on offline engineering over options based on direct use of parameters.</w:t>
      </w:r>
      <w:bookmarkEnd w:id="88"/>
      <w:bookmarkEnd w:id="89"/>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6"/>
      <w:bookmarkStart w:id="91" w:name="_Toc166068773"/>
      <w:r>
        <w:t>Prioritize schemes based on exchange of complete model (or options based on dataset exchange) over options based on exchange of model parameters only.</w:t>
      </w:r>
      <w:bookmarkEnd w:id="90"/>
      <w:bookmarkEnd w:id="91"/>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7"/>
      <w:bookmarkStart w:id="93"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2"/>
      <w:bookmarkEnd w:id="93"/>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4" w:name="_Toc166058338"/>
      <w:bookmarkStart w:id="95"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4"/>
      <w:bookmarkEnd w:id="95"/>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6" w:name="OLE_LINK187"/>
            <w:bookmarkStart w:id="97" w:name="OLE_LINK188"/>
            <w:r>
              <w:rPr>
                <w:rFonts w:eastAsiaTheme="minorEastAsia" w:hint="eastAsia"/>
                <w:lang w:eastAsia="zh-CN"/>
              </w:rPr>
              <w:t>M</w:t>
            </w:r>
            <w:r>
              <w:rPr>
                <w:rFonts w:eastAsiaTheme="minorEastAsia"/>
                <w:lang w:eastAsia="zh-CN"/>
              </w:rPr>
              <w:t>ore than Option 1/2.</w:t>
            </w:r>
            <w:bookmarkEnd w:id="96"/>
            <w:bookmarkEnd w:id="97"/>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8" w:name="OLE_LINK193"/>
      <w:r w:rsidRPr="00AA641B">
        <w:rPr>
          <w:rFonts w:eastAsiaTheme="minorEastAsia"/>
          <w:b/>
          <w:i/>
          <w:szCs w:val="24"/>
          <w:lang w:val="en-US" w:eastAsia="zh-CN"/>
        </w:rPr>
        <w:t>RAN1 to prioritize the following options</w:t>
      </w:r>
      <w:bookmarkEnd w:id="98"/>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9" w:name="OLE_LINK178"/>
      <w:bookmarkStart w:id="100"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9"/>
    <w:bookmarkEnd w:id="100"/>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1" w:name="OLE_LINK196"/>
      <w:bookmarkStart w:id="102"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1"/>
    <w:bookmarkEnd w:id="102"/>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3" w:name="_Hlk166247769"/>
      <w:bookmarkStart w:id="104"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3"/>
    </w:p>
    <w:bookmarkEnd w:id="104"/>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5"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5"/>
    </w:p>
    <w:p w14:paraId="6E29E032" w14:textId="77777777" w:rsidR="00B32EDA" w:rsidRPr="002E291D" w:rsidRDefault="00B32EDA" w:rsidP="00B32EDA">
      <w:pPr>
        <w:pStyle w:val="Caption"/>
        <w:jc w:val="both"/>
        <w:rPr>
          <w:b w:val="0"/>
          <w:bCs w:val="0"/>
        </w:rPr>
      </w:pPr>
      <w:bookmarkStart w:id="106"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6"/>
    </w:p>
    <w:p w14:paraId="12AD221F" w14:textId="77777777" w:rsidR="0003521D" w:rsidRPr="008D3C79" w:rsidRDefault="0003521D" w:rsidP="0003521D">
      <w:pPr>
        <w:pStyle w:val="Caption"/>
        <w:jc w:val="both"/>
        <w:rPr>
          <w:b w:val="0"/>
          <w:bCs w:val="0"/>
        </w:rPr>
      </w:pPr>
      <w:bookmarkStart w:id="107" w:name="_Ref166226628"/>
      <w:bookmarkStart w:id="108" w:name="_Ref166227258"/>
      <w:bookmarkStart w:id="109" w:name="_Hlk166223644"/>
      <w:r>
        <w:t xml:space="preserve">Proposal </w:t>
      </w:r>
      <w:r>
        <w:fldChar w:fldCharType="begin"/>
      </w:r>
      <w:r>
        <w:instrText xml:space="preserve"> SEQ Proposal \* ARABIC </w:instrText>
      </w:r>
      <w:r>
        <w:fldChar w:fldCharType="separate"/>
      </w:r>
      <w:r>
        <w:rPr>
          <w:noProof/>
        </w:rPr>
        <w:t>8</w:t>
      </w:r>
      <w:r>
        <w:fldChar w:fldCharType="end"/>
      </w:r>
      <w:bookmarkEnd w:id="107"/>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8"/>
      <w:r w:rsidRPr="008D3C79">
        <w:t xml:space="preserve">   </w:t>
      </w:r>
    </w:p>
    <w:p w14:paraId="33459852" w14:textId="77777777" w:rsidR="00B71081" w:rsidRDefault="00B71081" w:rsidP="00B71081">
      <w:pPr>
        <w:pStyle w:val="Caption"/>
        <w:jc w:val="both"/>
        <w:rPr>
          <w:rFonts w:eastAsia="Times New Roman"/>
          <w:iCs/>
        </w:rPr>
      </w:pPr>
      <w:bookmarkStart w:id="110" w:name="_Ref166227306"/>
      <w:bookmarkEnd w:id="109"/>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10"/>
    </w:p>
    <w:p w14:paraId="2B0BB673" w14:textId="77777777" w:rsidR="00FA09DB" w:rsidRPr="00DC15D6" w:rsidRDefault="00FA09DB" w:rsidP="00FA09DB">
      <w:pPr>
        <w:pStyle w:val="Caption"/>
        <w:jc w:val="both"/>
        <w:rPr>
          <w:rFonts w:eastAsia="Times New Roman"/>
        </w:rPr>
      </w:pPr>
      <w:bookmarkStart w:id="111"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1"/>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2"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2"/>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3" w:name="_Hlk166854550"/>
      <w:r w:rsidRPr="00F4279F">
        <w:rPr>
          <w:b/>
          <w:bCs/>
          <w:u w:val="single"/>
        </w:rPr>
        <w:t>over-the-air signalling</w:t>
      </w:r>
      <w:bookmarkEnd w:id="113"/>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78C66743" w:rsidR="009F0097" w:rsidRDefault="009F0097" w:rsidP="009F0097">
      <w:pPr>
        <w:pStyle w:val="Heading3"/>
      </w:pPr>
      <w:r>
        <w:lastRenderedPageBreak/>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6CD248D4" w14:textId="77777777" w:rsidR="005D4987" w:rsidRDefault="005D4987"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w:t>
            </w:r>
            <w:r w:rsidRPr="00E353C7">
              <w:rPr>
                <w:rFonts w:eastAsia="SimSun"/>
                <w:lang w:eastAsia="zh-CN"/>
              </w:rPr>
              <w:lastRenderedPageBreak/>
              <w:t>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lastRenderedPageBreak/>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lastRenderedPageBreak/>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lastRenderedPageBreak/>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4"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4"/>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5"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5"/>
    </w:p>
    <w:p w14:paraId="20F6054F" w14:textId="77777777" w:rsidR="004F5D9E" w:rsidRPr="002A4153" w:rsidRDefault="004F5D9E" w:rsidP="004F5D9E">
      <w:pPr>
        <w:pStyle w:val="Caption"/>
        <w:spacing w:after="120"/>
        <w:jc w:val="both"/>
        <w:rPr>
          <w:b w:val="0"/>
          <w:sz w:val="22"/>
          <w:szCs w:val="22"/>
          <w:lang w:val="x-none"/>
        </w:rPr>
      </w:pPr>
      <w:bookmarkStart w:id="116"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6"/>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7" w:name="_Toc158030420"/>
      <w:bookmarkStart w:id="118" w:name="_Toc158031310"/>
      <w:bookmarkStart w:id="119" w:name="_Toc158085934"/>
      <w:bookmarkStart w:id="120" w:name="_Toc158086031"/>
      <w:bookmarkStart w:id="121" w:name="_Toc158650807"/>
      <w:bookmarkStart w:id="122" w:name="_Toc158663597"/>
      <w:bookmarkStart w:id="123" w:name="_Toc158973271"/>
      <w:bookmarkStart w:id="124" w:name="_Toc158973311"/>
      <w:bookmarkStart w:id="125" w:name="_Toc158973589"/>
      <w:bookmarkStart w:id="126" w:name="_Toc159238131"/>
      <w:bookmarkStart w:id="127" w:name="_Toc159238661"/>
      <w:bookmarkStart w:id="128" w:name="_Toc161310069"/>
      <w:bookmarkStart w:id="129" w:name="_Toc161997985"/>
      <w:bookmarkStart w:id="130" w:name="_Toc166058317"/>
      <w:bookmarkStart w:id="131"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2" w:name="_Toc158030422"/>
      <w:bookmarkStart w:id="133" w:name="_Toc158031312"/>
      <w:bookmarkStart w:id="134" w:name="_Toc158085936"/>
      <w:bookmarkStart w:id="135" w:name="_Toc158086033"/>
      <w:bookmarkStart w:id="136" w:name="_Toc158650809"/>
      <w:bookmarkStart w:id="137" w:name="_Toc158663599"/>
      <w:bookmarkStart w:id="138" w:name="_Toc158973273"/>
      <w:bookmarkStart w:id="139" w:name="_Toc158973313"/>
      <w:bookmarkStart w:id="140" w:name="_Toc158973591"/>
      <w:bookmarkStart w:id="141" w:name="_Toc159238133"/>
      <w:bookmarkStart w:id="142" w:name="_Toc159238663"/>
      <w:bookmarkStart w:id="143" w:name="_Toc161310071"/>
      <w:bookmarkStart w:id="144" w:name="_Toc161997987"/>
      <w:bookmarkStart w:id="145" w:name="_Toc166058319"/>
      <w:bookmarkStart w:id="146" w:name="_Toc166068756"/>
      <w:r>
        <w:t>Support procedures/signaling enabling UE/NW for transmission of subset of samples among the set of measured/collected samples from the environment.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7" w:name="_Toc158650813"/>
      <w:bookmarkStart w:id="148" w:name="_Toc158663603"/>
      <w:bookmarkStart w:id="149" w:name="_Toc158030424"/>
      <w:bookmarkStart w:id="150" w:name="_Toc158031314"/>
      <w:bookmarkStart w:id="151" w:name="_Toc158085938"/>
      <w:bookmarkStart w:id="152" w:name="_Toc158086035"/>
      <w:bookmarkStart w:id="153" w:name="_Toc158973276"/>
      <w:bookmarkStart w:id="154" w:name="_Toc158973316"/>
      <w:bookmarkStart w:id="155" w:name="_Toc158973594"/>
      <w:bookmarkStart w:id="156" w:name="_Toc159238136"/>
      <w:bookmarkStart w:id="157" w:name="_Toc159238666"/>
      <w:bookmarkStart w:id="158" w:name="_Toc161310074"/>
      <w:bookmarkStart w:id="159" w:name="_Toc161997990"/>
      <w:bookmarkStart w:id="160" w:name="_Toc166058322"/>
      <w:bookmarkStart w:id="161"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2"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3" w:name="_Hlk162705068"/>
      <w:bookmarkEnd w:id="162"/>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3"/>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4"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4"/>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5"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5"/>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6" w:name="OLE_LINK108"/>
      <w:bookmarkStart w:id="167"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6"/>
    <w:bookmarkEnd w:id="167"/>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8" w:name="OLE_LINK6"/>
      <w:bookmarkStart w:id="169" w:name="OLE_LINK9"/>
      <w:r w:rsidRPr="00072AA3">
        <w:rPr>
          <w:rFonts w:eastAsiaTheme="minorEastAsia"/>
          <w:b/>
          <w:i/>
          <w:szCs w:val="24"/>
          <w:lang w:val="en-US" w:eastAsia="zh-CN"/>
        </w:rPr>
        <w:t>based on the output of the CSI reconstruction model at UE side</w:t>
      </w:r>
      <w:bookmarkEnd w:id="168"/>
      <w:bookmarkEnd w:id="169"/>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70"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1" w:name="_Hlk162705133"/>
      <w:bookmarkEnd w:id="170"/>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1"/>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2"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2"/>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73"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173"/>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Pr="002823F7" w:rsidRDefault="00911837" w:rsidP="002823F7">
      <w:pPr>
        <w:rPr>
          <w:b/>
          <w:bCs/>
        </w:rPr>
      </w:pPr>
    </w:p>
    <w:p w14:paraId="296CCE35" w14:textId="78C73026" w:rsidR="00EA0920" w:rsidRDefault="00EA0920" w:rsidP="00EA0920">
      <w:pPr>
        <w:pStyle w:val="Heading3"/>
      </w:pPr>
      <w:r>
        <w:lastRenderedPageBreak/>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4"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174"/>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5"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175"/>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lastRenderedPageBreak/>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6"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6"/>
    </w:p>
    <w:p w14:paraId="3FDC398E" w14:textId="77777777" w:rsidR="005164BF" w:rsidRPr="005164BF" w:rsidRDefault="005164BF" w:rsidP="005164BF">
      <w:pPr>
        <w:pStyle w:val="Caption"/>
        <w:spacing w:after="120"/>
        <w:jc w:val="both"/>
        <w:rPr>
          <w:b w:val="0"/>
          <w:bCs w:val="0"/>
          <w:iCs/>
          <w:sz w:val="22"/>
          <w:szCs w:val="22"/>
        </w:rPr>
      </w:pPr>
      <w:bookmarkStart w:id="177" w:name="_Ref131624821"/>
      <w:bookmarkStart w:id="178"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7"/>
      <w:bookmarkEnd w:id="178"/>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9" w:name="_Ref131624825"/>
      <w:bookmarkStart w:id="180"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9"/>
      <w:bookmarkEnd w:id="180"/>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81" w:name="OLE_LINK215"/>
      <w:bookmarkStart w:id="182"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81"/>
    <w:bookmarkEnd w:id="182"/>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83" w:name="OLE_LINK24"/>
      <w:bookmarkStart w:id="184" w:name="OLE_LINK25"/>
      <w:r>
        <w:rPr>
          <w:rFonts w:eastAsiaTheme="minorEastAsia"/>
          <w:b/>
          <w:i/>
          <w:szCs w:val="24"/>
          <w:lang w:val="en-US" w:eastAsia="zh-CN"/>
        </w:rPr>
        <w:t xml:space="preserve">Proposal 13: If the </w:t>
      </w:r>
      <w:bookmarkStart w:id="185" w:name="OLE_LINK95"/>
      <w:bookmarkStart w:id="186"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5"/>
      <w:bookmarkEnd w:id="186"/>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7" w:name="OLE_LINK54"/>
      <w:bookmarkStart w:id="188" w:name="OLE_LINK55"/>
      <w:bookmarkEnd w:id="183"/>
      <w:bookmarkEnd w:id="184"/>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7"/>
    <w:bookmarkEnd w:id="188"/>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9" w:name="_Hlk162705086"/>
      <w:bookmarkStart w:id="190"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9"/>
      <w:r w:rsidRPr="005B2986">
        <w:rPr>
          <w:i/>
        </w:rPr>
        <w:t>.</w:t>
      </w:r>
    </w:p>
    <w:bookmarkEnd w:id="190"/>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91"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91"/>
    </w:p>
    <w:p w14:paraId="57D736BF" w14:textId="77777777" w:rsidR="00471F70" w:rsidRPr="00D4761D" w:rsidRDefault="00471F70" w:rsidP="00471F70">
      <w:pPr>
        <w:pStyle w:val="Caption"/>
        <w:jc w:val="both"/>
        <w:rPr>
          <w:sz w:val="22"/>
          <w:szCs w:val="22"/>
        </w:rPr>
      </w:pPr>
      <w:bookmarkStart w:id="192" w:name="_Hlk158694292"/>
      <w:bookmarkStart w:id="193"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92"/>
      <w:r w:rsidRPr="00D4761D">
        <w:rPr>
          <w:sz w:val="22"/>
          <w:szCs w:val="22"/>
        </w:rPr>
        <w:t>rank hypotheses.</w:t>
      </w:r>
      <w:bookmarkEnd w:id="193"/>
    </w:p>
    <w:p w14:paraId="7D452EB7" w14:textId="77777777" w:rsidR="00080373" w:rsidRPr="00347393" w:rsidRDefault="00080373" w:rsidP="00080373">
      <w:pPr>
        <w:spacing w:before="120" w:after="120"/>
        <w:rPr>
          <w:b/>
        </w:rPr>
      </w:pPr>
      <w:bookmarkStart w:id="194" w:name="_Ref158966688"/>
      <w:bookmarkStart w:id="195"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4"/>
    </w:p>
    <w:bookmarkEnd w:id="195"/>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lastRenderedPageBreak/>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lastRenderedPageBreak/>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lastRenderedPageBreak/>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hint="eastAsia"/>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hint="eastAsia"/>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rPr>
          <w:rFonts w:hint="eastAsia"/>
        </w:rPr>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0390585" w14:textId="77777777" w:rsidR="004A1296" w:rsidRDefault="004A1296" w:rsidP="00EA7B07"/>
    <w:p w14:paraId="76DC7380" w14:textId="77777777" w:rsidR="004A1296" w:rsidRDefault="004A1296" w:rsidP="004A1296">
      <w:pPr>
        <w:pStyle w:val="Heading1"/>
      </w:pPr>
      <w:r>
        <w:lastRenderedPageBreak/>
        <w:t>References</w:t>
      </w:r>
    </w:p>
    <w:p w14:paraId="0247F2EF" w14:textId="77777777" w:rsidR="004A1296" w:rsidRPr="008260B1" w:rsidRDefault="004A1296" w:rsidP="004A1296">
      <w:pPr>
        <w:pStyle w:val="ListParagraph"/>
        <w:numPr>
          <w:ilvl w:val="0"/>
          <w:numId w:val="4"/>
        </w:numPr>
      </w:pPr>
      <w:bookmarkStart w:id="19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6"/>
    </w:p>
    <w:p w14:paraId="1D3F7100" w14:textId="77777777" w:rsidR="004A1296" w:rsidRDefault="004A1296" w:rsidP="004A1296">
      <w:pPr>
        <w:pStyle w:val="ListParagraph"/>
        <w:numPr>
          <w:ilvl w:val="0"/>
          <w:numId w:val="4"/>
        </w:numPr>
      </w:pPr>
      <w:bookmarkStart w:id="197" w:name="_Ref158971936"/>
      <w:bookmarkStart w:id="19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7"/>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8"/>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D734" w14:textId="77777777" w:rsidR="000F070B" w:rsidRDefault="000F070B" w:rsidP="00E25422">
      <w:r>
        <w:separator/>
      </w:r>
    </w:p>
  </w:endnote>
  <w:endnote w:type="continuationSeparator" w:id="0">
    <w:p w14:paraId="22CC8519" w14:textId="77777777" w:rsidR="000F070B" w:rsidRDefault="000F070B" w:rsidP="00E25422">
      <w:r>
        <w:continuationSeparator/>
      </w:r>
    </w:p>
  </w:endnote>
  <w:endnote w:type="continuationNotice" w:id="1">
    <w:p w14:paraId="71C39D75" w14:textId="77777777" w:rsidR="000F070B" w:rsidRDefault="000F070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F356" w14:textId="77777777" w:rsidR="000F070B" w:rsidRDefault="000F070B" w:rsidP="00E25422">
      <w:r>
        <w:separator/>
      </w:r>
    </w:p>
  </w:footnote>
  <w:footnote w:type="continuationSeparator" w:id="0">
    <w:p w14:paraId="22F05BBA" w14:textId="77777777" w:rsidR="000F070B" w:rsidRDefault="000F070B" w:rsidP="00E25422">
      <w:r>
        <w:continuationSeparator/>
      </w:r>
    </w:p>
  </w:footnote>
  <w:footnote w:type="continuationNotice" w:id="1">
    <w:p w14:paraId="4924EE42" w14:textId="77777777" w:rsidR="000F070B" w:rsidRDefault="000F070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8"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2"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4"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4"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1"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1"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4"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0"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8"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3"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9"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1"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2"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4"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8"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9"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68"/>
  </w:num>
  <w:num w:numId="3" w16cid:durableId="420416563">
    <w:abstractNumId w:val="11"/>
  </w:num>
  <w:num w:numId="4" w16cid:durableId="276840376">
    <w:abstractNumId w:val="103"/>
  </w:num>
  <w:num w:numId="5" w16cid:durableId="1683432744">
    <w:abstractNumId w:val="45"/>
  </w:num>
  <w:num w:numId="6" w16cid:durableId="885679945">
    <w:abstractNumId w:val="21"/>
  </w:num>
  <w:num w:numId="7" w16cid:durableId="1354721972">
    <w:abstractNumId w:val="72"/>
  </w:num>
  <w:num w:numId="8" w16cid:durableId="573008537">
    <w:abstractNumId w:val="106"/>
  </w:num>
  <w:num w:numId="9" w16cid:durableId="973489545">
    <w:abstractNumId w:val="30"/>
  </w:num>
  <w:num w:numId="10" w16cid:durableId="498691023">
    <w:abstractNumId w:val="75"/>
  </w:num>
  <w:num w:numId="11" w16cid:durableId="936523501">
    <w:abstractNumId w:val="35"/>
  </w:num>
  <w:num w:numId="12" w16cid:durableId="262997038">
    <w:abstractNumId w:val="13"/>
  </w:num>
  <w:num w:numId="13" w16cid:durableId="780959622">
    <w:abstractNumId w:val="44"/>
  </w:num>
  <w:num w:numId="14" w16cid:durableId="522089161">
    <w:abstractNumId w:val="101"/>
  </w:num>
  <w:num w:numId="15" w16cid:durableId="1276133907">
    <w:abstractNumId w:val="29"/>
  </w:num>
  <w:num w:numId="16" w16cid:durableId="1567063948">
    <w:abstractNumId w:val="81"/>
  </w:num>
  <w:num w:numId="17" w16cid:durableId="2064985583">
    <w:abstractNumId w:val="90"/>
  </w:num>
  <w:num w:numId="18" w16cid:durableId="147478061">
    <w:abstractNumId w:val="61"/>
  </w:num>
  <w:num w:numId="19" w16cid:durableId="87584715">
    <w:abstractNumId w:val="9"/>
  </w:num>
  <w:num w:numId="20" w16cid:durableId="904486934">
    <w:abstractNumId w:val="5"/>
  </w:num>
  <w:num w:numId="21" w16cid:durableId="566846020">
    <w:abstractNumId w:val="40"/>
  </w:num>
  <w:num w:numId="22" w16cid:durableId="943615166">
    <w:abstractNumId w:val="6"/>
  </w:num>
  <w:num w:numId="23" w16cid:durableId="2123188502">
    <w:abstractNumId w:val="73"/>
  </w:num>
  <w:num w:numId="24" w16cid:durableId="606037106">
    <w:abstractNumId w:val="91"/>
  </w:num>
  <w:num w:numId="25" w16cid:durableId="1168591299">
    <w:abstractNumId w:val="31"/>
  </w:num>
  <w:num w:numId="26" w16cid:durableId="2054576">
    <w:abstractNumId w:val="20"/>
  </w:num>
  <w:num w:numId="27" w16cid:durableId="2144538284">
    <w:abstractNumId w:val="62"/>
  </w:num>
  <w:num w:numId="28" w16cid:durableId="1461024382">
    <w:abstractNumId w:val="1"/>
  </w:num>
  <w:num w:numId="29" w16cid:durableId="16663319">
    <w:abstractNumId w:val="18"/>
  </w:num>
  <w:num w:numId="30" w16cid:durableId="2112968297">
    <w:abstractNumId w:val="14"/>
  </w:num>
  <w:num w:numId="31" w16cid:durableId="1011838697">
    <w:abstractNumId w:val="38"/>
  </w:num>
  <w:num w:numId="32" w16cid:durableId="725450359">
    <w:abstractNumId w:val="109"/>
  </w:num>
  <w:num w:numId="33" w16cid:durableId="721296983">
    <w:abstractNumId w:val="95"/>
  </w:num>
  <w:num w:numId="34" w16cid:durableId="71856315">
    <w:abstractNumId w:val="100"/>
  </w:num>
  <w:num w:numId="35" w16cid:durableId="720665593">
    <w:abstractNumId w:val="84"/>
  </w:num>
  <w:num w:numId="36" w16cid:durableId="101073388">
    <w:abstractNumId w:val="64"/>
  </w:num>
  <w:num w:numId="37" w16cid:durableId="1148091548">
    <w:abstractNumId w:val="96"/>
  </w:num>
  <w:num w:numId="38" w16cid:durableId="1286155930">
    <w:abstractNumId w:val="49"/>
  </w:num>
  <w:num w:numId="39" w16cid:durableId="536503283">
    <w:abstractNumId w:val="46"/>
  </w:num>
  <w:num w:numId="40" w16cid:durableId="1093823982">
    <w:abstractNumId w:val="92"/>
  </w:num>
  <w:num w:numId="41" w16cid:durableId="2042319432">
    <w:abstractNumId w:val="53"/>
  </w:num>
  <w:num w:numId="42" w16cid:durableId="1707368289">
    <w:abstractNumId w:val="69"/>
  </w:num>
  <w:num w:numId="43" w16cid:durableId="843279445">
    <w:abstractNumId w:val="98"/>
  </w:num>
  <w:num w:numId="44" w16cid:durableId="983319908">
    <w:abstractNumId w:val="50"/>
  </w:num>
  <w:num w:numId="45" w16cid:durableId="1110007377">
    <w:abstractNumId w:val="107"/>
  </w:num>
  <w:num w:numId="46" w16cid:durableId="1200783094">
    <w:abstractNumId w:val="99"/>
  </w:num>
  <w:num w:numId="47" w16cid:durableId="1134640214">
    <w:abstractNumId w:val="17"/>
  </w:num>
  <w:num w:numId="48" w16cid:durableId="119493036">
    <w:abstractNumId w:val="37"/>
  </w:num>
  <w:num w:numId="49" w16cid:durableId="287928864">
    <w:abstractNumId w:val="88"/>
  </w:num>
  <w:num w:numId="50" w16cid:durableId="1529290825">
    <w:abstractNumId w:val="102"/>
  </w:num>
  <w:num w:numId="51" w16cid:durableId="1000694438">
    <w:abstractNumId w:val="97"/>
  </w:num>
  <w:num w:numId="52" w16cid:durableId="2064672415">
    <w:abstractNumId w:val="89"/>
  </w:num>
  <w:num w:numId="53" w16cid:durableId="1361735041">
    <w:abstractNumId w:val="79"/>
  </w:num>
  <w:num w:numId="54" w16cid:durableId="1198933888">
    <w:abstractNumId w:val="16"/>
  </w:num>
  <w:num w:numId="55" w16cid:durableId="293489555">
    <w:abstractNumId w:val="93"/>
  </w:num>
  <w:num w:numId="56" w16cid:durableId="1998075073">
    <w:abstractNumId w:val="23"/>
  </w:num>
  <w:num w:numId="57" w16cid:durableId="2135371016">
    <w:abstractNumId w:val="11"/>
    <w:lvlOverride w:ilvl="0">
      <w:startOverride w:val="1"/>
    </w:lvlOverride>
  </w:num>
  <w:num w:numId="58" w16cid:durableId="1347832511">
    <w:abstractNumId w:val="2"/>
  </w:num>
  <w:num w:numId="59" w16cid:durableId="596983891">
    <w:abstractNumId w:val="34"/>
  </w:num>
  <w:num w:numId="60" w16cid:durableId="996105930">
    <w:abstractNumId w:val="41"/>
  </w:num>
  <w:num w:numId="61" w16cid:durableId="185608084">
    <w:abstractNumId w:val="12"/>
  </w:num>
  <w:num w:numId="62" w16cid:durableId="1773014806">
    <w:abstractNumId w:val="108"/>
  </w:num>
  <w:num w:numId="63" w16cid:durableId="1870601405">
    <w:abstractNumId w:val="54"/>
  </w:num>
  <w:num w:numId="64" w16cid:durableId="234437684">
    <w:abstractNumId w:val="70"/>
  </w:num>
  <w:num w:numId="65" w16cid:durableId="1952281620">
    <w:abstractNumId w:val="56"/>
  </w:num>
  <w:num w:numId="66" w16cid:durableId="1141994520">
    <w:abstractNumId w:val="77"/>
  </w:num>
  <w:num w:numId="67" w16cid:durableId="903611075">
    <w:abstractNumId w:val="57"/>
  </w:num>
  <w:num w:numId="68" w16cid:durableId="587888005">
    <w:abstractNumId w:val="65"/>
  </w:num>
  <w:num w:numId="69" w16cid:durableId="426584349">
    <w:abstractNumId w:val="42"/>
  </w:num>
  <w:num w:numId="70" w16cid:durableId="127404161">
    <w:abstractNumId w:val="76"/>
  </w:num>
  <w:num w:numId="71" w16cid:durableId="947204255">
    <w:abstractNumId w:val="24"/>
  </w:num>
  <w:num w:numId="72" w16cid:durableId="2133548902">
    <w:abstractNumId w:val="74"/>
  </w:num>
  <w:num w:numId="73" w16cid:durableId="1261375735">
    <w:abstractNumId w:val="43"/>
  </w:num>
  <w:num w:numId="74" w16cid:durableId="1357076681">
    <w:abstractNumId w:val="86"/>
  </w:num>
  <w:num w:numId="75" w16cid:durableId="83768474">
    <w:abstractNumId w:val="39"/>
  </w:num>
  <w:num w:numId="76" w16cid:durableId="1648511993">
    <w:abstractNumId w:val="55"/>
  </w:num>
  <w:num w:numId="77" w16cid:durableId="1234705083">
    <w:abstractNumId w:val="8"/>
  </w:num>
  <w:num w:numId="78" w16cid:durableId="2033024310">
    <w:abstractNumId w:val="7"/>
  </w:num>
  <w:num w:numId="79" w16cid:durableId="1988165814">
    <w:abstractNumId w:val="19"/>
  </w:num>
  <w:num w:numId="80" w16cid:durableId="925576067">
    <w:abstractNumId w:val="67"/>
  </w:num>
  <w:num w:numId="81" w16cid:durableId="2038505775">
    <w:abstractNumId w:val="33"/>
  </w:num>
  <w:num w:numId="82" w16cid:durableId="2012755707">
    <w:abstractNumId w:val="112"/>
  </w:num>
  <w:num w:numId="83" w16cid:durableId="1437561050">
    <w:abstractNumId w:val="105"/>
  </w:num>
  <w:num w:numId="84" w16cid:durableId="354426588">
    <w:abstractNumId w:val="47"/>
  </w:num>
  <w:num w:numId="85" w16cid:durableId="1458445917">
    <w:abstractNumId w:val="48"/>
  </w:num>
  <w:num w:numId="86" w16cid:durableId="144202048">
    <w:abstractNumId w:val="3"/>
  </w:num>
  <w:num w:numId="87" w16cid:durableId="1850949803">
    <w:abstractNumId w:val="0"/>
  </w:num>
  <w:num w:numId="88" w16cid:durableId="2102331961">
    <w:abstractNumId w:val="63"/>
  </w:num>
  <w:num w:numId="89" w16cid:durableId="15036144">
    <w:abstractNumId w:val="27"/>
  </w:num>
  <w:num w:numId="90" w16cid:durableId="1558779632">
    <w:abstractNumId w:val="15"/>
  </w:num>
  <w:num w:numId="91" w16cid:durableId="1694107252">
    <w:abstractNumId w:val="82"/>
  </w:num>
  <w:num w:numId="92" w16cid:durableId="708070096">
    <w:abstractNumId w:val="85"/>
  </w:num>
  <w:num w:numId="93" w16cid:durableId="599415894">
    <w:abstractNumId w:val="94"/>
  </w:num>
  <w:num w:numId="94" w16cid:durableId="93983373">
    <w:abstractNumId w:val="78"/>
  </w:num>
  <w:num w:numId="95" w16cid:durableId="249044261">
    <w:abstractNumId w:val="58"/>
  </w:num>
  <w:num w:numId="96" w16cid:durableId="1067654057">
    <w:abstractNumId w:val="111"/>
  </w:num>
  <w:num w:numId="97" w16cid:durableId="1778255777">
    <w:abstractNumId w:val="36"/>
  </w:num>
  <w:num w:numId="98" w16cid:durableId="1875607331">
    <w:abstractNumId w:val="51"/>
  </w:num>
  <w:num w:numId="99" w16cid:durableId="1249388650">
    <w:abstractNumId w:val="59"/>
  </w:num>
  <w:num w:numId="100" w16cid:durableId="1757970198">
    <w:abstractNumId w:val="22"/>
  </w:num>
  <w:num w:numId="101" w16cid:durableId="1300303295">
    <w:abstractNumId w:val="26"/>
  </w:num>
  <w:num w:numId="102" w16cid:durableId="2116098691">
    <w:abstractNumId w:val="52"/>
  </w:num>
  <w:num w:numId="103" w16cid:durableId="731972449">
    <w:abstractNumId w:val="104"/>
  </w:num>
  <w:num w:numId="104" w16cid:durableId="1997487810">
    <w:abstractNumId w:val="25"/>
  </w:num>
  <w:num w:numId="105" w16cid:durableId="647319509">
    <w:abstractNumId w:val="83"/>
  </w:num>
  <w:num w:numId="106" w16cid:durableId="356078552">
    <w:abstractNumId w:val="28"/>
  </w:num>
  <w:num w:numId="107" w16cid:durableId="1960334453">
    <w:abstractNumId w:val="60"/>
  </w:num>
  <w:num w:numId="108" w16cid:durableId="2117141758">
    <w:abstractNumId w:val="66"/>
  </w:num>
  <w:num w:numId="109" w16cid:durableId="652639888">
    <w:abstractNumId w:val="110"/>
  </w:num>
  <w:num w:numId="110" w16cid:durableId="1831016302">
    <w:abstractNumId w:val="87"/>
  </w:num>
  <w:num w:numId="111" w16cid:durableId="825322965">
    <w:abstractNumId w:val="4"/>
  </w:num>
  <w:num w:numId="112" w16cid:durableId="1774007411">
    <w:abstractNumId w:val="71"/>
  </w:num>
  <w:num w:numId="113" w16cid:durableId="1966109757">
    <w:abstractNumId w:val="10"/>
  </w:num>
  <w:num w:numId="114" w16cid:durableId="331227822">
    <w:abstractNumId w:val="8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hyperlink" Target="mailto:pavankalyand@tejasnetwork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141</Pages>
  <Words>40611</Words>
  <Characters>231488</Characters>
  <Application>Microsoft Office Word</Application>
  <DocSecurity>0</DocSecurity>
  <Lines>1929</Lines>
  <Paragraphs>543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271556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Taesang Yoo</cp:lastModifiedBy>
  <cp:revision>6</cp:revision>
  <dcterms:created xsi:type="dcterms:W3CDTF">2024-05-20T09:48:00Z</dcterms:created>
  <dcterms:modified xsi:type="dcterms:W3CDTF">2024-05-20T14:57:00Z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