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9F29E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proofErr w:type="spellStart"/>
            <w:r w:rsidRPr="004766A2">
              <w:rPr>
                <w:rFonts w:eastAsia="Yu Mincho"/>
                <w:szCs w:val="20"/>
                <w:lang w:val="sv-SE" w:eastAsia="ja-JP"/>
              </w:rPr>
              <w:t>Jingya</w:t>
            </w:r>
            <w:proofErr w:type="spellEnd"/>
            <w:r w:rsidRPr="004766A2">
              <w:rPr>
                <w:rFonts w:eastAsia="Yu Mincho"/>
                <w:szCs w:val="20"/>
                <w:lang w:val="sv-SE" w:eastAsia="ja-JP"/>
              </w:rPr>
              <w:t xml:space="preserve">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 xml:space="preserve">Siva </w:t>
            </w:r>
            <w:proofErr w:type="spellStart"/>
            <w:r w:rsidRPr="004766A2">
              <w:rPr>
                <w:rFonts w:eastAsia="Yu Mincho"/>
                <w:szCs w:val="20"/>
                <w:lang w:val="sv-SE" w:eastAsia="ja-JP"/>
              </w:rPr>
              <w:t>Muruganathan</w:t>
            </w:r>
            <w:proofErr w:type="spellEnd"/>
          </w:p>
          <w:p w14:paraId="4877FB69" w14:textId="27686356" w:rsidR="009B2D29" w:rsidRPr="004766A2" w:rsidRDefault="009B2D29" w:rsidP="009B2D29">
            <w:pPr>
              <w:rPr>
                <w:lang w:val="sv-SE"/>
              </w:rPr>
            </w:pPr>
            <w:proofErr w:type="spellStart"/>
            <w:r w:rsidRPr="004766A2">
              <w:rPr>
                <w:rFonts w:eastAsia="Yu Mincho"/>
                <w:szCs w:val="20"/>
                <w:lang w:val="sv-SE" w:eastAsia="ja-JP"/>
              </w:rPr>
              <w:t>Jianwei</w:t>
            </w:r>
            <w:proofErr w:type="spellEnd"/>
            <w:r w:rsidRPr="004766A2">
              <w:rPr>
                <w:rFonts w:eastAsia="Yu Mincho"/>
                <w:szCs w:val="20"/>
                <w:lang w:val="sv-SE" w:eastAsia="ja-JP"/>
              </w:rPr>
              <w:t xml:space="preserve">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proofErr w:type="spellStart"/>
            <w:r>
              <w:rPr>
                <w:rFonts w:eastAsia="SimSun" w:hint="eastAsia"/>
                <w:lang w:eastAsia="zh-CN"/>
              </w:rPr>
              <w:t>L</w:t>
            </w:r>
            <w:r>
              <w:rPr>
                <w:rFonts w:eastAsia="SimSun"/>
                <w:lang w:eastAsia="zh-CN"/>
              </w:rPr>
              <w:t>un</w:t>
            </w:r>
            <w:proofErr w:type="spellEnd"/>
            <w:r>
              <w:rPr>
                <w:rFonts w:eastAsia="SimSun"/>
                <w:lang w:eastAsia="zh-CN"/>
              </w:rPr>
              <w:t xml:space="preserve">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proofErr w:type="spellStart"/>
            <w:r w:rsidRPr="00FA5F38">
              <w:rPr>
                <w:rFonts w:eastAsia="Yu Mincho" w:hint="eastAsia"/>
                <w:szCs w:val="20"/>
                <w:lang w:eastAsia="ja-JP"/>
              </w:rPr>
              <w:t>Y</w:t>
            </w:r>
            <w:r w:rsidRPr="00FA5F38">
              <w:rPr>
                <w:rFonts w:eastAsia="Yu Mincho"/>
                <w:szCs w:val="20"/>
                <w:lang w:eastAsia="ja-JP"/>
              </w:rPr>
              <w:t>uhua</w:t>
            </w:r>
            <w:proofErr w:type="spellEnd"/>
            <w:r w:rsidRPr="00FA5F38">
              <w:rPr>
                <w:rFonts w:eastAsia="Yu Mincho"/>
                <w:szCs w:val="20"/>
                <w:lang w:eastAsia="ja-JP"/>
              </w:rPr>
              <w:t xml:space="preserve">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proofErr w:type="spellStart"/>
            <w:r>
              <w:rPr>
                <w:rFonts w:eastAsia="SimSun"/>
                <w:szCs w:val="20"/>
                <w:lang w:eastAsia="zh-CN"/>
              </w:rPr>
              <w:t>Huaning</w:t>
            </w:r>
            <w:proofErr w:type="spellEnd"/>
            <w:r>
              <w:rPr>
                <w:rFonts w:eastAsia="SimSun"/>
                <w:szCs w:val="20"/>
                <w:lang w:eastAsia="zh-CN"/>
              </w:rPr>
              <w:t xml:space="preserve"> </w:t>
            </w:r>
            <w:proofErr w:type="spellStart"/>
            <w:r>
              <w:rPr>
                <w:rFonts w:eastAsia="SimSun"/>
                <w:szCs w:val="20"/>
                <w:lang w:eastAsia="zh-CN"/>
              </w:rPr>
              <w:t>Niu</w:t>
            </w:r>
            <w:proofErr w:type="spellEnd"/>
          </w:p>
        </w:tc>
        <w:tc>
          <w:tcPr>
            <w:tcW w:w="3895" w:type="dxa"/>
            <w:vAlign w:val="center"/>
          </w:tcPr>
          <w:p w14:paraId="29DF8573" w14:textId="57C7FB21" w:rsidR="004C6004" w:rsidRDefault="004C6004" w:rsidP="00A17473">
            <w:pPr>
              <w:pStyle w:val="BodyText"/>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proofErr w:type="spellStart"/>
      <w:r w:rsidRPr="00D73CDA">
        <w:rPr>
          <w:rStyle w:val="IntenseEmphasis"/>
        </w:rPr>
        <w:t>Tejas</w:t>
      </w:r>
      <w:proofErr w:type="spellEnd"/>
      <w:r w:rsidRPr="00D73CDA">
        <w:rPr>
          <w:rStyle w:val="IntenseEmphasis"/>
        </w:rPr>
        <w:t xml:space="preserve">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ListParagraph"/>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lastRenderedPageBreak/>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lastRenderedPageBreak/>
        <w:t xml:space="preserve">Model complexity </w:t>
      </w:r>
      <w:proofErr w:type="gramStart"/>
      <w:r>
        <w:t>FLOPs</w:t>
      </w:r>
      <w:proofErr w:type="gramEnd"/>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bl>
    <w:p w14:paraId="60C4E080" w14:textId="77777777" w:rsidR="00DF0FC1" w:rsidRPr="008519F0"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7FCFCC45" w:rsidR="006A4F4C" w:rsidRPr="006A4F4C" w:rsidRDefault="006A4F4C"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ok</w:t>
            </w:r>
          </w:p>
        </w:tc>
      </w:tr>
    </w:tbl>
    <w:p w14:paraId="4056CE9C" w14:textId="77777777" w:rsidR="00E27EC7" w:rsidRPr="006A4F4C" w:rsidRDefault="00E27EC7" w:rsidP="00F20AD4"/>
    <w:p w14:paraId="7281F4F5" w14:textId="34EDC341" w:rsidR="00C2607D" w:rsidRDefault="00C2607D" w:rsidP="00C2607D">
      <w:pPr>
        <w:pStyle w:val="Heading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lastRenderedPageBreak/>
              <w:t>Support / Can accept</w:t>
            </w:r>
          </w:p>
        </w:tc>
        <w:tc>
          <w:tcPr>
            <w:tcW w:w="7015" w:type="dxa"/>
          </w:tcPr>
          <w:p w14:paraId="1ED29553" w14:textId="7F130673"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spellEnd"/>
            <w:proofErr w:type="gramEnd"/>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lastRenderedPageBreak/>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lastRenderedPageBreak/>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lastRenderedPageBreak/>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lastRenderedPageBreak/>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lastRenderedPageBreak/>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lastRenderedPageBreak/>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lastRenderedPageBreak/>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lastRenderedPageBreak/>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lastRenderedPageBreak/>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lastRenderedPageBreak/>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lastRenderedPageBreak/>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lastRenderedPageBreak/>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lastRenderedPageBreak/>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lastRenderedPageBreak/>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proofErr w:type="spellStart"/>
      <w:r>
        <w:rPr>
          <w:rStyle w:val="IntenseEmphasis"/>
        </w:rPr>
        <w:t>Futurewei</w:t>
      </w:r>
      <w:proofErr w:type="spellEnd"/>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lastRenderedPageBreak/>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w:t>
            </w:r>
            <w:r w:rsidRPr="008C2615">
              <w:rPr>
                <w:rFonts w:eastAsiaTheme="minorEastAsia"/>
                <w:sz w:val="18"/>
                <w:szCs w:val="18"/>
                <w:lang w:eastAsia="x-none"/>
              </w:rPr>
              <w:lastRenderedPageBreak/>
              <w:t xml:space="preserve">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proofErr w:type="spellStart"/>
      <w:r>
        <w:rPr>
          <w:rStyle w:val="IntenseEmphasis"/>
        </w:rPr>
        <w:t>Tejas</w:t>
      </w:r>
      <w:proofErr w:type="spellEnd"/>
      <w:r>
        <w:rPr>
          <w:rStyle w:val="IntenseEmphasis"/>
        </w:rPr>
        <w:t xml:space="preserve">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 xml:space="preserve">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29"/>
        <w:gridCol w:w="1350"/>
        <w:gridCol w:w="1076"/>
        <w:gridCol w:w="1517"/>
        <w:gridCol w:w="1675"/>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proofErr w:type="spellStart"/>
            <w:r w:rsidRPr="00A51AE7">
              <w:rPr>
                <w:lang w:val="sv-SE"/>
              </w:rPr>
              <w:t>Lenovo</w:t>
            </w:r>
            <w:proofErr w:type="spellEnd"/>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proofErr w:type="spellStart"/>
            <w:r w:rsidRPr="00A51AE7">
              <w:rPr>
                <w:lang w:val="sv-SE"/>
              </w:rPr>
              <w:t>Fujistu</w:t>
            </w:r>
            <w:proofErr w:type="spellEnd"/>
            <w:r w:rsidRPr="00A51AE7">
              <w:rPr>
                <w:lang w:val="sv-SE"/>
              </w:rPr>
              <w:t xml:space="preserve">: </w:t>
            </w:r>
            <w:proofErr w:type="spellStart"/>
            <w:r w:rsidRPr="00A51AE7">
              <w:rPr>
                <w:lang w:val="sv-SE"/>
              </w:rPr>
              <w:t>better</w:t>
            </w:r>
            <w:proofErr w:type="spellEnd"/>
            <w:r w:rsidRPr="00A51AE7">
              <w:rPr>
                <w:lang w:val="sv-SE"/>
              </w:rPr>
              <w:t xml:space="preserve"> </w:t>
            </w:r>
            <w:proofErr w:type="spellStart"/>
            <w:r w:rsidRPr="00A51AE7">
              <w:rPr>
                <w:lang w:val="sv-SE"/>
              </w:rPr>
              <w:t>than</w:t>
            </w:r>
            <w:proofErr w:type="spellEnd"/>
            <w:r w:rsidRPr="00A51AE7">
              <w:rPr>
                <w:lang w:val="sv-SE"/>
              </w:rPr>
              <w:t xml:space="preserve">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Huawei (</w:t>
            </w:r>
            <w:proofErr w:type="spellStart"/>
            <w:r w:rsidRPr="001E4019">
              <w:rPr>
                <w:lang w:val="pt-BR"/>
              </w:rPr>
              <w:t>structure</w:t>
            </w:r>
            <w:proofErr w:type="spellEnd"/>
            <w:r w:rsidRPr="001E4019">
              <w:rPr>
                <w:lang w:val="pt-BR"/>
              </w:rPr>
              <w:t xml:space="preserve"> </w:t>
            </w:r>
            <w:proofErr w:type="spellStart"/>
            <w:r w:rsidRPr="001E4019">
              <w:rPr>
                <w:lang w:val="pt-BR"/>
              </w:rPr>
              <w:t>alignment</w:t>
            </w:r>
            <w:proofErr w:type="spellEnd"/>
            <w:r w:rsidRPr="001E4019">
              <w:rPr>
                <w:lang w:val="pt-BR"/>
              </w:rPr>
              <w:t xml:space="preserve">),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Huawei (</w:t>
            </w:r>
            <w:proofErr w:type="spellStart"/>
            <w:r w:rsidRPr="001E4019">
              <w:rPr>
                <w:lang w:val="pt-BR"/>
              </w:rPr>
              <w:t>structure</w:t>
            </w:r>
            <w:proofErr w:type="spellEnd"/>
            <w:r w:rsidRPr="001E4019">
              <w:rPr>
                <w:lang w:val="pt-BR"/>
              </w:rPr>
              <w:t xml:space="preserve"> </w:t>
            </w:r>
            <w:proofErr w:type="spellStart"/>
            <w:r w:rsidRPr="001E4019">
              <w:rPr>
                <w:lang w:val="pt-BR"/>
              </w:rPr>
              <w:t>alignment</w:t>
            </w:r>
            <w:proofErr w:type="spellEnd"/>
            <w:r w:rsidRPr="001E4019">
              <w:rPr>
                <w:lang w:val="pt-BR"/>
              </w:rPr>
              <w:t xml:space="preserve">),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xml:space="preserve">, e.g., performance </w:t>
      </w:r>
      <w:proofErr w:type="spellStart"/>
      <w:r w:rsidR="00E80855" w:rsidRPr="008519F0">
        <w:rPr>
          <w:lang w:val="fr-FR"/>
        </w:rPr>
        <w:t>requirements</w:t>
      </w:r>
      <w:proofErr w:type="spellEnd"/>
      <w:r w:rsidR="00E80855" w:rsidRPr="008519F0">
        <w:rPr>
          <w:lang w:val="fr-FR"/>
        </w:rPr>
        <w:t xml:space="preserve">, </w:t>
      </w:r>
      <w:proofErr w:type="spellStart"/>
      <w:r w:rsidR="00E80855" w:rsidRPr="008519F0">
        <w:rPr>
          <w:lang w:val="fr-FR"/>
        </w:rPr>
        <w:t>etc</w:t>
      </w:r>
      <w:proofErr w:type="spellEnd"/>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SimSun"/>
                <w:iCs/>
                <w:lang w:eastAsia="zh-CN"/>
              </w:rPr>
              <w:t>be</w:t>
            </w:r>
            <w:proofErr w:type="gramEnd"/>
            <w:r>
              <w:rPr>
                <w:rFonts w:eastAsia="SimSun"/>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SimSun"/>
                <w:iCs/>
                <w:lang w:eastAsia="zh-CN"/>
              </w:rPr>
              <w:t>need</w:t>
            </w:r>
            <w:proofErr w:type="gramEnd"/>
            <w:r>
              <w:rPr>
                <w:rFonts w:eastAsia="SimSun"/>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or </w:t>
            </w:r>
            <w:proofErr w:type="gramStart"/>
            <w:r w:rsidRPr="00570F24">
              <w:rPr>
                <w:strike/>
                <w:color w:val="FF0000"/>
              </w:rPr>
              <w:t>framework</w:t>
            </w:r>
            <w:proofErr w:type="gramEnd"/>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w:t>
            </w:r>
            <w:proofErr w:type="gramStart"/>
            <w:r w:rsidRPr="00C03FFF">
              <w:rPr>
                <w:rFonts w:eastAsia="SimSun"/>
                <w:color w:val="FF0000"/>
                <w:lang w:eastAsia="zh-CN"/>
              </w:rPr>
              <w:t>5a</w:t>
            </w:r>
            <w:proofErr w:type="gramEnd"/>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or </w:t>
            </w:r>
            <w:proofErr w:type="gramStart"/>
            <w:r>
              <w:t>framework</w:t>
            </w:r>
            <w:proofErr w:type="gramEnd"/>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w:t>
            </w:r>
            <w:proofErr w:type="gramStart"/>
            <w:r>
              <w:rPr>
                <w:rFonts w:eastAsia="SimSun" w:hint="eastAsia"/>
                <w:iCs/>
                <w:lang w:eastAsia="zh-CN"/>
              </w:rPr>
              <w:t>Similar to</w:t>
            </w:r>
            <w:proofErr w:type="gramEnd"/>
            <w:r>
              <w:rPr>
                <w:rFonts w:eastAsia="SimSun" w:hint="eastAsia"/>
                <w:iCs/>
                <w:lang w:eastAsia="zh-CN"/>
              </w:rPr>
              <w:t xml:space="preserve"> </w:t>
            </w:r>
            <w:proofErr w:type="spellStart"/>
            <w:r>
              <w:rPr>
                <w:rFonts w:eastAsia="SimSun" w:hint="eastAsia"/>
                <w:iCs/>
                <w:lang w:eastAsia="zh-CN"/>
              </w:rPr>
              <w:t>Futurewei</w:t>
            </w:r>
            <w:proofErr w:type="spellEnd"/>
            <w:r>
              <w:rPr>
                <w:rFonts w:eastAsia="SimSun" w:hint="eastAsia"/>
                <w:iCs/>
                <w:lang w:eastAsia="zh-CN"/>
              </w:rPr>
              <w:t xml:space="preserve">,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w:t>
            </w:r>
            <w:proofErr w:type="spellEnd"/>
            <w:r w:rsidRPr="009F29E5">
              <w:rPr>
                <w:rFonts w:eastAsia="SimSun"/>
                <w:iCs/>
                <w:lang w:eastAsia="zh-CN"/>
              </w:rPr>
              <w:t>..e</w:t>
            </w:r>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 xml:space="preserve">layer/rank common/specific </w:t>
            </w:r>
            <w:proofErr w:type="gramStart"/>
            <w:r w:rsidRPr="001A46C4">
              <w:rPr>
                <w:color w:val="FF0000"/>
              </w:rPr>
              <w:t>model</w:t>
            </w:r>
            <w:proofErr w:type="gramEnd"/>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hint="eastAsia"/>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lastRenderedPageBreak/>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lastRenderedPageBreak/>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lastRenderedPageBreak/>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lastRenderedPageBreak/>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 xml:space="preserve">Support in general. And agree with Lenovo and </w:t>
            </w:r>
            <w:proofErr w:type="spellStart"/>
            <w:r w:rsidRPr="00F81F95">
              <w:rPr>
                <w:rFonts w:eastAsia="SimSun"/>
                <w:iCs/>
                <w:lang w:eastAsia="zh-CN"/>
              </w:rPr>
              <w:t>Futurewei</w:t>
            </w:r>
            <w:proofErr w:type="spellEnd"/>
            <w:r w:rsidRPr="00F81F95">
              <w:rPr>
                <w:rFonts w:eastAsia="SimSun"/>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lastRenderedPageBreak/>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hint="eastAsia"/>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lastRenderedPageBreak/>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hint="eastAsia"/>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lastRenderedPageBreak/>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lastRenderedPageBreak/>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lastRenderedPageBreak/>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lastRenderedPageBreak/>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lastRenderedPageBreak/>
              <w:t>NW configure data quality threshold</w:t>
            </w:r>
          </w:p>
        </w:tc>
      </w:tr>
      <w:tr w:rsidR="001045AC" w14:paraId="70B57BEB" w14:textId="77777777">
        <w:tc>
          <w:tcPr>
            <w:tcW w:w="1435" w:type="dxa"/>
          </w:tcPr>
          <w:p w14:paraId="2F5AF3BA" w14:textId="77777777" w:rsidR="001045AC" w:rsidRDefault="001045AC">
            <w:r>
              <w:lastRenderedPageBreak/>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lastRenderedPageBreak/>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lastRenderedPageBreak/>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lastRenderedPageBreak/>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lastRenderedPageBreak/>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lastRenderedPageBreak/>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ListParagraph"/>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lastRenderedPageBreak/>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lastRenderedPageBreak/>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hint="eastAsia"/>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hint="eastAsia"/>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lastRenderedPageBreak/>
              <w:t xml:space="preserve">Also related to CQI options. </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lastRenderedPageBreak/>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lastRenderedPageBreak/>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lastRenderedPageBreak/>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lastRenderedPageBreak/>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lastRenderedPageBreak/>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lastRenderedPageBreak/>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ListParagraph"/>
        <w:numPr>
          <w:ilvl w:val="0"/>
          <w:numId w:val="103"/>
        </w:numPr>
      </w:pPr>
      <w:r>
        <w:t xml:space="preserve">UCI memory / buffer </w:t>
      </w:r>
      <w:proofErr w:type="gramStart"/>
      <w:r>
        <w:t>reset</w:t>
      </w:r>
      <w:proofErr w:type="gramEnd"/>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UCI memory / buffer </w:t>
            </w:r>
            <w:proofErr w:type="gramStart"/>
            <w:r w:rsidRPr="001C32E5">
              <w:rPr>
                <w:i/>
                <w:iCs/>
              </w:rPr>
              <w:t>reset</w:t>
            </w:r>
            <w:proofErr w:type="gramEnd"/>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lastRenderedPageBreak/>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hint="eastAsia"/>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lastRenderedPageBreak/>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lastRenderedPageBreak/>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reconstruction. Companies </w:t>
      </w:r>
      <w:r w:rsidRPr="00F34165">
        <w:lastRenderedPageBreak/>
        <w:t>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lastRenderedPageBreak/>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 xml:space="preserve">E.g., Indoor-outdoor </w:t>
      </w:r>
      <w:proofErr w:type="spellStart"/>
      <w:r w:rsidRPr="001E4019">
        <w:rPr>
          <w:lang w:val="pt-BR"/>
        </w:rPr>
        <w:t>ratio</w:t>
      </w:r>
      <w:proofErr w:type="spellEnd"/>
      <w:r w:rsidRPr="001E4019">
        <w:rPr>
          <w:lang w:val="pt-BR"/>
        </w:rPr>
        <w:t xml:space="preserve">, LOS-NLOS </w:t>
      </w:r>
      <w:proofErr w:type="spellStart"/>
      <w:r w:rsidRPr="001E4019">
        <w:rPr>
          <w:lang w:val="pt-BR"/>
        </w:rPr>
        <w:t>ratio</w:t>
      </w:r>
      <w:proofErr w:type="spellEnd"/>
      <w:r w:rsidRPr="001E4019">
        <w:rPr>
          <w:lang w:val="pt-BR"/>
        </w:rPr>
        <w:t xml:space="preserve">, TXRU </w:t>
      </w:r>
      <w:proofErr w:type="gramStart"/>
      <w:r w:rsidRPr="001E4019">
        <w:rPr>
          <w:lang w:val="pt-BR"/>
        </w:rPr>
        <w:t>mapping, etc.</w:t>
      </w:r>
      <w:proofErr w:type="gramEnd"/>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lastRenderedPageBreak/>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 xml:space="preserve">Benchmark </w:t>
      </w:r>
      <w:proofErr w:type="gramStart"/>
      <w:r w:rsidRPr="005474DE">
        <w:t>scheme</w:t>
      </w:r>
      <w:proofErr w:type="gramEnd"/>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 xml:space="preserve">Benchmark </w:t>
      </w:r>
      <w:proofErr w:type="gramStart"/>
      <w:r w:rsidRPr="00BE4442">
        <w:t>schemes</w:t>
      </w:r>
      <w:proofErr w:type="gramEnd"/>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lastRenderedPageBreak/>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lastRenderedPageBreak/>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lastRenderedPageBreak/>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lastRenderedPageBreak/>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 xml:space="preserve">Description of model input/output and use </w:t>
      </w:r>
      <w:proofErr w:type="gramStart"/>
      <w:r>
        <w:t>case</w:t>
      </w:r>
      <w:proofErr w:type="gramEnd"/>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 xml:space="preserve">AI/ML for CSI </w:t>
      </w:r>
      <w:proofErr w:type="spellStart"/>
      <w:r w:rsidRPr="001E4019">
        <w:rPr>
          <w:highlight w:val="yellow"/>
          <w:lang w:val="pt-BR" w:eastAsia="x-none"/>
        </w:rPr>
        <w:t>compression</w:t>
      </w:r>
      <w:proofErr w:type="spellEnd"/>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 xml:space="preserve">AI/ML for CSI </w:t>
      </w:r>
      <w:proofErr w:type="spellStart"/>
      <w:r w:rsidRPr="001E4019">
        <w:rPr>
          <w:highlight w:val="yellow"/>
          <w:lang w:val="pt-BR" w:eastAsia="x-none"/>
        </w:rPr>
        <w:t>Compression</w:t>
      </w:r>
      <w:proofErr w:type="spellEnd"/>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B7A2" w14:textId="77777777" w:rsidR="00AA3260" w:rsidRDefault="00AA3260" w:rsidP="00E25422">
      <w:r>
        <w:separator/>
      </w:r>
    </w:p>
  </w:endnote>
  <w:endnote w:type="continuationSeparator" w:id="0">
    <w:p w14:paraId="4B020887" w14:textId="77777777" w:rsidR="00AA3260" w:rsidRDefault="00AA3260" w:rsidP="00E25422">
      <w:r>
        <w:continuationSeparator/>
      </w:r>
    </w:p>
  </w:endnote>
  <w:endnote w:type="continuationNotice" w:id="1">
    <w:p w14:paraId="3A9FE7CD" w14:textId="77777777" w:rsidR="00AA3260" w:rsidRDefault="00AA3260"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amsungOne 400">
    <w:altName w:val="Calibri"/>
    <w:panose1 w:val="020B0604020202020204"/>
    <w:charset w:val="00"/>
    <w:family w:val="swiss"/>
    <w:pitch w:val="variable"/>
    <w:sig w:usb0="E00002FF" w:usb1="5200217F" w:usb2="00000021" w:usb3="00000000" w:csb0="0000019F" w:csb1="00000000"/>
  </w:font>
  <w:font w:name="Nokia Pure Headline Chinese">
    <w:altName w:val="Microsoft YaHei"/>
    <w:panose1 w:val="020B0604020202020204"/>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1D9230F1" w:rsidR="00DE31A4" w:rsidRDefault="00DE31A4" w:rsidP="006C3BA7">
        <w:pPr>
          <w:pStyle w:val="Footer"/>
          <w:jc w:val="center"/>
        </w:pPr>
        <w:r>
          <w:fldChar w:fldCharType="begin"/>
        </w:r>
        <w:r>
          <w:instrText xml:space="preserve"> PAGE   \* MERGEFORMAT </w:instrText>
        </w:r>
        <w:r>
          <w:fldChar w:fldCharType="separate"/>
        </w:r>
        <w:r w:rsidR="009F29E5">
          <w:rPr>
            <w:noProof/>
          </w:rPr>
          <w:t>114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04E5" w14:textId="77777777" w:rsidR="00AA3260" w:rsidRDefault="00AA3260" w:rsidP="00E25422">
      <w:r>
        <w:separator/>
      </w:r>
    </w:p>
  </w:footnote>
  <w:footnote w:type="continuationSeparator" w:id="0">
    <w:p w14:paraId="63AAEF01" w14:textId="77777777" w:rsidR="00AA3260" w:rsidRDefault="00AA3260" w:rsidP="00E25422">
      <w:r>
        <w:continuationSeparator/>
      </w:r>
    </w:p>
  </w:footnote>
  <w:footnote w:type="continuationNotice" w:id="1">
    <w:p w14:paraId="24C91D49" w14:textId="77777777" w:rsidR="00AA3260" w:rsidRDefault="00AA3260"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1455060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550298">
    <w:abstractNumId w:val="66"/>
  </w:num>
  <w:num w:numId="3" w16cid:durableId="726295497">
    <w:abstractNumId w:val="9"/>
  </w:num>
  <w:num w:numId="4" w16cid:durableId="2511543">
    <w:abstractNumId w:val="99"/>
  </w:num>
  <w:num w:numId="5" w16cid:durableId="87117774">
    <w:abstractNumId w:val="43"/>
  </w:num>
  <w:num w:numId="6" w16cid:durableId="1770615263">
    <w:abstractNumId w:val="19"/>
  </w:num>
  <w:num w:numId="7" w16cid:durableId="1452632913">
    <w:abstractNumId w:val="69"/>
  </w:num>
  <w:num w:numId="8" w16cid:durableId="600332675">
    <w:abstractNumId w:val="102"/>
  </w:num>
  <w:num w:numId="9" w16cid:durableId="1500578313">
    <w:abstractNumId w:val="28"/>
  </w:num>
  <w:num w:numId="10" w16cid:durableId="1411729866">
    <w:abstractNumId w:val="72"/>
  </w:num>
  <w:num w:numId="11" w16cid:durableId="1752770472">
    <w:abstractNumId w:val="33"/>
  </w:num>
  <w:num w:numId="12" w16cid:durableId="759177586">
    <w:abstractNumId w:val="11"/>
  </w:num>
  <w:num w:numId="13" w16cid:durableId="764809005">
    <w:abstractNumId w:val="42"/>
  </w:num>
  <w:num w:numId="14" w16cid:durableId="537164575">
    <w:abstractNumId w:val="97"/>
  </w:num>
  <w:num w:numId="15" w16cid:durableId="1658194393">
    <w:abstractNumId w:val="27"/>
  </w:num>
  <w:num w:numId="16" w16cid:durableId="187645775">
    <w:abstractNumId w:val="77"/>
  </w:num>
  <w:num w:numId="17" w16cid:durableId="9911538">
    <w:abstractNumId w:val="86"/>
  </w:num>
  <w:num w:numId="18" w16cid:durableId="908348691">
    <w:abstractNumId w:val="59"/>
  </w:num>
  <w:num w:numId="19" w16cid:durableId="1200169711">
    <w:abstractNumId w:val="8"/>
  </w:num>
  <w:num w:numId="20" w16cid:durableId="1963075203">
    <w:abstractNumId w:val="4"/>
  </w:num>
  <w:num w:numId="21" w16cid:durableId="732583569">
    <w:abstractNumId w:val="38"/>
  </w:num>
  <w:num w:numId="22" w16cid:durableId="718092919">
    <w:abstractNumId w:val="5"/>
  </w:num>
  <w:num w:numId="23" w16cid:durableId="1828282636">
    <w:abstractNumId w:val="70"/>
  </w:num>
  <w:num w:numId="24" w16cid:durableId="592011047">
    <w:abstractNumId w:val="87"/>
  </w:num>
  <w:num w:numId="25" w16cid:durableId="2081705493">
    <w:abstractNumId w:val="29"/>
  </w:num>
  <w:num w:numId="26" w16cid:durableId="1180437987">
    <w:abstractNumId w:val="18"/>
  </w:num>
  <w:num w:numId="27" w16cid:durableId="1486629793">
    <w:abstractNumId w:val="60"/>
  </w:num>
  <w:num w:numId="28" w16cid:durableId="1048917683">
    <w:abstractNumId w:val="1"/>
  </w:num>
  <w:num w:numId="29" w16cid:durableId="1051150589">
    <w:abstractNumId w:val="16"/>
  </w:num>
  <w:num w:numId="30" w16cid:durableId="406608820">
    <w:abstractNumId w:val="12"/>
  </w:num>
  <w:num w:numId="31" w16cid:durableId="869418096">
    <w:abstractNumId w:val="36"/>
  </w:num>
  <w:num w:numId="32" w16cid:durableId="1957059399">
    <w:abstractNumId w:val="105"/>
  </w:num>
  <w:num w:numId="33" w16cid:durableId="1131748443">
    <w:abstractNumId w:val="91"/>
  </w:num>
  <w:num w:numId="34" w16cid:durableId="1604460480">
    <w:abstractNumId w:val="96"/>
  </w:num>
  <w:num w:numId="35" w16cid:durableId="739014886">
    <w:abstractNumId w:val="80"/>
  </w:num>
  <w:num w:numId="36" w16cid:durableId="1936207688">
    <w:abstractNumId w:val="62"/>
  </w:num>
  <w:num w:numId="37" w16cid:durableId="1177505596">
    <w:abstractNumId w:val="92"/>
  </w:num>
  <w:num w:numId="38" w16cid:durableId="185485038">
    <w:abstractNumId w:val="47"/>
  </w:num>
  <w:num w:numId="39" w16cid:durableId="1804080481">
    <w:abstractNumId w:val="44"/>
  </w:num>
  <w:num w:numId="40" w16cid:durableId="1991670420">
    <w:abstractNumId w:val="88"/>
  </w:num>
  <w:num w:numId="41" w16cid:durableId="2122995088">
    <w:abstractNumId w:val="51"/>
  </w:num>
  <w:num w:numId="42" w16cid:durableId="685443873">
    <w:abstractNumId w:val="67"/>
  </w:num>
  <w:num w:numId="43" w16cid:durableId="1279793464">
    <w:abstractNumId w:val="94"/>
  </w:num>
  <w:num w:numId="44" w16cid:durableId="2073001183">
    <w:abstractNumId w:val="48"/>
  </w:num>
  <w:num w:numId="45" w16cid:durableId="750545796">
    <w:abstractNumId w:val="103"/>
  </w:num>
  <w:num w:numId="46" w16cid:durableId="1510100130">
    <w:abstractNumId w:val="95"/>
  </w:num>
  <w:num w:numId="47" w16cid:durableId="2002999282">
    <w:abstractNumId w:val="15"/>
  </w:num>
  <w:num w:numId="48" w16cid:durableId="248076036">
    <w:abstractNumId w:val="35"/>
  </w:num>
  <w:num w:numId="49" w16cid:durableId="708729078">
    <w:abstractNumId w:val="84"/>
  </w:num>
  <w:num w:numId="50" w16cid:durableId="793207410">
    <w:abstractNumId w:val="98"/>
  </w:num>
  <w:num w:numId="51" w16cid:durableId="553851393">
    <w:abstractNumId w:val="93"/>
  </w:num>
  <w:num w:numId="52" w16cid:durableId="1318608699">
    <w:abstractNumId w:val="85"/>
  </w:num>
  <w:num w:numId="53" w16cid:durableId="1346009342">
    <w:abstractNumId w:val="76"/>
  </w:num>
  <w:num w:numId="54" w16cid:durableId="1143695905">
    <w:abstractNumId w:val="14"/>
  </w:num>
  <w:num w:numId="55" w16cid:durableId="1247615161">
    <w:abstractNumId w:val="89"/>
  </w:num>
  <w:num w:numId="56" w16cid:durableId="5912545">
    <w:abstractNumId w:val="21"/>
  </w:num>
  <w:num w:numId="57" w16cid:durableId="153106000">
    <w:abstractNumId w:val="9"/>
    <w:lvlOverride w:ilvl="0">
      <w:startOverride w:val="1"/>
    </w:lvlOverride>
  </w:num>
  <w:num w:numId="58" w16cid:durableId="1401291124">
    <w:abstractNumId w:val="2"/>
  </w:num>
  <w:num w:numId="59" w16cid:durableId="508758490">
    <w:abstractNumId w:val="32"/>
  </w:num>
  <w:num w:numId="60" w16cid:durableId="711733437">
    <w:abstractNumId w:val="39"/>
  </w:num>
  <w:num w:numId="61" w16cid:durableId="1399211774">
    <w:abstractNumId w:val="10"/>
  </w:num>
  <w:num w:numId="62" w16cid:durableId="1259169825">
    <w:abstractNumId w:val="104"/>
  </w:num>
  <w:num w:numId="63" w16cid:durableId="1564413854">
    <w:abstractNumId w:val="52"/>
  </w:num>
  <w:num w:numId="64" w16cid:durableId="2076006217">
    <w:abstractNumId w:val="68"/>
  </w:num>
  <w:num w:numId="65" w16cid:durableId="1741096161">
    <w:abstractNumId w:val="54"/>
  </w:num>
  <w:num w:numId="66" w16cid:durableId="492599226">
    <w:abstractNumId w:val="74"/>
  </w:num>
  <w:num w:numId="67" w16cid:durableId="2045906195">
    <w:abstractNumId w:val="55"/>
  </w:num>
  <w:num w:numId="68" w16cid:durableId="338385930">
    <w:abstractNumId w:val="63"/>
  </w:num>
  <w:num w:numId="69" w16cid:durableId="834875598">
    <w:abstractNumId w:val="40"/>
  </w:num>
  <w:num w:numId="70" w16cid:durableId="1820536048">
    <w:abstractNumId w:val="73"/>
  </w:num>
  <w:num w:numId="71" w16cid:durableId="836766916">
    <w:abstractNumId w:val="22"/>
  </w:num>
  <w:num w:numId="72" w16cid:durableId="1044720811">
    <w:abstractNumId w:val="71"/>
  </w:num>
  <w:num w:numId="73" w16cid:durableId="661278542">
    <w:abstractNumId w:val="41"/>
  </w:num>
  <w:num w:numId="74" w16cid:durableId="624507597">
    <w:abstractNumId w:val="82"/>
  </w:num>
  <w:num w:numId="75" w16cid:durableId="708606159">
    <w:abstractNumId w:val="37"/>
  </w:num>
  <w:num w:numId="76" w16cid:durableId="1864051045">
    <w:abstractNumId w:val="53"/>
  </w:num>
  <w:num w:numId="77" w16cid:durableId="366835601">
    <w:abstractNumId w:val="7"/>
  </w:num>
  <w:num w:numId="78" w16cid:durableId="689795952">
    <w:abstractNumId w:val="6"/>
  </w:num>
  <w:num w:numId="79" w16cid:durableId="1563759894">
    <w:abstractNumId w:val="17"/>
  </w:num>
  <w:num w:numId="80" w16cid:durableId="669870705">
    <w:abstractNumId w:val="65"/>
  </w:num>
  <w:num w:numId="81" w16cid:durableId="1799639619">
    <w:abstractNumId w:val="31"/>
  </w:num>
  <w:num w:numId="82" w16cid:durableId="986476096">
    <w:abstractNumId w:val="108"/>
  </w:num>
  <w:num w:numId="83" w16cid:durableId="1752191733">
    <w:abstractNumId w:val="101"/>
  </w:num>
  <w:num w:numId="84" w16cid:durableId="1177765538">
    <w:abstractNumId w:val="45"/>
  </w:num>
  <w:num w:numId="85" w16cid:durableId="217133985">
    <w:abstractNumId w:val="46"/>
  </w:num>
  <w:num w:numId="86" w16cid:durableId="65032770">
    <w:abstractNumId w:val="3"/>
  </w:num>
  <w:num w:numId="87" w16cid:durableId="1253658961">
    <w:abstractNumId w:val="0"/>
  </w:num>
  <w:num w:numId="88" w16cid:durableId="360514113">
    <w:abstractNumId w:val="61"/>
  </w:num>
  <w:num w:numId="89" w16cid:durableId="1734549540">
    <w:abstractNumId w:val="25"/>
  </w:num>
  <w:num w:numId="90" w16cid:durableId="1717461462">
    <w:abstractNumId w:val="13"/>
  </w:num>
  <w:num w:numId="91" w16cid:durableId="432627919">
    <w:abstractNumId w:val="78"/>
  </w:num>
  <w:num w:numId="92" w16cid:durableId="775439670">
    <w:abstractNumId w:val="81"/>
  </w:num>
  <w:num w:numId="93" w16cid:durableId="1315405427">
    <w:abstractNumId w:val="90"/>
  </w:num>
  <w:num w:numId="94" w16cid:durableId="387388511">
    <w:abstractNumId w:val="75"/>
  </w:num>
  <w:num w:numId="95" w16cid:durableId="1090663551">
    <w:abstractNumId w:val="56"/>
  </w:num>
  <w:num w:numId="96" w16cid:durableId="1520313155">
    <w:abstractNumId w:val="107"/>
  </w:num>
  <w:num w:numId="97" w16cid:durableId="858347201">
    <w:abstractNumId w:val="34"/>
  </w:num>
  <w:num w:numId="98" w16cid:durableId="2102991984">
    <w:abstractNumId w:val="49"/>
  </w:num>
  <w:num w:numId="99" w16cid:durableId="1273903185">
    <w:abstractNumId w:val="57"/>
  </w:num>
  <w:num w:numId="100" w16cid:durableId="853806435">
    <w:abstractNumId w:val="20"/>
  </w:num>
  <w:num w:numId="101" w16cid:durableId="1321469700">
    <w:abstractNumId w:val="24"/>
  </w:num>
  <w:num w:numId="102" w16cid:durableId="1274243780">
    <w:abstractNumId w:val="50"/>
  </w:num>
  <w:num w:numId="103" w16cid:durableId="1324625128">
    <w:abstractNumId w:val="100"/>
  </w:num>
  <w:num w:numId="104" w16cid:durableId="193464250">
    <w:abstractNumId w:val="23"/>
  </w:num>
  <w:num w:numId="105" w16cid:durableId="1004554878">
    <w:abstractNumId w:val="79"/>
  </w:num>
  <w:num w:numId="106" w16cid:durableId="440498274">
    <w:abstractNumId w:val="26"/>
  </w:num>
  <w:num w:numId="107" w16cid:durableId="870341298">
    <w:abstractNumId w:val="58"/>
  </w:num>
  <w:num w:numId="108" w16cid:durableId="339161053">
    <w:abstractNumId w:val="64"/>
  </w:num>
  <w:num w:numId="109" w16cid:durableId="1939825227">
    <w:abstractNumId w:val="106"/>
  </w:num>
  <w:num w:numId="110" w16cid:durableId="1658269236">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126</Pages>
  <Words>36976</Words>
  <Characters>210768</Characters>
  <Application>Microsoft Office Word</Application>
  <DocSecurity>0</DocSecurity>
  <Lines>1756</Lines>
  <Paragraphs>494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247250</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Huaning Niu</cp:lastModifiedBy>
  <cp:revision>6</cp:revision>
  <dcterms:created xsi:type="dcterms:W3CDTF">2024-05-20T05:13:00Z</dcterms:created>
  <dcterms:modified xsi:type="dcterms:W3CDTF">2024-05-20T05:22:00Z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ies>
</file>