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w:t>
            </w:r>
            <w:proofErr w:type="spellStart"/>
            <w:r w:rsidRPr="00DA5C2F">
              <w:rPr>
                <w:rFonts w:ascii="Arial" w:eastAsia="SimSun" w:hAnsi="Arial" w:cs="Arial"/>
                <w:sz w:val="20"/>
                <w:lang w:val="en-US" w:eastAsia="en-US"/>
              </w:rPr>
              <w:t>TDMed</w:t>
            </w:r>
            <w:proofErr w:type="spellEnd"/>
            <w:r w:rsidRPr="00DA5C2F">
              <w:rPr>
                <w:rFonts w:ascii="Arial" w:eastAsia="SimSun"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 xml:space="preserve">RAN2 agreed to introduce a new optional UE capability for intra-slot </w:t>
            </w:r>
            <w:proofErr w:type="spellStart"/>
            <w:r w:rsidRPr="00FE339E">
              <w:rPr>
                <w:rFonts w:eastAsia="DengXian"/>
                <w:lang w:eastAsia="zh-CN"/>
              </w:rPr>
              <w:t>TDMed</w:t>
            </w:r>
            <w:proofErr w:type="spellEnd"/>
            <w:r w:rsidRPr="00FE339E">
              <w:rPr>
                <w:rFonts w:eastAsia="DengXian"/>
                <w:lang w:eastAsia="zh-CN"/>
              </w:rPr>
              <w:t xml:space="preserve">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a new FG for the support of </w:t>
                  </w:r>
                  <w:proofErr w:type="spellStart"/>
                  <w:r>
                    <w:rPr>
                      <w:rFonts w:ascii="Times" w:eastAsia="SimSun" w:hAnsi="Times" w:cs="Times"/>
                      <w:bCs/>
                      <w:sz w:val="20"/>
                      <w:lang w:eastAsia="zh-CN"/>
                    </w:rPr>
                    <w:t>FDMed</w:t>
                  </w:r>
                  <w:proofErr w:type="spellEnd"/>
                  <w:r>
                    <w:rPr>
                      <w:rFonts w:ascii="Times" w:eastAsia="SimSun"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whether a new FG for the support of intra-slot </w:t>
                  </w:r>
                  <w:proofErr w:type="spellStart"/>
                  <w:r>
                    <w:rPr>
                      <w:rFonts w:ascii="Times" w:eastAsia="SimSun" w:hAnsi="Times" w:cs="Times"/>
                      <w:bCs/>
                      <w:sz w:val="20"/>
                      <w:lang w:eastAsia="zh-CN"/>
                    </w:rPr>
                    <w:t>TDMed</w:t>
                  </w:r>
                  <w:proofErr w:type="spellEnd"/>
                  <w:r>
                    <w:rPr>
                      <w:rFonts w:ascii="Times" w:eastAsia="SimSun"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A17AA1"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Regarding the content of the  capability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 xml:space="preserve">Qualcomm </w:t>
            </w:r>
            <w:r w:rsidRPr="001A2914">
              <w:rPr>
                <w:rFonts w:eastAsia="MS Mincho"/>
                <w:sz w:val="22"/>
              </w:rPr>
              <w:lastRenderedPageBreak/>
              <w:t>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lastRenderedPageBreak/>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w:t>
            </w:r>
            <w:r>
              <w:rPr>
                <w:lang w:eastAsia="x-none"/>
              </w:rPr>
              <w:lastRenderedPageBreak/>
              <w:t xml:space="preserve">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621"/>
        <w:gridCol w:w="14413"/>
        <w:gridCol w:w="430"/>
        <w:gridCol w:w="222"/>
        <w:gridCol w:w="335"/>
        <w:gridCol w:w="926"/>
        <w:gridCol w:w="786"/>
        <w:gridCol w:w="1008"/>
        <w:gridCol w:w="2391"/>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61"/>
        <w:gridCol w:w="20122"/>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w:t>
            </w:r>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 xml:space="preserve">two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PDSCH for multicast also included by in this sentence? According to RAN2 discussion, the main motivation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multicast PDSCH and other PDSCHs is for SDT.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broadcast and multicast</w:t>
            </w:r>
            <w:r w:rsidR="002A7A8A">
              <w:rPr>
                <w:rFonts w:eastAsia="SimSun"/>
                <w:color w:val="000000" w:themeColor="text1"/>
                <w:lang w:val="en-US" w:eastAsia="zh-CN"/>
              </w:rPr>
              <w:t xml:space="preserve"> or </w:t>
            </w:r>
            <w:proofErr w:type="spellStart"/>
            <w:r w:rsidR="002A7A8A">
              <w:rPr>
                <w:rFonts w:eastAsia="SimSun"/>
                <w:color w:val="000000" w:themeColor="text1"/>
                <w:lang w:val="en-US" w:eastAsia="zh-CN"/>
              </w:rPr>
              <w:t>TDMed</w:t>
            </w:r>
            <w:proofErr w:type="spellEnd"/>
            <w:r w:rsidR="002A7A8A">
              <w:rPr>
                <w:rFonts w:eastAsia="SimSun"/>
                <w:color w:val="000000" w:themeColor="text1"/>
                <w:lang w:val="en-US" w:eastAsia="zh-CN"/>
              </w:rPr>
              <w:t xml:space="preserve">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w:t>
            </w:r>
            <w:proofErr w:type="spellStart"/>
            <w:r w:rsidR="00B2743A">
              <w:rPr>
                <w:rFonts w:eastAsia="SimSun"/>
                <w:color w:val="000000" w:themeColor="text1"/>
                <w:lang w:val="en-US" w:eastAsia="zh-CN"/>
              </w:rPr>
              <w:t>gNB</w:t>
            </w:r>
            <w:proofErr w:type="spellEnd"/>
            <w:r w:rsidR="00B2743A">
              <w:rPr>
                <w:rFonts w:eastAsia="SimSun"/>
                <w:color w:val="000000" w:themeColor="text1"/>
                <w:lang w:val="en-US" w:eastAsia="zh-CN"/>
              </w:rPr>
              <w:t xml:space="preserve">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for RRC_INACTIVE UEs anymore. Also</w:t>
            </w:r>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SimSun"/>
                <w:szCs w:val="21"/>
                <w:lang w:eastAsia="zh-CN"/>
              </w:rPr>
            </w:pPr>
            <w:r>
              <w:rPr>
                <w:rFonts w:eastAsia="SimSun"/>
                <w:szCs w:val="21"/>
                <w:lang w:eastAsia="zh-CN"/>
              </w:rPr>
              <w:lastRenderedPageBreak/>
              <w:t>Nokia</w:t>
            </w:r>
          </w:p>
        </w:tc>
        <w:tc>
          <w:tcPr>
            <w:tcW w:w="4495" w:type="pct"/>
          </w:tcPr>
          <w:p w14:paraId="293171FE" w14:textId="77777777" w:rsidR="00EE31BB" w:rsidRDefault="00EE31BB">
            <w:pPr>
              <w:spacing w:after="0"/>
              <w:rPr>
                <w:rFonts w:eastAsia="SimSun"/>
                <w:color w:val="000000" w:themeColor="text1"/>
                <w:lang w:val="en-US" w:eastAsia="zh-CN"/>
              </w:rPr>
            </w:pPr>
            <w:r>
              <w:rPr>
                <w:rFonts w:eastAsia="SimSun"/>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Introducing these to RAN1 FG list would be also acceptable, but in that case we’d prefer a separate LS informing RAN2 about this to make sure the information is not lost</w:t>
            </w:r>
          </w:p>
          <w:p w14:paraId="00F5B3F1" w14:textId="1BBD1885"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Adding SDT FG prerequisite for the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Removal of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ListParagraph"/>
              <w:spacing w:after="0"/>
              <w:ind w:leftChars="0" w:left="360"/>
              <w:rPr>
                <w:rFonts w:eastAsia="SimSun"/>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Heading3"/>
              <w:outlineLvl w:val="2"/>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ListParagraph"/>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273"/>
              <w:gridCol w:w="1372"/>
              <w:gridCol w:w="222"/>
              <w:gridCol w:w="323"/>
              <w:gridCol w:w="483"/>
              <w:gridCol w:w="483"/>
              <w:gridCol w:w="1008"/>
              <w:gridCol w:w="1894"/>
            </w:tblGrid>
            <w:tr w:rsidR="00B85B61" w:rsidRPr="00AD3AE6" w14:paraId="64E4E5F4" w14:textId="77777777" w:rsidTr="007D5410">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szCs w:val="21"/>
              </w:rPr>
            </w:pPr>
            <w:r>
              <w:rPr>
                <w:rFonts w:eastAsia="SimSun" w:hint="eastAsia"/>
                <w:szCs w:val="21"/>
                <w:lang w:eastAsia="zh-CN"/>
              </w:rPr>
              <w:t>Z</w:t>
            </w:r>
            <w:r>
              <w:rPr>
                <w:rFonts w:eastAsia="SimSun"/>
                <w:szCs w:val="21"/>
                <w:lang w:eastAsia="zh-CN"/>
              </w:rPr>
              <w:t>TE</w:t>
            </w:r>
          </w:p>
        </w:tc>
        <w:tc>
          <w:tcPr>
            <w:tcW w:w="4495" w:type="pct"/>
          </w:tcPr>
          <w:p w14:paraId="7EF37266" w14:textId="77777777" w:rsidR="00850504" w:rsidRDefault="00850504" w:rsidP="00850504">
            <w:pPr>
              <w:spacing w:after="0"/>
              <w:rPr>
                <w:rFonts w:eastAsia="SimSun"/>
                <w:color w:val="000000" w:themeColor="text1"/>
                <w:lang w:val="en-US" w:eastAsia="zh-CN"/>
              </w:rPr>
            </w:pPr>
            <w:r>
              <w:rPr>
                <w:rFonts w:eastAsia="SimSun"/>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component 2 </w:t>
            </w:r>
            <w:r>
              <w:rPr>
                <w:rFonts w:eastAsia="SimSun" w:hint="eastAsia"/>
                <w:color w:val="000000" w:themeColor="text1"/>
                <w:lang w:val="en-US" w:eastAsia="zh-CN"/>
              </w:rPr>
              <w:t>i</w:t>
            </w:r>
            <w:r>
              <w:rPr>
                <w:rFonts w:eastAsia="SimSun"/>
                <w:color w:val="000000" w:themeColor="text1"/>
                <w:lang w:val="en-US" w:eastAsia="zh-CN"/>
              </w:rPr>
              <w:t xml:space="preserve">n FG 57-2,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color w:val="000000" w:themeColor="text1"/>
                <w:lang w:val="en-US"/>
              </w:rPr>
            </w:pPr>
          </w:p>
        </w:tc>
      </w:tr>
      <w:tr w:rsidR="00D4237B" w14:paraId="3086EC28" w14:textId="77777777">
        <w:tc>
          <w:tcPr>
            <w:tcW w:w="505" w:type="pct"/>
          </w:tcPr>
          <w:p w14:paraId="290D457F" w14:textId="15679A32" w:rsidR="00D4237B" w:rsidRPr="00D4237B" w:rsidRDefault="00D4237B" w:rsidP="00850504">
            <w:pPr>
              <w:spacing w:after="0"/>
              <w:jc w:val="both"/>
              <w:rPr>
                <w:rFonts w:eastAsia="SimSun"/>
                <w:szCs w:val="21"/>
                <w:lang w:eastAsia="zh-CN"/>
              </w:rPr>
            </w:pPr>
            <w:r>
              <w:rPr>
                <w:rFonts w:eastAsia="SimSun"/>
                <w:szCs w:val="21"/>
                <w:lang w:eastAsia="zh-CN"/>
              </w:rPr>
              <w:t>MediaTek</w:t>
            </w:r>
          </w:p>
        </w:tc>
        <w:tc>
          <w:tcPr>
            <w:tcW w:w="4495" w:type="pct"/>
          </w:tcPr>
          <w:p w14:paraId="7D2FDEE5" w14:textId="12CED85C" w:rsidR="00D4237B" w:rsidRDefault="00D4237B"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or the component 1 in FG 57-2, we think it is better to make the wording “uni</w:t>
            </w:r>
            <w:r>
              <w:rPr>
                <w:rFonts w:eastAsia="SimSun" w:hint="eastAsia"/>
                <w:color w:val="000000" w:themeColor="text1"/>
                <w:lang w:val="en-US" w:eastAsia="zh-CN"/>
              </w:rPr>
              <w:t>cast</w:t>
            </w:r>
            <w:r>
              <w:rPr>
                <w:rFonts w:eastAsia="SimSun"/>
                <w:color w:val="000000" w:themeColor="text1"/>
                <w:lang w:val="en-US" w:eastAsia="zh-CN"/>
              </w:rPr>
              <w:t xml:space="preserve"> PDSCH” clear since the discussion is in RRC_INACTIVE state, e.g., adding “(e.g., small data transmission PDSCH)” after “unicast PDSCH”, which also align with RAN2’s discussion.</w:t>
            </w:r>
          </w:p>
        </w:tc>
      </w:tr>
      <w:tr w:rsidR="007D5410" w14:paraId="711C50DE" w14:textId="77777777">
        <w:tc>
          <w:tcPr>
            <w:tcW w:w="505" w:type="pct"/>
          </w:tcPr>
          <w:p w14:paraId="2F2B2253" w14:textId="4DAFF576" w:rsidR="007D5410" w:rsidRDefault="007D5410" w:rsidP="00850504">
            <w:pPr>
              <w:spacing w:after="0"/>
              <w:jc w:val="both"/>
              <w:rPr>
                <w:rFonts w:eastAsia="SimSun"/>
                <w:szCs w:val="21"/>
                <w:lang w:eastAsia="zh-CN"/>
              </w:rPr>
            </w:pPr>
            <w:r>
              <w:rPr>
                <w:rFonts w:eastAsia="SimSun" w:hint="eastAsia"/>
                <w:szCs w:val="21"/>
                <w:lang w:eastAsia="zh-CN"/>
              </w:rPr>
              <w:t>CATT</w:t>
            </w:r>
          </w:p>
        </w:tc>
        <w:tc>
          <w:tcPr>
            <w:tcW w:w="4495" w:type="pct"/>
          </w:tcPr>
          <w:p w14:paraId="5172790A" w14:textId="28A9F4B8"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We think </w:t>
            </w:r>
            <w:r w:rsidRPr="007D5410">
              <w:rPr>
                <w:rFonts w:eastAsia="SimSun"/>
                <w:color w:val="000000" w:themeColor="text1"/>
                <w:lang w:val="en-US" w:eastAsia="zh-CN"/>
              </w:rPr>
              <w:t>no different for uni</w:t>
            </w:r>
            <w:r>
              <w:rPr>
                <w:rFonts w:eastAsia="SimSun"/>
                <w:color w:val="000000" w:themeColor="text1"/>
                <w:lang w:val="en-US" w:eastAsia="zh-CN"/>
              </w:rPr>
              <w:t>cast/broadcast/multicast PDSCHs</w:t>
            </w:r>
            <w:r>
              <w:rPr>
                <w:rFonts w:eastAsia="SimSun" w:hint="eastAsia"/>
                <w:color w:val="000000" w:themeColor="text1"/>
                <w:lang w:val="en-US" w:eastAsia="zh-CN"/>
              </w:rPr>
              <w:t xml:space="preserve"> in case of</w:t>
            </w:r>
            <w:r w:rsidRPr="007D5410">
              <w:rPr>
                <w:rFonts w:eastAsia="SimSun"/>
                <w:color w:val="000000" w:themeColor="text1"/>
                <w:lang w:val="en-US" w:eastAsia="zh-CN"/>
              </w:rPr>
              <w:t xml:space="preserve"> counting the number of PDSCH reception</w:t>
            </w:r>
            <w:r>
              <w:rPr>
                <w:rFonts w:eastAsia="SimSun" w:hint="eastAsia"/>
                <w:color w:val="000000" w:themeColor="text1"/>
                <w:lang w:val="en-US" w:eastAsia="zh-CN"/>
              </w:rPr>
              <w:t xml:space="preserve">. If most of </w:t>
            </w:r>
            <w:r>
              <w:rPr>
                <w:rFonts w:eastAsia="SimSun"/>
                <w:color w:val="000000" w:themeColor="text1"/>
                <w:lang w:val="en-US" w:eastAsia="zh-CN"/>
              </w:rPr>
              <w:t>companies</w:t>
            </w:r>
            <w:r>
              <w:rPr>
                <w:rFonts w:eastAsia="SimSun" w:hint="eastAsia"/>
                <w:color w:val="000000" w:themeColor="text1"/>
                <w:lang w:val="en-US" w:eastAsia="zh-CN"/>
              </w:rPr>
              <w:t xml:space="preserve"> want to only </w:t>
            </w:r>
            <w:r>
              <w:rPr>
                <w:rFonts w:eastAsia="SimSun"/>
                <w:color w:val="000000" w:themeColor="text1"/>
                <w:lang w:val="en-US" w:eastAsia="zh-CN"/>
              </w:rPr>
              <w:t>introduce</w:t>
            </w:r>
            <w:r>
              <w:rPr>
                <w:rFonts w:eastAsia="SimSun" w:hint="eastAsia"/>
                <w:color w:val="000000" w:themeColor="text1"/>
                <w:lang w:val="en-US" w:eastAsia="zh-CN"/>
              </w:rPr>
              <w:t xml:space="preserve"> unicast PDSCH, we are ok to compromise to only introduce intra-slot between unicast and group-common PDSCH for multicast. </w:t>
            </w:r>
          </w:p>
          <w:p w14:paraId="6696333E" w14:textId="4D77593E"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One clarification issue is whether above unicast PDSCH includes SIBX PDSCH or not? </w:t>
            </w:r>
          </w:p>
          <w:p w14:paraId="24D09622" w14:textId="77777777" w:rsidR="007D5410" w:rsidRDefault="007D5410" w:rsidP="00850504">
            <w:pPr>
              <w:spacing w:after="0"/>
              <w:rPr>
                <w:rFonts w:eastAsia="SimSun"/>
                <w:color w:val="000000" w:themeColor="text1"/>
                <w:lang w:val="en-US" w:eastAsia="zh-CN"/>
              </w:rPr>
            </w:pPr>
          </w:p>
        </w:tc>
      </w:tr>
      <w:tr w:rsidR="00DF5A6C" w14:paraId="592661E0" w14:textId="77777777">
        <w:tc>
          <w:tcPr>
            <w:tcW w:w="505" w:type="pct"/>
          </w:tcPr>
          <w:p w14:paraId="2B9759FC" w14:textId="0EB92A4E" w:rsidR="00DF5A6C" w:rsidRDefault="00DF5A6C" w:rsidP="00DF5A6C">
            <w:pPr>
              <w:spacing w:after="0"/>
              <w:jc w:val="both"/>
              <w:rPr>
                <w:rFonts w:eastAsia="SimSun" w:hint="eastAsia"/>
                <w:szCs w:val="21"/>
                <w:lang w:eastAsia="zh-CN"/>
              </w:rPr>
            </w:pPr>
            <w:bookmarkStart w:id="8" w:name="_GoBack" w:colFirst="0" w:colLast="0"/>
            <w:r>
              <w:rPr>
                <w:rFonts w:eastAsia="SimSun"/>
                <w:szCs w:val="21"/>
                <w:lang w:eastAsia="zh-CN"/>
              </w:rPr>
              <w:lastRenderedPageBreak/>
              <w:t xml:space="preserve">Huawei, </w:t>
            </w:r>
            <w:proofErr w:type="spellStart"/>
            <w:r>
              <w:rPr>
                <w:rFonts w:eastAsia="SimSun"/>
                <w:szCs w:val="21"/>
                <w:lang w:eastAsia="zh-CN"/>
              </w:rPr>
              <w:t>HiSilicon</w:t>
            </w:r>
            <w:proofErr w:type="spellEnd"/>
          </w:p>
        </w:tc>
        <w:tc>
          <w:tcPr>
            <w:tcW w:w="4495" w:type="pct"/>
          </w:tcPr>
          <w:p w14:paraId="7098A835" w14:textId="77777777" w:rsidR="00DF5A6C" w:rsidRDefault="00DF5A6C" w:rsidP="00DF5A6C">
            <w:pPr>
              <w:tabs>
                <w:tab w:val="center" w:pos="4153"/>
                <w:tab w:val="right" w:pos="8306"/>
              </w:tabs>
              <w:spacing w:after="0"/>
              <w:rPr>
                <w:rFonts w:ascii="Arial" w:hAnsi="Arial" w:cs="Arial"/>
                <w:sz w:val="20"/>
              </w:rPr>
            </w:pPr>
          </w:p>
          <w:p w14:paraId="2B79EA19" w14:textId="77777777" w:rsidR="00DF5A6C" w:rsidRDefault="00DF5A6C" w:rsidP="00DF5A6C">
            <w:pPr>
              <w:tabs>
                <w:tab w:val="center" w:pos="4153"/>
                <w:tab w:val="right" w:pos="8306"/>
              </w:tabs>
              <w:spacing w:after="0"/>
              <w:rPr>
                <w:rFonts w:ascii="Arial" w:hAnsi="Arial" w:cs="Arial"/>
                <w:sz w:val="20"/>
              </w:rPr>
            </w:pPr>
            <w:r>
              <w:rPr>
                <w:rFonts w:ascii="Arial" w:hAnsi="Arial" w:cs="Arial"/>
                <w:sz w:val="20"/>
              </w:rPr>
              <w:t>Despite how RAN2 discussed it, the decision from the LS is as follows:</w:t>
            </w:r>
          </w:p>
          <w:p w14:paraId="7F1689D5" w14:textId="77777777" w:rsidR="00DF5A6C" w:rsidRDefault="00DF5A6C" w:rsidP="00DF5A6C">
            <w:pPr>
              <w:tabs>
                <w:tab w:val="center" w:pos="4153"/>
                <w:tab w:val="right" w:pos="8306"/>
              </w:tabs>
              <w:spacing w:after="0"/>
              <w:rPr>
                <w:rFonts w:ascii="Arial" w:hAnsi="Arial" w:cs="Arial"/>
                <w:sz w:val="20"/>
              </w:rPr>
            </w:pPr>
          </w:p>
          <w:p w14:paraId="1EB2BEE5" w14:textId="77777777" w:rsidR="00DF5A6C" w:rsidRDefault="00DF5A6C" w:rsidP="00DF5A6C">
            <w:pPr>
              <w:tabs>
                <w:tab w:val="center" w:pos="4153"/>
                <w:tab w:val="right" w:pos="8306"/>
              </w:tabs>
              <w:spacing w:after="0"/>
              <w:rPr>
                <w:rFonts w:ascii="Arial" w:hAnsi="Arial" w:cs="Arial"/>
                <w:sz w:val="20"/>
              </w:rPr>
            </w:pPr>
            <w:r w:rsidRPr="00A33975">
              <w:rPr>
                <w:rFonts w:ascii="Arial" w:hAnsi="Arial" w:cs="Arial"/>
                <w:sz w:val="20"/>
              </w:rPr>
              <w:t xml:space="preserve">RAN2 agreed to introduce </w:t>
            </w:r>
            <w:r w:rsidRPr="00A33975">
              <w:rPr>
                <w:rFonts w:ascii="Arial" w:hAnsi="Arial" w:cs="Arial" w:hint="eastAsia"/>
                <w:sz w:val="20"/>
                <w:lang w:eastAsia="zh-CN"/>
              </w:rPr>
              <w:t>a</w:t>
            </w:r>
            <w:r w:rsidRPr="00A33975">
              <w:rPr>
                <w:rFonts w:ascii="Arial" w:hAnsi="Arial" w:cs="Arial"/>
                <w:sz w:val="20"/>
                <w:lang w:eastAsia="zh-CN"/>
              </w:rPr>
              <w:t xml:space="preserve"> new</w:t>
            </w:r>
            <w:r w:rsidRPr="00A33975">
              <w:rPr>
                <w:rFonts w:ascii="Arial" w:hAnsi="Arial" w:cs="Arial"/>
                <w:sz w:val="20"/>
              </w:rPr>
              <w:t xml:space="preserve"> optional UE capability for intra-slot </w:t>
            </w:r>
            <w:proofErr w:type="spellStart"/>
            <w:r w:rsidRPr="00A33975">
              <w:rPr>
                <w:rFonts w:ascii="Arial" w:hAnsi="Arial" w:cs="Arial"/>
                <w:sz w:val="20"/>
              </w:rPr>
              <w:t>TDMed</w:t>
            </w:r>
            <w:proofErr w:type="spellEnd"/>
            <w:r w:rsidRPr="00A33975">
              <w:rPr>
                <w:rFonts w:ascii="Arial" w:hAnsi="Arial" w:cs="Arial"/>
                <w:sz w:val="20"/>
              </w:rPr>
              <w:t xml:space="preserve"> unicast/broadcast/multicast PDSCHs in RRC_INACTIVE state. </w:t>
            </w:r>
          </w:p>
          <w:p w14:paraId="4A521D40" w14:textId="77777777" w:rsidR="00DF5A6C" w:rsidRDefault="00DF5A6C" w:rsidP="00DF5A6C">
            <w:pPr>
              <w:tabs>
                <w:tab w:val="center" w:pos="4153"/>
                <w:tab w:val="right" w:pos="8306"/>
              </w:tabs>
              <w:spacing w:after="0"/>
              <w:rPr>
                <w:rFonts w:ascii="Arial" w:hAnsi="Arial" w:cs="Arial"/>
                <w:sz w:val="20"/>
              </w:rPr>
            </w:pPr>
          </w:p>
          <w:p w14:paraId="4B38F3B8" w14:textId="77777777" w:rsidR="00DF5A6C"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It does not mention SDT related staff at all, rather the capability expected from RAN2 is intra-slot TDM for any combination of two from unicast, broadcast, or multicast. If Two Multicast TDM is the concern for some company, we can indicate there is no RAN1 consensus for this and RAN2 can then take it over. </w:t>
            </w:r>
          </w:p>
          <w:p w14:paraId="62EAC105" w14:textId="77777777" w:rsidR="00DF5A6C" w:rsidRDefault="00DF5A6C" w:rsidP="00DF5A6C">
            <w:pPr>
              <w:tabs>
                <w:tab w:val="center" w:pos="4153"/>
                <w:tab w:val="right" w:pos="8306"/>
              </w:tabs>
              <w:spacing w:after="0"/>
              <w:ind w:left="1360" w:hanging="400"/>
              <w:rPr>
                <w:rFonts w:ascii="Arial" w:hAnsi="Arial" w:cs="Arial"/>
                <w:sz w:val="20"/>
              </w:rPr>
            </w:pPr>
          </w:p>
          <w:p w14:paraId="62FBBB39" w14:textId="77777777" w:rsidR="00DF5A6C" w:rsidRPr="00A33975"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At least only defining the unicast and multicast intra-slot TDM is not consistent with what RAN2 expected per their agreement. </w:t>
            </w:r>
          </w:p>
          <w:p w14:paraId="6863D66F" w14:textId="77777777" w:rsidR="00DF5A6C" w:rsidRDefault="00DF5A6C" w:rsidP="00DF5A6C">
            <w:pPr>
              <w:spacing w:after="0"/>
              <w:rPr>
                <w:rFonts w:eastAsia="SimSun" w:hint="eastAsia"/>
                <w:color w:val="000000" w:themeColor="text1"/>
                <w:lang w:val="en-US" w:eastAsia="zh-CN"/>
              </w:rPr>
            </w:pPr>
          </w:p>
        </w:tc>
      </w:tr>
      <w:bookmarkEnd w:id="8"/>
    </w:tbl>
    <w:p w14:paraId="25DB73C2" w14:textId="77777777" w:rsidR="002B2D50" w:rsidRPr="00690632" w:rsidRDefault="002B2D50">
      <w:pPr>
        <w:spacing w:afterLines="50" w:after="120"/>
        <w:jc w:val="both"/>
        <w:rPr>
          <w:sz w:val="22"/>
        </w:rPr>
      </w:pPr>
    </w:p>
    <w:p w14:paraId="1A122530" w14:textId="77777777" w:rsidR="005A0414" w:rsidRPr="007D5410" w:rsidRDefault="005A0414">
      <w:pPr>
        <w:spacing w:afterLines="50" w:after="120"/>
        <w:jc w:val="both"/>
        <w:rPr>
          <w:sz w:val="22"/>
        </w:rPr>
      </w:pPr>
    </w:p>
    <w:p w14:paraId="0F20FA77" w14:textId="343C96EC" w:rsidR="009E67E1" w:rsidRDefault="00446D16" w:rsidP="009E67E1">
      <w:pPr>
        <w:pStyle w:val="Heading3"/>
        <w:rPr>
          <w:rFonts w:ascii="Times New Roman" w:hAnsi="Times New Roman"/>
          <w:b/>
          <w:bCs/>
          <w:lang w:val="en-US"/>
        </w:rPr>
      </w:pPr>
      <w:r>
        <w:rPr>
          <w:rFonts w:ascii="Times New Roman" w:hAnsi="Times New Roman"/>
          <w:b/>
          <w:bCs/>
          <w:highlight w:val="yellow"/>
          <w:lang w:val="en-US"/>
        </w:rPr>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TableGrid"/>
        <w:tblW w:w="4950" w:type="pct"/>
        <w:tblLook w:val="04A0" w:firstRow="1" w:lastRow="0" w:firstColumn="1" w:lastColumn="0" w:noHBand="0" w:noVBand="1"/>
      </w:tblPr>
      <w:tblGrid>
        <w:gridCol w:w="2261"/>
        <w:gridCol w:w="20122"/>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color w:val="000000" w:themeColor="text1"/>
                <w:lang w:val="en-US" w:eastAsia="zh-CN"/>
              </w:rPr>
            </w:pPr>
            <w:r>
              <w:rPr>
                <w:rFonts w:eastAsia="SimSun"/>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SimSun"/>
                <w:szCs w:val="21"/>
                <w:lang w:val="en-US" w:eastAsia="zh-CN"/>
              </w:rPr>
            </w:pPr>
            <w:r>
              <w:rPr>
                <w:rFonts w:eastAsia="SimSun"/>
                <w:szCs w:val="21"/>
                <w:lang w:val="en-US" w:eastAsia="zh-CN"/>
              </w:rPr>
              <w:t>Nokia</w:t>
            </w:r>
          </w:p>
        </w:tc>
        <w:tc>
          <w:tcPr>
            <w:tcW w:w="4495" w:type="pct"/>
          </w:tcPr>
          <w:p w14:paraId="56418AD5" w14:textId="36B0FD04" w:rsidR="00EE31BB" w:rsidRDefault="00EE31BB" w:rsidP="00505452">
            <w:pPr>
              <w:spacing w:after="0"/>
              <w:rPr>
                <w:rFonts w:eastAsia="SimSun"/>
                <w:color w:val="000000" w:themeColor="text1"/>
                <w:lang w:val="en-US" w:eastAsia="zh-CN"/>
              </w:rPr>
            </w:pPr>
            <w:r>
              <w:rPr>
                <w:rFonts w:eastAsia="SimSun"/>
                <w:color w:val="000000" w:themeColor="text1"/>
                <w:lang w:val="en-US" w:eastAsia="zh-CN"/>
              </w:rPr>
              <w:t>This can be directly raised in RAN2 and RAN2 can then discuss if this is not obvious.</w:t>
            </w:r>
            <w:r w:rsidR="00441081">
              <w:rPr>
                <w:rFonts w:eastAsia="SimSun"/>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UE Features for Other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EDCA" w14:textId="77777777" w:rsidR="00A17AA1" w:rsidRDefault="00A17AA1">
      <w:pPr>
        <w:spacing w:line="240" w:lineRule="auto"/>
      </w:pPr>
      <w:r>
        <w:separator/>
      </w:r>
    </w:p>
  </w:endnote>
  <w:endnote w:type="continuationSeparator" w:id="0">
    <w:p w14:paraId="6C998EE8" w14:textId="77777777" w:rsidR="00A17AA1" w:rsidRDefault="00A17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576" w14:textId="77777777" w:rsidR="00505452" w:rsidRDefault="0050545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D5410">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D5410">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1E43C" w14:textId="77777777" w:rsidR="00A17AA1" w:rsidRDefault="00A17AA1">
      <w:pPr>
        <w:spacing w:after="0"/>
      </w:pPr>
      <w:r>
        <w:separator/>
      </w:r>
    </w:p>
  </w:footnote>
  <w:footnote w:type="continuationSeparator" w:id="0">
    <w:p w14:paraId="383E5DE3" w14:textId="77777777" w:rsidR="00A17AA1" w:rsidRDefault="00A17A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0DF"/>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410"/>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AA1"/>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38E"/>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37B"/>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A6C"/>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EBBEE5C2-7253-45DC-A2F5-986D4AA6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5573</Words>
  <Characters>31767</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3</cp:revision>
  <cp:lastPrinted>2017-08-08T14:40:00Z</cp:lastPrinted>
  <dcterms:created xsi:type="dcterms:W3CDTF">2024-05-21T08:41:00Z</dcterms:created>
  <dcterms:modified xsi:type="dcterms:W3CDTF">2024-05-21T08:48:00Z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(3)tq2Wc2oAiUUSwAxGSQQhMq6MhJN2FrbBtBfb1GTaVzRKUEChABBvdW7kUQVzfgE7/xvuPadz
BSHeHsL3dymiTp/+j7Iua3+XIgRbGnERJBF0mrPp4pGVcyB4TRcZD38Ovd7EIy2owAuf6uHJ
7Nnr0A5CI3xhoTX9K4+pmQ2+UQVXHKgeusamV26+96OGqXiy/hYpDYnllO+ey5pCkQjhAT4g
EDquXk/JX/dpTgBQma</vt:lpwstr>
  </property>
  <property fmtid="{D5CDD505-2E9C-101B-9397-08002B2CF9AE}" pid="6" name="_2015_ms_pID_7253431">
    <vt:lpwstr>/B7sbbCPVjebc+f2YbGH8NHlnA1u7LjAdp4y0tYVfnS1TGc9GDZEYi
CfwHdfwhtkK8eOCSgsz5leit9TeFYYlsEpm/SwnUGZ6izJFtN6CcAhn/nb2IC+Wf+406tW9P
i2t6PoZAp0jKZnj35i1SdyPl2psqtza76R8Bq20CE6KMQzQMuKPHVVoutONkTewsJSvlna2b
gyEHVIXRUcLB2Zk2CqemmkxIqc6/OpKC+Jem</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MA==</vt:lpwstr>
  </property>
  <property fmtid="{D5CDD505-2E9C-101B-9397-08002B2CF9AE}" pid="36" name="CWM83fec73acdfd4dab933c05427cf90922">
    <vt:lpwstr>CWMMVdHo24Xt4fUnrl0kN61vn4Lu8NGkUxooLM1bAOyUVpzC9PBy5hIX1I79jhk8IpRt961Uasyn+p8J+COEic3iA==</vt:lpwstr>
  </property>
</Properties>
</file>