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D0C7" w14:textId="60289581" w:rsidR="00FA1F08" w:rsidRPr="004E5EF8" w:rsidRDefault="00FA1F08" w:rsidP="00FA1F08">
      <w:pPr>
        <w:tabs>
          <w:tab w:val="left" w:pos="801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7</w:t>
      </w:r>
      <w:r w:rsidRPr="00012F49">
        <w:rPr>
          <w:rFonts w:ascii="Arial" w:eastAsia="Batang" w:hAnsi="Arial" w:cs="Arial"/>
          <w:b/>
          <w:bCs/>
          <w:sz w:val="24"/>
          <w:szCs w:val="24"/>
        </w:rPr>
        <w:tab/>
        <w:t>R1-</w:t>
      </w:r>
      <w:r>
        <w:rPr>
          <w:rFonts w:ascii="Arial" w:eastAsia="Batang" w:hAnsi="Arial" w:cs="Arial"/>
          <w:b/>
          <w:bCs/>
          <w:sz w:val="24"/>
          <w:szCs w:val="24"/>
        </w:rPr>
        <w:t>240xxxx</w:t>
      </w:r>
    </w:p>
    <w:p w14:paraId="599B596D" w14:textId="77777777" w:rsidR="00FA1F08" w:rsidRPr="00012F49" w:rsidRDefault="00FA1F08" w:rsidP="00FA1F08">
      <w:pPr>
        <w:spacing w:after="0"/>
        <w:ind w:left="1988" w:hanging="1988"/>
        <w:jc w:val="both"/>
        <w:rPr>
          <w:rFonts w:ascii="Arial" w:eastAsia="Batang" w:hAnsi="Arial" w:cs="Arial"/>
          <w:b/>
          <w:bCs/>
          <w:sz w:val="24"/>
          <w:szCs w:val="24"/>
        </w:rPr>
      </w:pPr>
      <w:r>
        <w:rPr>
          <w:rFonts w:ascii="Arial" w:eastAsia="Batang" w:hAnsi="Arial" w:cs="Arial"/>
          <w:b/>
          <w:bCs/>
          <w:sz w:val="24"/>
          <w:szCs w:val="24"/>
        </w:rPr>
        <w:t>Fukuoka</w:t>
      </w:r>
      <w:r w:rsidRPr="00012F49">
        <w:rPr>
          <w:rFonts w:ascii="Arial" w:eastAsia="Batang" w:hAnsi="Arial" w:cs="Arial"/>
          <w:b/>
          <w:bCs/>
          <w:sz w:val="24"/>
          <w:szCs w:val="24"/>
        </w:rPr>
        <w:t xml:space="preserve">, </w:t>
      </w:r>
      <w:r>
        <w:rPr>
          <w:rFonts w:ascii="Arial" w:eastAsia="Batang" w:hAnsi="Arial" w:cs="Arial"/>
          <w:b/>
          <w:bCs/>
          <w:sz w:val="24"/>
          <w:szCs w:val="24"/>
        </w:rPr>
        <w:t>Japan</w:t>
      </w:r>
      <w:r w:rsidRPr="00012F49">
        <w:rPr>
          <w:rFonts w:ascii="Arial" w:eastAsia="Batang" w:hAnsi="Arial" w:cs="Arial"/>
          <w:b/>
          <w:bCs/>
          <w:sz w:val="24"/>
          <w:szCs w:val="24"/>
        </w:rPr>
        <w:t xml:space="preserve">, </w:t>
      </w:r>
      <w:r>
        <w:rPr>
          <w:rFonts w:ascii="Arial" w:eastAsia="Batang" w:hAnsi="Arial" w:cs="Arial"/>
          <w:b/>
          <w:bCs/>
          <w:sz w:val="24"/>
          <w:szCs w:val="24"/>
        </w:rPr>
        <w:t>May</w:t>
      </w:r>
      <w:r w:rsidRPr="00012F49">
        <w:rPr>
          <w:rFonts w:ascii="Arial" w:eastAsia="Batang" w:hAnsi="Arial" w:cs="Arial"/>
          <w:b/>
          <w:bCs/>
          <w:sz w:val="24"/>
          <w:szCs w:val="24"/>
        </w:rPr>
        <w:t xml:space="preserve"> </w:t>
      </w:r>
      <w:r>
        <w:rPr>
          <w:rFonts w:ascii="Arial" w:eastAsia="Batang" w:hAnsi="Arial" w:cs="Arial"/>
          <w:b/>
          <w:bCs/>
          <w:sz w:val="24"/>
          <w:szCs w:val="24"/>
        </w:rPr>
        <w:t>20th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24th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066DE110"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075935" w:rsidRPr="00075935">
            <w:rPr>
              <w:rFonts w:ascii="Arial" w:hAnsi="Arial" w:cs="Arial"/>
              <w:b/>
              <w:sz w:val="24"/>
            </w:rPr>
            <w:t>Summary #1 of discussion for Rel-18 NES 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674DAFA3" w14:textId="7C8064B1"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70177A">
        <w:rPr>
          <w:lang w:eastAsia="zh-CN"/>
        </w:rPr>
        <w:t>7</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70177A">
        <w:rPr>
          <w:lang w:eastAsia="zh-CN"/>
        </w:rPr>
        <w:t>1</w:t>
      </w:r>
      <w:r w:rsidR="00995D0D">
        <w:rPr>
          <w:lang w:eastAsia="zh-CN"/>
        </w:rPr>
        <w:t xml:space="preserve"> regarding </w:t>
      </w:r>
      <w:r w:rsidR="0070177A">
        <w:rPr>
          <w:lang w:eastAsia="zh-CN"/>
        </w:rPr>
        <w:t xml:space="preserve">network energy saving (NES) </w:t>
      </w:r>
      <w:r w:rsidR="00995D0D">
        <w:rPr>
          <w:lang w:eastAsia="zh-CN"/>
        </w:rPr>
        <w:t>cell DTX/DRX operations</w:t>
      </w:r>
      <w:r w:rsidR="00070E8F">
        <w:rPr>
          <w:lang w:eastAsia="zh-CN"/>
        </w:rPr>
        <w:t>.</w:t>
      </w:r>
    </w:p>
    <w:p w14:paraId="13C37EF1" w14:textId="4DAB1619" w:rsidR="002B55D8" w:rsidRPr="00604FD7" w:rsidRDefault="002B55D8" w:rsidP="002B55D8">
      <w:pPr>
        <w:pStyle w:val="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aff3"/>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af3"/>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04195BD3" w:rsidR="00A57E3B" w:rsidRPr="00AC0331" w:rsidRDefault="00232E0A"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w:t>
            </w:r>
          </w:p>
        </w:tc>
        <w:tc>
          <w:tcPr>
            <w:tcW w:w="2340" w:type="dxa"/>
            <w:shd w:val="clear" w:color="auto" w:fill="FFFFFF" w:themeFill="background1"/>
          </w:tcPr>
          <w:p w14:paraId="3D6EABE7" w14:textId="53B67E5B" w:rsidR="00A57E3B" w:rsidRPr="00AC0331" w:rsidRDefault="00BA3CA1" w:rsidP="00A57E3B">
            <w:pPr>
              <w:pStyle w:val="af3"/>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9C59B67" w14:textId="284A0F78"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133BD95C"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2340" w:type="dxa"/>
            <w:shd w:val="clear" w:color="auto" w:fill="FFFFFF" w:themeFill="background1"/>
          </w:tcPr>
          <w:p w14:paraId="0CA82384" w14:textId="56F5773E" w:rsidR="00A57E3B" w:rsidRPr="00AC0331" w:rsidRDefault="00A57E3B" w:rsidP="00A57E3B">
            <w:pPr>
              <w:pStyle w:val="af3"/>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674709" w14:textId="77777777" w:rsidR="00A57E3B" w:rsidRPr="00AC0331" w:rsidRDefault="00A57E3B" w:rsidP="00A57E3B">
            <w:pPr>
              <w:pStyle w:val="af3"/>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7A5A7392" w14:textId="733C695D" w:rsidR="00065BBB" w:rsidRPr="00031682" w:rsidRDefault="00065BBB" w:rsidP="00065BBB">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1</w:t>
      </w:r>
      <w:r w:rsidRPr="00604FD7">
        <w:rPr>
          <w:rFonts w:eastAsia="SimSun"/>
          <w:lang w:val="en-US" w:eastAsia="zh-CN"/>
        </w:rPr>
        <w:t xml:space="preserve"> </w:t>
      </w:r>
      <w:r w:rsidR="00D36F7E">
        <w:rPr>
          <w:rFonts w:eastAsia="SimSun"/>
          <w:lang w:val="en-US" w:eastAsia="zh-CN"/>
        </w:rPr>
        <w:t>Handling of SRS overlapping with other channel/signals</w:t>
      </w:r>
    </w:p>
    <w:tbl>
      <w:tblPr>
        <w:tblStyle w:val="aff3"/>
        <w:tblW w:w="0" w:type="auto"/>
        <w:tblLook w:val="04A0" w:firstRow="1" w:lastRow="0" w:firstColumn="1" w:lastColumn="0" w:noHBand="0" w:noVBand="1"/>
      </w:tblPr>
      <w:tblGrid>
        <w:gridCol w:w="1255"/>
        <w:gridCol w:w="8095"/>
      </w:tblGrid>
      <w:tr w:rsidR="00065BBB" w:rsidRPr="00223A5B" w14:paraId="7AB78058" w14:textId="77777777" w:rsidTr="009938A7">
        <w:tc>
          <w:tcPr>
            <w:tcW w:w="1255" w:type="dxa"/>
            <w:shd w:val="clear" w:color="auto" w:fill="DEEAF6" w:themeFill="accent5" w:themeFillTint="33"/>
          </w:tcPr>
          <w:p w14:paraId="7B109DF9" w14:textId="77777777" w:rsidR="00065BBB" w:rsidRPr="00223A5B" w:rsidRDefault="00065BBB" w:rsidP="009938A7">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47895610" w14:textId="77777777" w:rsidR="00065BBB" w:rsidRPr="00223A5B" w:rsidRDefault="00065BBB" w:rsidP="009938A7">
            <w:pPr>
              <w:pStyle w:val="af3"/>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65BBB" w:rsidRPr="00223A5B" w14:paraId="71532EFA" w14:textId="77777777" w:rsidTr="009938A7">
        <w:tc>
          <w:tcPr>
            <w:tcW w:w="1255" w:type="dxa"/>
          </w:tcPr>
          <w:p w14:paraId="6CC3BCAF" w14:textId="19910450" w:rsidR="00065BBB" w:rsidRPr="00223A5B" w:rsidRDefault="00D36F7E" w:rsidP="009938A7">
            <w:pPr>
              <w:spacing w:before="0" w:after="0" w:line="240" w:lineRule="auto"/>
            </w:pPr>
            <w:r>
              <w:t>Samsung [1][2]</w:t>
            </w:r>
          </w:p>
        </w:tc>
        <w:tc>
          <w:tcPr>
            <w:tcW w:w="8095" w:type="dxa"/>
          </w:tcPr>
          <w:p w14:paraId="2C2A6436" w14:textId="6542503B" w:rsidR="00065BBB" w:rsidRPr="00D36F7E" w:rsidRDefault="00D36F7E" w:rsidP="00D36F7E">
            <w:pPr>
              <w:tabs>
                <w:tab w:val="right" w:pos="9638"/>
              </w:tabs>
              <w:spacing w:before="240" w:line="288" w:lineRule="auto"/>
              <w:rPr>
                <w:color w:val="000000"/>
                <w:lang w:eastAsia="zh-CN"/>
              </w:rPr>
            </w:pPr>
            <w:r w:rsidRPr="00D36F7E">
              <w:rPr>
                <w:rFonts w:hint="eastAsia"/>
                <w:lang w:eastAsia="zh-CN"/>
              </w:rPr>
              <w:t>P</w:t>
            </w:r>
            <w:r w:rsidRPr="00D36F7E">
              <w:rPr>
                <w:lang w:eastAsia="zh-CN"/>
              </w:rPr>
              <w:t xml:space="preserve">roposal 1: Adopt the following TP for TS 38.214 </w:t>
            </w:r>
            <w:r w:rsidRPr="00D36F7E">
              <w:rPr>
                <w:color w:val="000000"/>
                <w:lang w:eastAsia="zh-CN"/>
              </w:rPr>
              <w:t xml:space="preserve">Clause 6.2.1 in </w:t>
            </w:r>
            <w:r w:rsidRPr="00D36F7E">
              <w:rPr>
                <w:color w:val="000000"/>
                <w:lang w:eastAsia="zh-CN"/>
              </w:rPr>
              <w:tab/>
              <w:t xml:space="preserve">R1-2404084 for correcting the condition for UE operation of </w:t>
            </w:r>
            <w:proofErr w:type="gramStart"/>
            <w:r w:rsidRPr="00D36F7E">
              <w:rPr>
                <w:color w:val="000000"/>
                <w:lang w:eastAsia="zh-CN"/>
              </w:rPr>
              <w:t>a</w:t>
            </w:r>
            <w:proofErr w:type="gramEnd"/>
            <w:r w:rsidRPr="00D36F7E">
              <w:rPr>
                <w:color w:val="000000"/>
                <w:lang w:eastAsia="zh-CN"/>
              </w:rPr>
              <w:t xml:space="preserve"> SRS overlapped with other channels/signals.</w:t>
            </w:r>
          </w:p>
        </w:tc>
      </w:tr>
    </w:tbl>
    <w:p w14:paraId="1F3E11FA" w14:textId="77777777" w:rsidR="00065BBB" w:rsidRDefault="00065BBB" w:rsidP="00065BBB"/>
    <w:p w14:paraId="2B445FB1" w14:textId="77777777" w:rsidR="00065BBB" w:rsidRPr="00386933" w:rsidRDefault="00065BBB" w:rsidP="00065BBB">
      <w:pPr>
        <w:pStyle w:val="3"/>
        <w:rPr>
          <w:rFonts w:eastAsia="SimSun"/>
          <w:lang w:eastAsia="zh-CN"/>
        </w:rPr>
      </w:pPr>
      <w:r w:rsidRPr="00FE11E4">
        <w:rPr>
          <w:rFonts w:eastAsia="SimSun"/>
          <w:lang w:eastAsia="zh-CN"/>
        </w:rPr>
        <w:t>Summary of Issues</w:t>
      </w:r>
    </w:p>
    <w:p w14:paraId="7917C1CB" w14:textId="3F05B31A" w:rsidR="00065BBB" w:rsidRDefault="00232E0A" w:rsidP="00065BBB">
      <w:pPr>
        <w:pStyle w:val="af3"/>
        <w:spacing w:after="0"/>
        <w:rPr>
          <w:rFonts w:ascii="Times New Roman" w:hAnsi="Times New Roman"/>
          <w:szCs w:val="20"/>
          <w:lang w:eastAsia="zh-CN"/>
        </w:rPr>
      </w:pPr>
      <w:r>
        <w:rPr>
          <w:rFonts w:ascii="Times New Roman" w:hAnsi="Times New Roman"/>
          <w:szCs w:val="20"/>
          <w:lang w:eastAsia="zh-CN"/>
        </w:rPr>
        <w:t xml:space="preserve">Samsung has suggested an update for text regarding handling of SRS overlapping with other channels and signals. The suggestion to align the description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how other channels are handled and does not change the material behaviors. As such, moderator assumes the suggested changes should be acceptable.</w:t>
      </w:r>
    </w:p>
    <w:p w14:paraId="1F72874D" w14:textId="77777777" w:rsidR="00065BBB" w:rsidRDefault="00065BBB" w:rsidP="00065BBB">
      <w:pPr>
        <w:pStyle w:val="af3"/>
        <w:spacing w:after="0"/>
        <w:rPr>
          <w:rFonts w:ascii="Times New Roman" w:hAnsi="Times New Roman"/>
          <w:szCs w:val="20"/>
          <w:lang w:eastAsia="zh-CN"/>
        </w:rPr>
      </w:pPr>
    </w:p>
    <w:p w14:paraId="07BD66DF" w14:textId="43523F2B" w:rsidR="00065BBB" w:rsidRDefault="00065BBB" w:rsidP="00065BBB">
      <w:pPr>
        <w:pStyle w:val="5"/>
        <w:rPr>
          <w:lang w:eastAsia="zh-CN"/>
        </w:rPr>
      </w:pPr>
      <w:r>
        <w:rPr>
          <w:lang w:eastAsia="zh-CN"/>
        </w:rPr>
        <w:lastRenderedPageBreak/>
        <w:t>TP #1-1</w:t>
      </w:r>
    </w:p>
    <w:p w14:paraId="18AC1CF5" w14:textId="77777777" w:rsidR="00D36F7E" w:rsidRPr="00510D3A" w:rsidRDefault="00D36F7E" w:rsidP="00D36F7E">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1DDF985C" w14:textId="77777777" w:rsidR="00D36F7E" w:rsidRPr="00510D3A" w:rsidRDefault="00D36F7E" w:rsidP="00D36F7E">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w:t>
      </w:r>
      <w:proofErr w:type="gramStart"/>
      <w:r>
        <w:rPr>
          <w:lang w:eastAsia="zh-CN"/>
        </w:rPr>
        <w:t>a</w:t>
      </w:r>
      <w:proofErr w:type="gramEnd"/>
      <w:r>
        <w:rPr>
          <w:lang w:eastAsia="zh-CN"/>
        </w:rPr>
        <w:t xml:space="preserve">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25E4B221" w14:textId="77777777" w:rsidR="00D36F7E" w:rsidRPr="003038E6" w:rsidRDefault="00D36F7E" w:rsidP="00D36F7E">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aff3"/>
        <w:tblW w:w="0" w:type="auto"/>
        <w:tblLook w:val="04A0" w:firstRow="1" w:lastRow="0" w:firstColumn="1" w:lastColumn="0" w:noHBand="0" w:noVBand="1"/>
      </w:tblPr>
      <w:tblGrid>
        <w:gridCol w:w="9350"/>
      </w:tblGrid>
      <w:tr w:rsidR="00D36F7E" w14:paraId="2263920C" w14:textId="77777777" w:rsidTr="004E70B9">
        <w:tc>
          <w:tcPr>
            <w:tcW w:w="9628" w:type="dxa"/>
          </w:tcPr>
          <w:p w14:paraId="51925203" w14:textId="77777777" w:rsidR="00D36F7E" w:rsidRDefault="00D36F7E" w:rsidP="004E70B9">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 xml:space="preserve">UE sounding </w:t>
            </w:r>
            <w:proofErr w:type="gramStart"/>
            <w:r w:rsidRPr="008B0512">
              <w:rPr>
                <w:b/>
                <w:bCs/>
                <w:color w:val="000000"/>
                <w:lang w:eastAsia="zh-CN"/>
              </w:rPr>
              <w:t>procedure</w:t>
            </w:r>
            <w:proofErr w:type="gramEnd"/>
          </w:p>
          <w:p w14:paraId="75611581" w14:textId="77777777" w:rsidR="00D36F7E" w:rsidRPr="001729F8"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p w14:paraId="2882DC97" w14:textId="77777777" w:rsidR="00D36F7E" w:rsidRDefault="00D36F7E" w:rsidP="004E70B9">
            <w:pPr>
              <w:rPr>
                <w:b/>
                <w:bCs/>
              </w:rPr>
            </w:pPr>
            <w:r>
              <w:rPr>
                <w:b/>
                <w:bCs/>
              </w:rPr>
              <w:t>6.2</w:t>
            </w:r>
            <w:r>
              <w:rPr>
                <w:b/>
                <w:bCs/>
              </w:rPr>
              <w:tab/>
              <w:t>UE reference signal (RS) procedure</w:t>
            </w:r>
          </w:p>
          <w:p w14:paraId="3F5567E5" w14:textId="77777777" w:rsidR="00D36F7E" w:rsidRDefault="00D36F7E" w:rsidP="004E70B9">
            <w:pPr>
              <w:rPr>
                <w:b/>
                <w:bCs/>
              </w:rPr>
            </w:pPr>
            <w:r>
              <w:rPr>
                <w:b/>
                <w:bCs/>
              </w:rPr>
              <w:t>6.2.1</w:t>
            </w:r>
            <w:r>
              <w:rPr>
                <w:b/>
                <w:bCs/>
              </w:rPr>
              <w:tab/>
              <w:t xml:space="preserve">UE sounding </w:t>
            </w:r>
            <w:proofErr w:type="gramStart"/>
            <w:r>
              <w:rPr>
                <w:b/>
                <w:bCs/>
              </w:rPr>
              <w:t>procedure</w:t>
            </w:r>
            <w:proofErr w:type="gramEnd"/>
          </w:p>
          <w:p w14:paraId="4A7F8A44" w14:textId="77777777" w:rsidR="00D36F7E" w:rsidRDefault="00D36F7E" w:rsidP="004E70B9">
            <w:pPr>
              <w:rPr>
                <w:color w:val="000000"/>
              </w:rPr>
            </w:pPr>
            <w:r>
              <w:rPr>
                <w:rFonts w:eastAsia="ＭＳ 明朝"/>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ＭＳ 明朝"/>
                <w:color w:val="000000"/>
                <w:lang w:eastAsia="ja-JP"/>
              </w:rPr>
              <w:t xml:space="preserve"> For each SRS resource set configured by </w:t>
            </w:r>
            <w:r>
              <w:rPr>
                <w:rFonts w:eastAsia="ＭＳ 明朝"/>
                <w:i/>
                <w:color w:val="000000"/>
                <w:lang w:eastAsia="ja-JP"/>
              </w:rPr>
              <w:t>SRS-</w:t>
            </w:r>
            <w:proofErr w:type="spellStart"/>
            <w:r>
              <w:rPr>
                <w:rFonts w:eastAsia="ＭＳ 明朝"/>
                <w:i/>
                <w:color w:val="000000"/>
                <w:lang w:eastAsia="ja-JP"/>
              </w:rPr>
              <w:t>ResourceSet</w:t>
            </w:r>
            <w:proofErr w:type="spellEnd"/>
            <w:r>
              <w:rPr>
                <w:rFonts w:eastAsia="ＭＳ 明朝"/>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01CC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12" o:title=""/>
                </v:shape>
                <o:OLEObject Type="Embed" ProgID="Equation.3" ShapeID="_x0000_i1025" DrawAspect="Content" ObjectID="_1777669397"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19E836E3" w14:textId="77777777" w:rsidR="00D36F7E" w:rsidRDefault="00D36F7E" w:rsidP="004E70B9">
            <w:r>
              <w:t>During non-active periods of cell DRX, the UE configured with cell DRX is not expected to transmit the periodic SRS, or semi-persistent SRS for channel acquisition. SRS for positioning is not impacted by cell DRX operation.</w:t>
            </w:r>
          </w:p>
          <w:p w14:paraId="7C8E5051" w14:textId="77777777" w:rsidR="00D36F7E" w:rsidRPr="004F521C" w:rsidRDefault="00D36F7E" w:rsidP="004E70B9">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7AAC39EB" w14:textId="77777777" w:rsidR="00D36F7E" w:rsidRDefault="00D36F7E" w:rsidP="004E70B9">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3C36EE5F" w14:textId="77777777" w:rsidR="00D36F7E" w:rsidRPr="00817906"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tc>
      </w:tr>
    </w:tbl>
    <w:p w14:paraId="60E6A089" w14:textId="77777777" w:rsidR="00D36F7E" w:rsidRDefault="00D36F7E" w:rsidP="00D36F7E">
      <w:pPr>
        <w:spacing w:line="288" w:lineRule="auto"/>
        <w:jc w:val="both"/>
        <w:rPr>
          <w:b/>
          <w:bCs/>
        </w:rPr>
      </w:pPr>
    </w:p>
    <w:p w14:paraId="51A500D3" w14:textId="77777777" w:rsidR="00F337FE" w:rsidRDefault="00F337FE">
      <w:pPr>
        <w:pStyle w:val="af3"/>
        <w:spacing w:after="0"/>
        <w:rPr>
          <w:rFonts w:ascii="Times New Roman" w:eastAsiaTheme="minorEastAsia" w:hAnsi="Times New Roman"/>
          <w:szCs w:val="20"/>
          <w:lang w:eastAsia="ko-KR"/>
        </w:rPr>
      </w:pPr>
    </w:p>
    <w:p w14:paraId="7DA9ADBD" w14:textId="06856848" w:rsidR="00075935" w:rsidRPr="00386933" w:rsidRDefault="00075935" w:rsidP="00075935">
      <w:pPr>
        <w:pStyle w:val="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5BC65337" w14:textId="7615AB34" w:rsidR="004D239D"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TP#1-1.</w:t>
      </w:r>
    </w:p>
    <w:p w14:paraId="506D4A36" w14:textId="77777777" w:rsidR="00075935" w:rsidRDefault="00075935">
      <w:pPr>
        <w:pStyle w:val="af3"/>
        <w:spacing w:after="0"/>
        <w:rPr>
          <w:rFonts w:ascii="Times New Roman" w:eastAsiaTheme="minorEastAsia" w:hAnsi="Times New Roman"/>
          <w:szCs w:val="20"/>
          <w:lang w:eastAsia="ko-KR"/>
        </w:rPr>
      </w:pPr>
    </w:p>
    <w:tbl>
      <w:tblPr>
        <w:tblStyle w:val="aff3"/>
        <w:tblW w:w="0" w:type="auto"/>
        <w:tblLook w:val="04A0" w:firstRow="1" w:lastRow="0" w:firstColumn="1" w:lastColumn="0" w:noHBand="0" w:noVBand="1"/>
      </w:tblPr>
      <w:tblGrid>
        <w:gridCol w:w="1345"/>
        <w:gridCol w:w="8005"/>
      </w:tblGrid>
      <w:tr w:rsidR="00075935" w14:paraId="69E6B772" w14:textId="77777777" w:rsidTr="00075935">
        <w:tc>
          <w:tcPr>
            <w:tcW w:w="1345" w:type="dxa"/>
            <w:shd w:val="clear" w:color="auto" w:fill="FBE4D5" w:themeFill="accent2" w:themeFillTint="33"/>
          </w:tcPr>
          <w:p w14:paraId="08448550" w14:textId="3F849E07" w:rsidR="00075935"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47BAF21A" w14:textId="60D08970" w:rsidR="00075935" w:rsidRDefault="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7E71C858" w14:textId="77777777" w:rsidTr="00075935">
        <w:tc>
          <w:tcPr>
            <w:tcW w:w="1345" w:type="dxa"/>
          </w:tcPr>
          <w:p w14:paraId="53186EBF" w14:textId="2743FE79" w:rsidR="00075935" w:rsidRPr="000F042A" w:rsidRDefault="000F042A">
            <w:pPr>
              <w:pStyle w:val="af3"/>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005" w:type="dxa"/>
          </w:tcPr>
          <w:p w14:paraId="6B5D8986" w14:textId="05BBDE59" w:rsidR="00075935" w:rsidRPr="000F042A" w:rsidRDefault="000F042A">
            <w:pPr>
              <w:pStyle w:val="af3"/>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9A7ABC" w14:paraId="3452E4CC" w14:textId="77777777" w:rsidTr="00075935">
        <w:tc>
          <w:tcPr>
            <w:tcW w:w="1345" w:type="dxa"/>
          </w:tcPr>
          <w:p w14:paraId="5A5975B6" w14:textId="0EB5532F" w:rsidR="009A7ABC" w:rsidRPr="009A7ABC" w:rsidRDefault="009A7ABC">
            <w:pPr>
              <w:pStyle w:val="af3"/>
              <w:spacing w:after="0"/>
              <w:rPr>
                <w:rFonts w:ascii="Times New Roman" w:eastAsia="游明朝" w:hAnsi="Times New Roman" w:hint="eastAsia"/>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05" w:type="dxa"/>
          </w:tcPr>
          <w:p w14:paraId="2ED0D876" w14:textId="30D1F259" w:rsidR="009A7ABC" w:rsidRDefault="009A7ABC" w:rsidP="009A7ABC">
            <w:pPr>
              <w:pStyle w:val="af3"/>
              <w:rPr>
                <w:rFonts w:eastAsia="DengXian"/>
                <w:lang w:eastAsia="zh-CN"/>
              </w:rPr>
            </w:pPr>
            <w:r>
              <w:rPr>
                <w:rFonts w:eastAsia="DengXian"/>
                <w:lang w:eastAsia="zh-CN"/>
              </w:rPr>
              <w:t>We are general fine with the TP. But</w:t>
            </w:r>
            <w:r w:rsidRPr="009A7ABC">
              <w:rPr>
                <w:rFonts w:eastAsia="DengXian" w:hint="eastAsia"/>
                <w:lang w:eastAsia="zh-CN"/>
              </w:rPr>
              <w:t xml:space="preserve"> the paragraph</w:t>
            </w:r>
            <w:r>
              <w:t xml:space="preserve"> </w:t>
            </w:r>
            <w:r w:rsidRPr="009A7ABC">
              <w:rPr>
                <w:rFonts w:eastAsia="DengXian"/>
                <w:lang w:eastAsia="zh-CN"/>
              </w:rPr>
              <w:t>preceding</w:t>
            </w:r>
            <w:r>
              <w:rPr>
                <w:rFonts w:eastAsia="DengXian"/>
                <w:lang w:eastAsia="zh-CN"/>
              </w:rPr>
              <w:t xml:space="preserve"> the modified one (highlighted in yellow below) </w:t>
            </w:r>
            <w:r w:rsidRPr="009A7ABC">
              <w:rPr>
                <w:rFonts w:eastAsia="DengXian" w:hint="eastAsia"/>
                <w:lang w:eastAsia="zh-CN"/>
              </w:rPr>
              <w:t>also needs to be modified accordingly.</w:t>
            </w:r>
          </w:p>
          <w:p w14:paraId="77B97206" w14:textId="1A6957C5" w:rsidR="009A7ABC" w:rsidRPr="009A7ABC" w:rsidRDefault="009A7ABC" w:rsidP="009A7ABC">
            <w:pPr>
              <w:rPr>
                <w:rFonts w:eastAsia="游明朝" w:hint="eastAsia"/>
                <w:lang w:eastAsia="ja-JP"/>
              </w:rPr>
            </w:pPr>
            <w:r w:rsidRPr="009A7ABC">
              <w:rPr>
                <w:rFonts w:eastAsia="游明朝" w:hint="eastAsia"/>
                <w:lang w:eastAsia="ja-JP"/>
              </w:rPr>
              <w:t>-</w:t>
            </w:r>
            <w:r w:rsidRPr="009A7ABC">
              <w:rPr>
                <w:rFonts w:eastAsia="游明朝"/>
                <w:lang w:eastAsia="ja-JP"/>
              </w:rPr>
              <w:t>---------------</w:t>
            </w:r>
          </w:p>
          <w:p w14:paraId="118A79C8" w14:textId="66737E19" w:rsidR="009A7ABC" w:rsidRDefault="009A7ABC" w:rsidP="009A7ABC">
            <w:r w:rsidRPr="009A7ABC">
              <w:rPr>
                <w:highlight w:val="yellow"/>
              </w:rPr>
              <w:t>During non-active periods of cell DRX</w:t>
            </w:r>
            <w:r>
              <w:rPr>
                <w:highlight w:val="yellow"/>
              </w:rPr>
              <w:t xml:space="preserve"> </w:t>
            </w:r>
            <w:r w:rsidRPr="009A7ABC">
              <w:rPr>
                <w:color w:val="C00000"/>
                <w:highlight w:val="yellow"/>
              </w:rPr>
              <w:t>if cell DRX is activated for a serving cell</w:t>
            </w:r>
            <w:r w:rsidRPr="009A7ABC">
              <w:rPr>
                <w:highlight w:val="yellow"/>
              </w:rPr>
              <w:t xml:space="preserve">, the UE </w:t>
            </w:r>
            <w:r w:rsidRPr="009A7ABC">
              <w:rPr>
                <w:strike/>
                <w:color w:val="C00000"/>
                <w:highlight w:val="yellow"/>
              </w:rPr>
              <w:t>configured with cell DRX</w:t>
            </w:r>
            <w:r w:rsidRPr="009A7ABC">
              <w:rPr>
                <w:highlight w:val="yellow"/>
              </w:rPr>
              <w:t xml:space="preserve"> is not expected to transmit the periodic SRS, or semi-persistent SRS for channel acquisition</w:t>
            </w:r>
            <w:r>
              <w:rPr>
                <w:highlight w:val="yellow"/>
              </w:rPr>
              <w:t xml:space="preserve"> </w:t>
            </w:r>
            <w:r>
              <w:rPr>
                <w:color w:val="C00000"/>
                <w:highlight w:val="yellow"/>
              </w:rPr>
              <w:t>on the serving cell</w:t>
            </w:r>
            <w:r w:rsidRPr="009A7ABC">
              <w:rPr>
                <w:highlight w:val="yellow"/>
              </w:rPr>
              <w:t>. SRS for positioning is not impacted by cell DRX operation.</w:t>
            </w:r>
          </w:p>
          <w:p w14:paraId="086EAEEC" w14:textId="77777777" w:rsidR="009A7ABC" w:rsidRPr="004F521C" w:rsidRDefault="009A7ABC" w:rsidP="009A7ABC">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3505A334" w14:textId="385378A7" w:rsidR="009A7ABC" w:rsidRPr="009A7ABC" w:rsidRDefault="009A7ABC" w:rsidP="009A7ABC">
            <w:pPr>
              <w:rPr>
                <w:rFonts w:eastAsia="游明朝" w:hint="eastAsia"/>
                <w:lang w:eastAsia="ja-JP"/>
              </w:rPr>
            </w:pPr>
            <w:r w:rsidRPr="009A7ABC">
              <w:rPr>
                <w:rFonts w:eastAsia="游明朝" w:hint="eastAsia"/>
                <w:lang w:eastAsia="ja-JP"/>
              </w:rPr>
              <w:t>-</w:t>
            </w:r>
            <w:r w:rsidRPr="009A7ABC">
              <w:rPr>
                <w:rFonts w:eastAsia="游明朝"/>
                <w:lang w:eastAsia="ja-JP"/>
              </w:rPr>
              <w:t>---------------</w:t>
            </w:r>
          </w:p>
        </w:tc>
      </w:tr>
    </w:tbl>
    <w:p w14:paraId="261DCE5E" w14:textId="77777777" w:rsidR="00075935" w:rsidRDefault="00075935">
      <w:pPr>
        <w:pStyle w:val="af3"/>
        <w:spacing w:after="0"/>
        <w:rPr>
          <w:rFonts w:ascii="Times New Roman" w:eastAsiaTheme="minorEastAsia" w:hAnsi="Times New Roman"/>
          <w:szCs w:val="20"/>
          <w:lang w:eastAsia="ko-KR"/>
        </w:rPr>
      </w:pPr>
    </w:p>
    <w:p w14:paraId="7BC1DE80" w14:textId="77777777" w:rsidR="004D239D" w:rsidRDefault="004D239D">
      <w:pPr>
        <w:pStyle w:val="af3"/>
        <w:spacing w:after="0"/>
        <w:rPr>
          <w:rFonts w:ascii="Times New Roman" w:eastAsiaTheme="minorEastAsia" w:hAnsi="Times New Roman"/>
          <w:szCs w:val="20"/>
          <w:lang w:eastAsia="ko-KR"/>
        </w:rPr>
      </w:pPr>
    </w:p>
    <w:p w14:paraId="04E920F4" w14:textId="5ADC920D" w:rsidR="009D6AE7" w:rsidRPr="00031682" w:rsidRDefault="009D6AE7" w:rsidP="009D6AE7">
      <w:pPr>
        <w:pStyle w:val="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A5E8F">
        <w:rPr>
          <w:rFonts w:eastAsia="SimSun"/>
          <w:lang w:val="en-US" w:eastAsia="zh-CN"/>
        </w:rPr>
        <w:t>2</w:t>
      </w:r>
      <w:r w:rsidRPr="00604FD7">
        <w:rPr>
          <w:rFonts w:eastAsia="SimSun"/>
          <w:lang w:val="en-US" w:eastAsia="zh-CN"/>
        </w:rPr>
        <w:t xml:space="preserve"> </w:t>
      </w:r>
      <w:r w:rsidR="00716977">
        <w:rPr>
          <w:rFonts w:eastAsia="SimSun"/>
          <w:lang w:val="en-US" w:eastAsia="zh-CN"/>
        </w:rPr>
        <w:t>Any other issues</w:t>
      </w:r>
    </w:p>
    <w:p w14:paraId="0A99943A" w14:textId="714BD70B" w:rsidR="009D6AE7" w:rsidRDefault="00FA42E0" w:rsidP="009D6AE7">
      <w:pPr>
        <w:pStyle w:val="af3"/>
        <w:spacing w:after="0"/>
        <w:rPr>
          <w:rFonts w:ascii="Times New Roman" w:hAnsi="Times New Roman"/>
          <w:szCs w:val="20"/>
          <w:lang w:eastAsia="zh-CN"/>
        </w:rPr>
      </w:pPr>
      <w:r>
        <w:rPr>
          <w:rFonts w:ascii="Times New Roman" w:hAnsi="Times New Roman"/>
          <w:szCs w:val="20"/>
          <w:lang w:eastAsia="zh-CN"/>
        </w:rPr>
        <w:t>This section will be used to capture any other open issues raised during RAN1 #117</w:t>
      </w:r>
      <w:r w:rsidR="00B15F9D">
        <w:rPr>
          <w:rFonts w:ascii="Times New Roman" w:hAnsi="Times New Roman"/>
          <w:szCs w:val="20"/>
          <w:lang w:eastAsia="zh-CN"/>
        </w:rPr>
        <w:t xml:space="preserve"> regarding NES cell DTX/DRX operations.</w:t>
      </w:r>
    </w:p>
    <w:p w14:paraId="60DFCDDA" w14:textId="77777777" w:rsidR="009D6AE7" w:rsidRDefault="009D6AE7">
      <w:pPr>
        <w:pStyle w:val="af3"/>
        <w:spacing w:after="0"/>
        <w:rPr>
          <w:rFonts w:ascii="Times New Roman" w:eastAsiaTheme="minorEastAsia" w:hAnsi="Times New Roman"/>
          <w:szCs w:val="20"/>
          <w:lang w:eastAsia="ko-KR"/>
        </w:rPr>
      </w:pPr>
    </w:p>
    <w:p w14:paraId="146EDA19" w14:textId="77777777" w:rsidR="00075935" w:rsidRPr="00386933" w:rsidRDefault="00075935" w:rsidP="00075935">
      <w:pPr>
        <w:pStyle w:val="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7BB1BBA2" w14:textId="1358B305" w:rsidR="00075935" w:rsidRDefault="00075935" w:rsidP="00075935">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other open issues (that moderator might have missed) for RAN1 #117.</w:t>
      </w:r>
    </w:p>
    <w:p w14:paraId="6C782BC9" w14:textId="77777777" w:rsidR="00075935" w:rsidRDefault="00075935" w:rsidP="00075935">
      <w:pPr>
        <w:pStyle w:val="af3"/>
        <w:spacing w:after="0"/>
        <w:rPr>
          <w:rFonts w:ascii="Times New Roman" w:eastAsiaTheme="minorEastAsia" w:hAnsi="Times New Roman"/>
          <w:szCs w:val="20"/>
          <w:lang w:eastAsia="ko-KR"/>
        </w:rPr>
      </w:pPr>
    </w:p>
    <w:tbl>
      <w:tblPr>
        <w:tblStyle w:val="aff3"/>
        <w:tblW w:w="0" w:type="auto"/>
        <w:tblLook w:val="04A0" w:firstRow="1" w:lastRow="0" w:firstColumn="1" w:lastColumn="0" w:noHBand="0" w:noVBand="1"/>
      </w:tblPr>
      <w:tblGrid>
        <w:gridCol w:w="1345"/>
        <w:gridCol w:w="8005"/>
      </w:tblGrid>
      <w:tr w:rsidR="00075935" w14:paraId="2D0401C0" w14:textId="77777777" w:rsidTr="005D5481">
        <w:tc>
          <w:tcPr>
            <w:tcW w:w="1345" w:type="dxa"/>
            <w:shd w:val="clear" w:color="auto" w:fill="FBE4D5" w:themeFill="accent2" w:themeFillTint="33"/>
          </w:tcPr>
          <w:p w14:paraId="5934BAA0" w14:textId="77777777" w:rsidR="00075935" w:rsidRDefault="00075935" w:rsidP="005D54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56E868A9" w14:textId="77777777" w:rsidR="00075935" w:rsidRDefault="00075935" w:rsidP="005D5481">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661437A2" w14:textId="77777777" w:rsidTr="005D5481">
        <w:tc>
          <w:tcPr>
            <w:tcW w:w="1345" w:type="dxa"/>
          </w:tcPr>
          <w:p w14:paraId="0DC3DAE0" w14:textId="77777777" w:rsidR="00075935" w:rsidRDefault="00075935" w:rsidP="005D5481">
            <w:pPr>
              <w:pStyle w:val="af3"/>
              <w:spacing w:after="0"/>
              <w:rPr>
                <w:rFonts w:ascii="Times New Roman" w:eastAsiaTheme="minorEastAsia" w:hAnsi="Times New Roman"/>
                <w:szCs w:val="20"/>
                <w:lang w:eastAsia="ko-KR"/>
              </w:rPr>
            </w:pPr>
          </w:p>
        </w:tc>
        <w:tc>
          <w:tcPr>
            <w:tcW w:w="8005" w:type="dxa"/>
          </w:tcPr>
          <w:p w14:paraId="2DB078BA" w14:textId="77777777" w:rsidR="00075935" w:rsidRDefault="00075935" w:rsidP="005D5481">
            <w:pPr>
              <w:pStyle w:val="af3"/>
              <w:spacing w:after="0"/>
              <w:rPr>
                <w:rFonts w:ascii="Times New Roman" w:eastAsiaTheme="minorEastAsia" w:hAnsi="Times New Roman"/>
                <w:szCs w:val="20"/>
                <w:lang w:eastAsia="ko-KR"/>
              </w:rPr>
            </w:pPr>
          </w:p>
        </w:tc>
      </w:tr>
    </w:tbl>
    <w:p w14:paraId="30A7274E" w14:textId="77777777" w:rsidR="00075935" w:rsidRDefault="00075935" w:rsidP="00075935">
      <w:pPr>
        <w:pStyle w:val="af3"/>
        <w:spacing w:after="0"/>
        <w:rPr>
          <w:rFonts w:ascii="Times New Roman" w:eastAsiaTheme="minorEastAsia" w:hAnsi="Times New Roman"/>
          <w:szCs w:val="20"/>
          <w:lang w:eastAsia="ko-KR"/>
        </w:rPr>
      </w:pPr>
    </w:p>
    <w:p w14:paraId="1B42198D" w14:textId="77777777" w:rsidR="00075935" w:rsidRDefault="00075935">
      <w:pPr>
        <w:pStyle w:val="af3"/>
        <w:spacing w:after="0"/>
        <w:rPr>
          <w:rFonts w:ascii="Times New Roman" w:eastAsiaTheme="minorEastAsia" w:hAnsi="Times New Roman"/>
          <w:szCs w:val="20"/>
          <w:lang w:eastAsia="ko-KR"/>
        </w:rPr>
      </w:pPr>
    </w:p>
    <w:p w14:paraId="5874D07B" w14:textId="77777777" w:rsidR="00075935" w:rsidRDefault="00075935">
      <w:pPr>
        <w:pStyle w:val="af3"/>
        <w:spacing w:after="0"/>
        <w:rPr>
          <w:rFonts w:ascii="Times New Roman" w:eastAsiaTheme="minorEastAsia" w:hAnsi="Times New Roman"/>
          <w:szCs w:val="20"/>
          <w:lang w:eastAsia="ko-KR"/>
        </w:rPr>
      </w:pPr>
    </w:p>
    <w:p w14:paraId="7AC56D4D" w14:textId="77777777" w:rsidR="009D6AE7" w:rsidRDefault="009D6AE7">
      <w:pPr>
        <w:pStyle w:val="af3"/>
        <w:spacing w:after="0"/>
        <w:rPr>
          <w:rFonts w:ascii="Times New Roman" w:eastAsiaTheme="minorEastAsia" w:hAnsi="Times New Roman"/>
          <w:szCs w:val="20"/>
          <w:lang w:eastAsia="ko-KR"/>
        </w:rPr>
      </w:pPr>
    </w:p>
    <w:p w14:paraId="0702A34F" w14:textId="4ECF1161" w:rsidR="00B45C17" w:rsidRPr="00604FD7" w:rsidRDefault="00B45C17" w:rsidP="00B45C17">
      <w:pPr>
        <w:pStyle w:val="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330861">
        <w:rPr>
          <w:rFonts w:eastAsia="SimSun" w:cs="Arial"/>
          <w:sz w:val="32"/>
          <w:szCs w:val="32"/>
          <w:lang w:val="en-US"/>
        </w:rPr>
        <w:t>7</w:t>
      </w:r>
    </w:p>
    <w:p w14:paraId="0B3FC1C7" w14:textId="77777777" w:rsidR="00B45C17" w:rsidRDefault="00B45C17" w:rsidP="00B45C17">
      <w:pPr>
        <w:pStyle w:val="af3"/>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af3"/>
        <w:spacing w:after="0"/>
        <w:rPr>
          <w:rFonts w:ascii="Times New Roman" w:eastAsiaTheme="minorEastAsia" w:hAnsi="Times New Roman"/>
          <w:szCs w:val="20"/>
          <w:lang w:eastAsia="ko-KR"/>
        </w:rPr>
      </w:pPr>
    </w:p>
    <w:p w14:paraId="1B3A8AF1" w14:textId="77777777" w:rsidR="002A30D1" w:rsidRDefault="002A30D1">
      <w:pPr>
        <w:pStyle w:val="af3"/>
        <w:spacing w:after="0"/>
        <w:rPr>
          <w:rFonts w:ascii="Times New Roman" w:eastAsiaTheme="minorEastAsia" w:hAnsi="Times New Roman"/>
          <w:szCs w:val="20"/>
          <w:lang w:eastAsia="ko-KR"/>
        </w:rPr>
      </w:pPr>
    </w:p>
    <w:p w14:paraId="078C7A8B" w14:textId="77777777" w:rsidR="006D5EC4" w:rsidRPr="00604FD7" w:rsidRDefault="00014AA5">
      <w:pPr>
        <w:pStyle w:val="1"/>
        <w:rPr>
          <w:rFonts w:eastAsia="SimSun" w:cs="Arial"/>
          <w:sz w:val="32"/>
          <w:szCs w:val="32"/>
          <w:lang w:val="en-US"/>
        </w:rPr>
      </w:pPr>
      <w:r w:rsidRPr="00604FD7">
        <w:rPr>
          <w:rFonts w:eastAsia="SimSun" w:cs="Arial"/>
          <w:sz w:val="32"/>
          <w:szCs w:val="32"/>
          <w:lang w:val="en-US"/>
        </w:rPr>
        <w:t>Reference</w:t>
      </w:r>
    </w:p>
    <w:p w14:paraId="7553188B" w14:textId="14FFC288" w:rsidR="00D8079B" w:rsidRPr="00D8079B" w:rsidRDefault="00D8079B">
      <w:pPr>
        <w:pStyle w:val="afd"/>
        <w:numPr>
          <w:ilvl w:val="0"/>
          <w:numId w:val="25"/>
        </w:numPr>
        <w:ind w:left="540" w:hanging="540"/>
      </w:pPr>
      <w:r w:rsidRPr="00D8079B">
        <w:t>R1-2404081</w:t>
      </w:r>
      <w:r>
        <w:t>, “</w:t>
      </w:r>
      <w:r w:rsidRPr="00D8079B">
        <w:t>Remaining issues on network energy saving</w:t>
      </w:r>
      <w:r>
        <w:t xml:space="preserve">,” </w:t>
      </w:r>
      <w:r w:rsidRPr="00D8079B">
        <w:t>Samsung</w:t>
      </w:r>
    </w:p>
    <w:p w14:paraId="3BCA7454" w14:textId="3BB9C161" w:rsidR="00D8079B" w:rsidRPr="00D8079B" w:rsidRDefault="00D8079B">
      <w:pPr>
        <w:pStyle w:val="afd"/>
        <w:numPr>
          <w:ilvl w:val="0"/>
          <w:numId w:val="25"/>
        </w:numPr>
        <w:ind w:left="540" w:hanging="540"/>
      </w:pPr>
      <w:r w:rsidRPr="00D8079B">
        <w:t>R1-2404084</w:t>
      </w:r>
      <w:r>
        <w:t>, “</w:t>
      </w:r>
      <w:r w:rsidRPr="00D8079B">
        <w:t>Correction on Cell DRX operation for SRS</w:t>
      </w:r>
      <w:r>
        <w:t xml:space="preserve">,” </w:t>
      </w:r>
      <w:r w:rsidRPr="00D8079B">
        <w:t>Samsung</w:t>
      </w:r>
    </w:p>
    <w:p w14:paraId="1B357402" w14:textId="77777777" w:rsidR="00D8079B" w:rsidRDefault="00D8079B" w:rsidP="00D8079B"/>
    <w:p w14:paraId="51DCB7FD" w14:textId="6CD53B37" w:rsidR="0016663F" w:rsidRPr="00604FD7" w:rsidRDefault="0016663F" w:rsidP="0016663F">
      <w:pPr>
        <w:pStyle w:val="1"/>
        <w:rPr>
          <w:rFonts w:eastAsia="SimSun" w:cs="Arial"/>
          <w:sz w:val="32"/>
          <w:szCs w:val="32"/>
          <w:lang w:val="en-US"/>
        </w:rPr>
      </w:pPr>
      <w:bookmarkStart w:id="1" w:name="_Hlk166239358"/>
      <w:r>
        <w:rPr>
          <w:rFonts w:eastAsia="SimSun" w:cs="Arial"/>
          <w:sz w:val="32"/>
          <w:szCs w:val="32"/>
          <w:lang w:val="en-US"/>
        </w:rPr>
        <w:lastRenderedPageBreak/>
        <w:t>Appendix A: RAN1 Agreements</w:t>
      </w:r>
    </w:p>
    <w:p w14:paraId="7B51327E" w14:textId="77777777" w:rsidR="004B4FE6" w:rsidRPr="00A737D9" w:rsidRDefault="004B4FE6" w:rsidP="004B4FE6">
      <w:pPr>
        <w:pStyle w:val="2"/>
      </w:pPr>
      <w:bookmarkStart w:id="2" w:name="_Hlk166239365"/>
      <w:bookmarkEnd w:id="1"/>
      <w:r>
        <w:t>RAN1 #112 (Feb-2023)</w:t>
      </w:r>
    </w:p>
    <w:bookmarkEnd w:id="2"/>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pPr>
        <w:pStyle w:val="af3"/>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pPr>
        <w:pStyle w:val="afd"/>
        <w:numPr>
          <w:ilvl w:val="1"/>
          <w:numId w:val="11"/>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pPr>
        <w:pStyle w:val="afd"/>
        <w:numPr>
          <w:ilvl w:val="2"/>
          <w:numId w:val="11"/>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pPr>
        <w:pStyle w:val="af3"/>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af3"/>
        <w:rPr>
          <w:rFonts w:ascii="Times New Roman" w:hAnsi="Times New Roman"/>
          <w:szCs w:val="20"/>
          <w:lang w:eastAsia="zh-CN"/>
        </w:rPr>
      </w:pPr>
    </w:p>
    <w:p w14:paraId="69400030" w14:textId="77777777" w:rsidR="004B4FE6" w:rsidRPr="005525CE" w:rsidRDefault="004B4FE6" w:rsidP="004B4FE6">
      <w:pPr>
        <w:pStyle w:val="af3"/>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pPr>
        <w:pStyle w:val="af3"/>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pPr>
        <w:pStyle w:val="af3"/>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af3"/>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af3"/>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lastRenderedPageBreak/>
        <w:t>FFS:</w:t>
      </w:r>
    </w:p>
    <w:p w14:paraId="5E54CCB8"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afd"/>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af3"/>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af3"/>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af3"/>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af3"/>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pPr>
        <w:pStyle w:val="af3"/>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pPr>
        <w:pStyle w:val="af3"/>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af3"/>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af3"/>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695F4D0C" w14:textId="77777777" w:rsidR="004B4FE6" w:rsidRDefault="004B4FE6" w:rsidP="004B4FE6">
      <w:pPr>
        <w:pStyle w:val="af3"/>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af3"/>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pPr>
        <w:pStyle w:val="af3"/>
        <w:numPr>
          <w:ilvl w:val="0"/>
          <w:numId w:val="13"/>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pPr>
        <w:pStyle w:val="af3"/>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pPr>
        <w:pStyle w:val="af3"/>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pPr>
        <w:pStyle w:val="af3"/>
        <w:numPr>
          <w:ilvl w:val="0"/>
          <w:numId w:val="13"/>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pPr>
        <w:pStyle w:val="af3"/>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pPr>
        <w:pStyle w:val="af3"/>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af3"/>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pPr>
        <w:pStyle w:val="af3"/>
        <w:numPr>
          <w:ilvl w:val="0"/>
          <w:numId w:val="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pPr>
        <w:pStyle w:val="afd"/>
        <w:numPr>
          <w:ilvl w:val="1"/>
          <w:numId w:val="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pPr>
        <w:pStyle w:val="afd"/>
        <w:numPr>
          <w:ilvl w:val="1"/>
          <w:numId w:val="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af3"/>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pPr>
        <w:pStyle w:val="af3"/>
        <w:numPr>
          <w:ilvl w:val="0"/>
          <w:numId w:val="14"/>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pPr>
        <w:pStyle w:val="af3"/>
        <w:numPr>
          <w:ilvl w:val="0"/>
          <w:numId w:val="14"/>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afd"/>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afd"/>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pPr>
        <w:pStyle w:val="af3"/>
        <w:numPr>
          <w:ilvl w:val="1"/>
          <w:numId w:val="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pPr>
        <w:pStyle w:val="afd"/>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lastRenderedPageBreak/>
        <w:t>This does not imply that L1 activation/deactivation is supported in Rel-18\</w:t>
      </w:r>
    </w:p>
    <w:p w14:paraId="24182B47" w14:textId="77777777" w:rsidR="004B4FE6" w:rsidRPr="004D075E" w:rsidRDefault="004B4FE6">
      <w:pPr>
        <w:pStyle w:val="afd"/>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af3"/>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pPr>
        <w:pStyle w:val="af3"/>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pPr>
        <w:pStyle w:val="af3"/>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pPr>
        <w:pStyle w:val="af3"/>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pPr>
        <w:pStyle w:val="af3"/>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pPr>
        <w:pStyle w:val="af3"/>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pPr>
        <w:pStyle w:val="af3"/>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pPr>
        <w:pStyle w:val="af3"/>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af3"/>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pPr>
        <w:pStyle w:val="af3"/>
        <w:numPr>
          <w:ilvl w:val="0"/>
          <w:numId w:val="4"/>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pPr>
        <w:pStyle w:val="afd"/>
        <w:numPr>
          <w:ilvl w:val="1"/>
          <w:numId w:val="4"/>
        </w:numPr>
        <w:rPr>
          <w:rFonts w:eastAsia="Malgun Gothic"/>
          <w:szCs w:val="20"/>
        </w:rPr>
      </w:pPr>
      <w:r>
        <w:rPr>
          <w:rFonts w:eastAsia="Malgun Gothic"/>
          <w:szCs w:val="20"/>
        </w:rPr>
        <w:t>DCI size budget is not increased</w:t>
      </w:r>
    </w:p>
    <w:p w14:paraId="29649B75" w14:textId="77777777" w:rsidR="004B4FE6" w:rsidRDefault="004B4FE6">
      <w:pPr>
        <w:pStyle w:val="afd"/>
        <w:numPr>
          <w:ilvl w:val="1"/>
          <w:numId w:val="4"/>
        </w:numPr>
        <w:rPr>
          <w:rFonts w:eastAsia="Malgun Gothic"/>
          <w:szCs w:val="20"/>
        </w:rPr>
      </w:pPr>
      <w:r>
        <w:rPr>
          <w:rFonts w:eastAsia="Malgun Gothic"/>
          <w:szCs w:val="20"/>
        </w:rPr>
        <w:t>Number of required BDs is not increased</w:t>
      </w:r>
    </w:p>
    <w:p w14:paraId="13ACAAE7" w14:textId="77777777" w:rsidR="004B4FE6" w:rsidRDefault="004B4FE6">
      <w:pPr>
        <w:pStyle w:val="afd"/>
        <w:numPr>
          <w:ilvl w:val="1"/>
          <w:numId w:val="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pPr>
        <w:pStyle w:val="afd"/>
        <w:numPr>
          <w:ilvl w:val="2"/>
          <w:numId w:val="4"/>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af3"/>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pPr>
        <w:pStyle w:val="af3"/>
        <w:numPr>
          <w:ilvl w:val="1"/>
          <w:numId w:val="9"/>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pPr>
        <w:pStyle w:val="af3"/>
        <w:numPr>
          <w:ilvl w:val="1"/>
          <w:numId w:val="9"/>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pPr>
        <w:pStyle w:val="af3"/>
        <w:numPr>
          <w:ilvl w:val="0"/>
          <w:numId w:val="9"/>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lastRenderedPageBreak/>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af3"/>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pPr>
        <w:pStyle w:val="af3"/>
        <w:numPr>
          <w:ilvl w:val="0"/>
          <w:numId w:val="15"/>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pPr>
        <w:pStyle w:val="af3"/>
        <w:numPr>
          <w:ilvl w:val="1"/>
          <w:numId w:val="15"/>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af3"/>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af3"/>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pPr>
        <w:pStyle w:val="af3"/>
        <w:numPr>
          <w:ilvl w:val="0"/>
          <w:numId w:val="15"/>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af3"/>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af3"/>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af3"/>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af3"/>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pPr>
        <w:pStyle w:val="afd"/>
        <w:numPr>
          <w:ilvl w:val="0"/>
          <w:numId w:val="10"/>
        </w:numPr>
        <w:spacing w:line="240" w:lineRule="auto"/>
        <w:rPr>
          <w:szCs w:val="20"/>
        </w:rPr>
      </w:pPr>
      <w:r w:rsidRPr="00C568AF">
        <w:rPr>
          <w:szCs w:val="20"/>
        </w:rPr>
        <w:t>search space set configuration with new DCI format 2_X</w:t>
      </w:r>
    </w:p>
    <w:p w14:paraId="33AE8111" w14:textId="77777777" w:rsidR="00F33E3F" w:rsidRPr="005872CA" w:rsidRDefault="00F33E3F">
      <w:pPr>
        <w:pStyle w:val="afd"/>
        <w:numPr>
          <w:ilvl w:val="0"/>
          <w:numId w:val="10"/>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pPr>
        <w:pStyle w:val="af3"/>
        <w:numPr>
          <w:ilvl w:val="0"/>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pPr>
        <w:pStyle w:val="af3"/>
        <w:numPr>
          <w:ilvl w:val="1"/>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pPr>
        <w:pStyle w:val="af3"/>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pPr>
        <w:pStyle w:val="af3"/>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pPr>
        <w:pStyle w:val="af3"/>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pPr>
        <w:pStyle w:val="af3"/>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pPr>
        <w:pStyle w:val="af3"/>
        <w:numPr>
          <w:ilvl w:val="1"/>
          <w:numId w:val="15"/>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lastRenderedPageBreak/>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pPr>
        <w:pStyle w:val="af3"/>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pPr>
        <w:pStyle w:val="af3"/>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af3"/>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af3"/>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af3"/>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af3"/>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pPr>
        <w:pStyle w:val="af3"/>
        <w:numPr>
          <w:ilvl w:val="0"/>
          <w:numId w:val="4"/>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af3"/>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pPr>
        <w:pStyle w:val="af3"/>
        <w:numPr>
          <w:ilvl w:val="0"/>
          <w:numId w:val="17"/>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af3"/>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pPr>
        <w:pStyle w:val="af3"/>
        <w:numPr>
          <w:ilvl w:val="0"/>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pPr>
        <w:pStyle w:val="af3"/>
        <w:numPr>
          <w:ilvl w:val="1"/>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af3"/>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pPr>
        <w:pStyle w:val="afd"/>
        <w:numPr>
          <w:ilvl w:val="0"/>
          <w:numId w:val="17"/>
        </w:numPr>
        <w:spacing w:line="240" w:lineRule="auto"/>
        <w:rPr>
          <w:szCs w:val="20"/>
        </w:rPr>
      </w:pPr>
      <w:r w:rsidRPr="00633621">
        <w:rPr>
          <w:szCs w:val="20"/>
        </w:rPr>
        <w:t>Agreement (from RAN1 #114)</w:t>
      </w:r>
    </w:p>
    <w:p w14:paraId="6520D8CD" w14:textId="77777777" w:rsidR="00243A2A" w:rsidRDefault="00243A2A">
      <w:pPr>
        <w:pStyle w:val="af3"/>
        <w:numPr>
          <w:ilvl w:val="1"/>
          <w:numId w:val="17"/>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lastRenderedPageBreak/>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pPr>
        <w:pStyle w:val="af3"/>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pPr>
        <w:pStyle w:val="afd"/>
        <w:numPr>
          <w:ilvl w:val="0"/>
          <w:numId w:val="17"/>
        </w:numPr>
        <w:spacing w:line="240" w:lineRule="auto"/>
        <w:rPr>
          <w:szCs w:val="20"/>
        </w:rPr>
      </w:pPr>
      <w:r w:rsidRPr="002A21A4">
        <w:rPr>
          <w:szCs w:val="20"/>
        </w:rPr>
        <w:t>Conclusion:</w:t>
      </w:r>
    </w:p>
    <w:p w14:paraId="770B2560" w14:textId="77777777" w:rsidR="00243A2A" w:rsidRPr="002A21A4" w:rsidRDefault="00243A2A">
      <w:pPr>
        <w:pStyle w:val="af3"/>
        <w:numPr>
          <w:ilvl w:val="1"/>
          <w:numId w:val="17"/>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pPr>
        <w:pStyle w:val="afd"/>
        <w:numPr>
          <w:ilvl w:val="0"/>
          <w:numId w:val="17"/>
        </w:numPr>
        <w:spacing w:line="240" w:lineRule="auto"/>
        <w:rPr>
          <w:szCs w:val="20"/>
          <w:lang w:eastAsia="zh-CN"/>
        </w:rPr>
      </w:pPr>
      <w:r w:rsidRPr="002A21A4">
        <w:rPr>
          <w:szCs w:val="20"/>
        </w:rPr>
        <w:t>Conclusion</w:t>
      </w:r>
    </w:p>
    <w:p w14:paraId="4E8CDA0E" w14:textId="77777777" w:rsidR="00243A2A" w:rsidRDefault="00243A2A">
      <w:pPr>
        <w:pStyle w:val="af3"/>
        <w:numPr>
          <w:ilvl w:val="1"/>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pPr>
        <w:pStyle w:val="af3"/>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pPr>
        <w:pStyle w:val="afd"/>
        <w:numPr>
          <w:ilvl w:val="0"/>
          <w:numId w:val="17"/>
        </w:numPr>
        <w:spacing w:line="240" w:lineRule="auto"/>
        <w:rPr>
          <w:szCs w:val="20"/>
        </w:rPr>
      </w:pPr>
      <w:r w:rsidRPr="00633621">
        <w:rPr>
          <w:szCs w:val="20"/>
        </w:rPr>
        <w:t>Part of the Agreement (from RAN1 #112-bis-e)</w:t>
      </w:r>
    </w:p>
    <w:p w14:paraId="30F0D857" w14:textId="77777777" w:rsidR="00243A2A" w:rsidRPr="006E6F0D" w:rsidRDefault="00243A2A">
      <w:pPr>
        <w:pStyle w:val="af3"/>
        <w:numPr>
          <w:ilvl w:val="1"/>
          <w:numId w:val="17"/>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pPr>
        <w:pStyle w:val="af3"/>
        <w:numPr>
          <w:ilvl w:val="2"/>
          <w:numId w:val="17"/>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lastRenderedPageBreak/>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afd"/>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pPr>
        <w:pStyle w:val="afd"/>
        <w:numPr>
          <w:ilvl w:val="0"/>
          <w:numId w:val="1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af3"/>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af3"/>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af3"/>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lastRenderedPageBreak/>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ＭＳ 明朝"/>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af3"/>
        <w:spacing w:after="0"/>
        <w:rPr>
          <w:rFonts w:ascii="Times New Roman" w:hAnsi="Times New Roman"/>
          <w:szCs w:val="20"/>
          <w:lang w:eastAsia="zh-CN"/>
        </w:rPr>
      </w:pPr>
    </w:p>
    <w:p w14:paraId="16B6EFE4" w14:textId="77777777" w:rsidR="00243A2A" w:rsidRPr="005E34A0" w:rsidRDefault="00243A2A" w:rsidP="00243A2A">
      <w:pPr>
        <w:pStyle w:val="af3"/>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af3"/>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t>Summary of change:</w:t>
            </w:r>
          </w:p>
          <w:p w14:paraId="23BB2F37"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af3"/>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af3"/>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pPr>
        <w:pStyle w:val="afd"/>
        <w:numPr>
          <w:ilvl w:val="0"/>
          <w:numId w:val="20"/>
        </w:numPr>
      </w:pPr>
      <w:r w:rsidRPr="00B0318A">
        <w:rPr>
          <w:szCs w:val="20"/>
          <w:lang w:eastAsia="zh-CN"/>
        </w:rPr>
        <w:lastRenderedPageBreak/>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pPr>
        <w:pStyle w:val="afd"/>
        <w:numPr>
          <w:ilvl w:val="1"/>
          <w:numId w:val="20"/>
        </w:numPr>
      </w:pPr>
      <w:r>
        <w:rPr>
          <w:szCs w:val="20"/>
          <w:lang w:eastAsia="zh-CN"/>
        </w:rPr>
        <w:t>NES-mode indication may be 0 or 1 bit for Pcell depending on the indication for CHO is configured.</w:t>
      </w:r>
    </w:p>
    <w:p w14:paraId="1CB815A6" w14:textId="77777777" w:rsidR="006C75A4" w:rsidRPr="00CB29CB" w:rsidRDefault="006C75A4">
      <w:pPr>
        <w:pStyle w:val="afd"/>
        <w:numPr>
          <w:ilvl w:val="1"/>
          <w:numId w:val="20"/>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pPr>
        <w:pStyle w:val="afd"/>
        <w:numPr>
          <w:ilvl w:val="0"/>
          <w:numId w:val="20"/>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afd"/>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afd"/>
      </w:pPr>
      <w:r w:rsidRPr="00E42FA9">
        <w:lastRenderedPageBreak/>
        <w:t xml:space="preserve">Send an LS to RAN2 to ask RAN2 to </w:t>
      </w:r>
      <w:r>
        <w:t xml:space="preserve">decide whether/how to </w:t>
      </w:r>
      <w:r w:rsidRPr="00E42FA9">
        <w:t>capture the following agreement</w:t>
      </w:r>
      <w:r w:rsidRPr="00841070">
        <w:t xml:space="preserve">. Final LS in </w:t>
      </w:r>
      <w:hyperlink r:id="rId14" w:history="1">
        <w:r>
          <w:rPr>
            <w:rStyle w:val="a4"/>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af3"/>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af3"/>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afd"/>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afd"/>
        <w:rPr>
          <w:szCs w:val="20"/>
          <w:highlight w:val="yellow"/>
          <w:lang w:eastAsia="zh-CN"/>
        </w:rPr>
      </w:pPr>
    </w:p>
    <w:p w14:paraId="5F9A5920" w14:textId="77777777" w:rsidR="006C75A4" w:rsidRPr="00B8078D" w:rsidRDefault="006C75A4" w:rsidP="006C75A4">
      <w:pPr>
        <w:pStyle w:val="afd"/>
        <w:rPr>
          <w:b/>
          <w:bCs/>
          <w:szCs w:val="20"/>
          <w:lang w:eastAsia="zh-CN"/>
        </w:rPr>
      </w:pPr>
      <w:r w:rsidRPr="00B8078D">
        <w:rPr>
          <w:b/>
          <w:bCs/>
          <w:szCs w:val="20"/>
          <w:lang w:eastAsia="zh-CN"/>
        </w:rPr>
        <w:t>Conclusion</w:t>
      </w:r>
    </w:p>
    <w:p w14:paraId="3F5A11B1" w14:textId="77777777" w:rsidR="006C75A4" w:rsidRPr="00B8078D" w:rsidRDefault="006C75A4" w:rsidP="006C75A4">
      <w:pPr>
        <w:pStyle w:val="afd"/>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afd"/>
        <w:rPr>
          <w:lang w:eastAsia="zh-CN"/>
        </w:rPr>
      </w:pPr>
      <w:r>
        <w:rPr>
          <w:lang w:eastAsia="zh-CN"/>
        </w:rPr>
        <w:t>Adopt the following specification change in TS38.213</w:t>
      </w:r>
    </w:p>
    <w:p w14:paraId="45B7571C" w14:textId="77777777" w:rsidR="006C75A4" w:rsidRDefault="006C75A4" w:rsidP="006C75A4">
      <w:pPr>
        <w:pStyle w:val="afd"/>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afd"/>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pPr>
        <w:pStyle w:val="afd"/>
        <w:numPr>
          <w:ilvl w:val="0"/>
          <w:numId w:val="22"/>
        </w:numPr>
        <w:rPr>
          <w:szCs w:val="20"/>
        </w:rPr>
      </w:pPr>
      <w:r w:rsidRPr="00821A89">
        <w:rPr>
          <w:szCs w:val="20"/>
        </w:rPr>
        <w:t>For Cell DTX/DRX indication of a block in DCI format 2_9</w:t>
      </w:r>
    </w:p>
    <w:p w14:paraId="562659A5" w14:textId="77777777" w:rsidR="006C75A4" w:rsidRPr="00821A89" w:rsidRDefault="006C75A4">
      <w:pPr>
        <w:pStyle w:val="afd"/>
        <w:numPr>
          <w:ilvl w:val="1"/>
          <w:numId w:val="22"/>
        </w:numPr>
        <w:rPr>
          <w:szCs w:val="20"/>
        </w:rPr>
      </w:pPr>
      <w:r w:rsidRPr="00821A89">
        <w:rPr>
          <w:szCs w:val="20"/>
        </w:rPr>
        <w:t>if [cellDTXDRX-L1activation] is configured,</w:t>
      </w:r>
    </w:p>
    <w:p w14:paraId="1849EDBA" w14:textId="77777777" w:rsidR="006C75A4" w:rsidRPr="00821A89" w:rsidRDefault="006C75A4">
      <w:pPr>
        <w:pStyle w:val="afd"/>
        <w:numPr>
          <w:ilvl w:val="2"/>
          <w:numId w:val="22"/>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pPr>
        <w:pStyle w:val="afd"/>
        <w:numPr>
          <w:ilvl w:val="2"/>
          <w:numId w:val="22"/>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pPr>
        <w:pStyle w:val="afd"/>
        <w:numPr>
          <w:ilvl w:val="1"/>
          <w:numId w:val="22"/>
        </w:numPr>
        <w:rPr>
          <w:szCs w:val="20"/>
        </w:rPr>
      </w:pPr>
      <w:r w:rsidRPr="00821A89">
        <w:rPr>
          <w:szCs w:val="20"/>
        </w:rPr>
        <w:t>otherwise 0 bit.</w:t>
      </w:r>
    </w:p>
    <w:p w14:paraId="23FFB4E4" w14:textId="77777777" w:rsidR="006C75A4" w:rsidRPr="00821A89" w:rsidRDefault="006C75A4">
      <w:pPr>
        <w:pStyle w:val="afd"/>
        <w:numPr>
          <w:ilvl w:val="1"/>
          <w:numId w:val="22"/>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pPr>
        <w:pStyle w:val="afd"/>
        <w:numPr>
          <w:ilvl w:val="0"/>
          <w:numId w:val="20"/>
        </w:numPr>
      </w:pPr>
      <w:r>
        <w:t>Introduce a new RRC parameter [cellDTXDRX-L1activation], that indicates configuration of L1 based cell DTX/DRX activation/deactivation for each serving cell.</w:t>
      </w:r>
    </w:p>
    <w:p w14:paraId="73793324" w14:textId="77777777" w:rsidR="006C75A4" w:rsidRDefault="006C75A4">
      <w:pPr>
        <w:pStyle w:val="afd"/>
        <w:numPr>
          <w:ilvl w:val="0"/>
          <w:numId w:val="20"/>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pPr>
              <w:pStyle w:val="afd"/>
              <w:numPr>
                <w:ilvl w:val="0"/>
                <w:numId w:val="20"/>
              </w:numPr>
              <w:spacing w:line="240" w:lineRule="auto"/>
              <w:jc w:val="both"/>
            </w:pPr>
            <w:r>
              <w:t>update NES-RNTI as cellDTRX-RNTI.</w:t>
            </w:r>
          </w:p>
          <w:p w14:paraId="172318B1" w14:textId="77777777" w:rsidR="006C75A4" w:rsidRDefault="006C75A4">
            <w:pPr>
              <w:pStyle w:val="afd"/>
              <w:numPr>
                <w:ilvl w:val="0"/>
                <w:numId w:val="20"/>
              </w:numPr>
              <w:spacing w:line="240" w:lineRule="auto"/>
              <w:jc w:val="both"/>
            </w:pPr>
            <w:r>
              <w:t xml:space="preserve">Associate the starting position of a block in DCI format 2_9 with a serving cell. </w:t>
            </w:r>
          </w:p>
          <w:p w14:paraId="38770A6E" w14:textId="77777777" w:rsidR="006C75A4" w:rsidRDefault="006C75A4">
            <w:pPr>
              <w:pStyle w:val="afd"/>
              <w:numPr>
                <w:ilvl w:val="0"/>
                <w:numId w:val="20"/>
              </w:numPr>
              <w:spacing w:line="240" w:lineRule="auto"/>
              <w:jc w:val="both"/>
            </w:pPr>
            <w:r>
              <w:lastRenderedPageBreak/>
              <w:t xml:space="preserve">clarify the bitwidth of dynamic cell DTX/DRX information field in DCI format 2_9. </w:t>
            </w:r>
          </w:p>
          <w:p w14:paraId="49D7E66B" w14:textId="77777777" w:rsidR="006C75A4" w:rsidRPr="00B419B0" w:rsidRDefault="006C75A4">
            <w:pPr>
              <w:pStyle w:val="afd"/>
              <w:numPr>
                <w:ilvl w:val="0"/>
                <w:numId w:val="20"/>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lastRenderedPageBreak/>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t>7.3.1.3.10</w:t>
            </w:r>
            <w:r w:rsidRPr="00B419B0">
              <w:rPr>
                <w:rFonts w:ascii="Times New Roman" w:eastAsia="SimSun"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afd"/>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lastRenderedPageBreak/>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000000"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000000"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af3"/>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lastRenderedPageBreak/>
        <w:t>Agreement</w:t>
      </w:r>
    </w:p>
    <w:p w14:paraId="6DCF311E" w14:textId="77777777" w:rsidR="006C75A4" w:rsidRDefault="006C75A4" w:rsidP="006C75A4">
      <w:pPr>
        <w:pStyle w:val="afd"/>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af3"/>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af3"/>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DengXian"/>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lastRenderedPageBreak/>
              <w:t>Summary of change:</w:t>
            </w:r>
          </w:p>
          <w:p w14:paraId="7A9932A6" w14:textId="77777777" w:rsidR="006C75A4" w:rsidRPr="00213670" w:rsidRDefault="006C75A4" w:rsidP="00565210">
            <w:pPr>
              <w:rPr>
                <w:color w:val="000000"/>
                <w:lang w:eastAsia="zh-CN"/>
              </w:rPr>
            </w:pPr>
            <w:r w:rsidRPr="00213670">
              <w:rPr>
                <w:color w:val="000000"/>
                <w:lang w:eastAsia="zh-CN"/>
              </w:rPr>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t>5.1.6.1</w:t>
            </w:r>
            <w:r w:rsidRPr="00213670">
              <w:rPr>
                <w:rFonts w:ascii="Times New Roman" w:eastAsia="SimSun"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ＭＳ 明朝"/>
                <w:color w:val="FF0000"/>
              </w:rPr>
              <w:t>&lt; Unchanged parts are omitted &gt;</w:t>
            </w:r>
          </w:p>
          <w:p w14:paraId="54CB93A7" w14:textId="77777777" w:rsidR="006C75A4" w:rsidRPr="00213670" w:rsidRDefault="006C75A4" w:rsidP="00565210">
            <w:pPr>
              <w:rPr>
                <w:rFonts w:eastAsia="ＭＳ 明朝"/>
                <w:color w:val="000000"/>
              </w:rPr>
            </w:pPr>
            <w:r w:rsidRPr="00213670">
              <w:rPr>
                <w:rFonts w:eastAsia="ＭＳ 明朝"/>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ＭＳ 明朝"/>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ＭＳ 明朝"/>
                <w:color w:val="FF0000"/>
                <w:u w:val="single"/>
              </w:rPr>
              <w:t xml:space="preserve">If the </w:t>
            </w:r>
            <w:r w:rsidRPr="00213670">
              <w:rPr>
                <w:color w:val="FF0000"/>
                <w:u w:val="single"/>
              </w:rPr>
              <w:t xml:space="preserve">cell </w:t>
            </w:r>
            <w:r w:rsidRPr="00213670">
              <w:rPr>
                <w:rFonts w:eastAsia="ＭＳ 明朝"/>
                <w:color w:val="FF0000"/>
                <w:u w:val="single"/>
              </w:rPr>
              <w:t>D</w:t>
            </w:r>
            <w:r w:rsidRPr="00213670">
              <w:rPr>
                <w:color w:val="FF0000"/>
                <w:u w:val="single"/>
              </w:rPr>
              <w:t>T</w:t>
            </w:r>
            <w:r w:rsidRPr="00213670">
              <w:rPr>
                <w:rFonts w:eastAsia="ＭＳ 明朝"/>
                <w:color w:val="FF0000"/>
                <w:u w:val="single"/>
              </w:rPr>
              <w:t>X</w:t>
            </w:r>
            <w:r w:rsidRPr="00213670">
              <w:rPr>
                <w:color w:val="FF0000"/>
                <w:u w:val="single"/>
              </w:rPr>
              <w:t xml:space="preserve"> is activated</w:t>
            </w:r>
            <w:r w:rsidRPr="00213670">
              <w:rPr>
                <w:rFonts w:eastAsia="ＭＳ 明朝"/>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ＭＳ 明朝"/>
                <w:color w:val="FF0000"/>
                <w:u w:val="single"/>
              </w:rPr>
              <w:t xml:space="preserve"> for CSI report configured by </w:t>
            </w:r>
            <w:r w:rsidRPr="00213670">
              <w:rPr>
                <w:rFonts w:eastAsia="ＭＳ 明朝"/>
                <w:i/>
                <w:iCs/>
                <w:color w:val="FF0000"/>
                <w:u w:val="single"/>
              </w:rPr>
              <w:t>CSI-ReportConfig</w:t>
            </w:r>
            <w:r w:rsidRPr="00213670">
              <w:rPr>
                <w:rFonts w:eastAsia="ＭＳ 明朝"/>
                <w:color w:val="FF0000"/>
                <w:u w:val="single"/>
              </w:rPr>
              <w:t xml:space="preserve"> associated with the higher layer parameter </w:t>
            </w:r>
            <w:r w:rsidRPr="00213670">
              <w:rPr>
                <w:rFonts w:eastAsia="ＭＳ 明朝"/>
                <w:i/>
                <w:iCs/>
                <w:color w:val="FF0000"/>
                <w:u w:val="single"/>
              </w:rPr>
              <w:t>reportQuantity</w:t>
            </w:r>
            <w:r w:rsidRPr="00213670">
              <w:rPr>
                <w:rFonts w:eastAsia="ＭＳ 明朝"/>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af3"/>
        <w:tabs>
          <w:tab w:val="left" w:pos="1480"/>
        </w:tabs>
        <w:spacing w:after="0"/>
        <w:rPr>
          <w:rFonts w:ascii="Times New Roman" w:hAnsi="Times New Roman"/>
          <w:szCs w:val="20"/>
          <w:lang w:eastAsia="zh-CN"/>
        </w:rPr>
      </w:pPr>
    </w:p>
    <w:p w14:paraId="6915469D" w14:textId="77777777" w:rsidR="006C75A4" w:rsidRDefault="006C75A4" w:rsidP="006C75A4">
      <w:pPr>
        <w:pStyle w:val="af3"/>
        <w:tabs>
          <w:tab w:val="left" w:pos="1480"/>
        </w:tabs>
        <w:spacing w:after="0"/>
        <w:rPr>
          <w:rFonts w:ascii="Times New Roman" w:hAnsi="Times New Roman"/>
          <w:szCs w:val="20"/>
          <w:lang w:eastAsia="zh-CN"/>
        </w:rPr>
      </w:pPr>
    </w:p>
    <w:p w14:paraId="7042DCA9" w14:textId="77777777" w:rsidR="006C75A4" w:rsidRDefault="006C75A4" w:rsidP="006C75A4">
      <w:pPr>
        <w:pStyle w:val="af3"/>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af3"/>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af3"/>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pPr>
        <w:pStyle w:val="af3"/>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af3"/>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DengXian"/>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af3"/>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af3"/>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af3"/>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af3"/>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0CC22394" w14:textId="77777777" w:rsidR="004F15B1" w:rsidRDefault="004F15B1" w:rsidP="004F15B1">
      <w:pPr>
        <w:pStyle w:val="af3"/>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af3"/>
        <w:spacing w:after="0"/>
        <w:rPr>
          <w:rFonts w:ascii="Times New Roman" w:eastAsia="DengXian" w:hAnsi="Times New Roman"/>
          <w:szCs w:val="20"/>
          <w:lang w:eastAsia="zh-CN"/>
        </w:rPr>
      </w:pPr>
    </w:p>
    <w:p w14:paraId="193B7666" w14:textId="77777777" w:rsidR="004F15B1" w:rsidRDefault="004F15B1" w:rsidP="004F15B1">
      <w:pPr>
        <w:pStyle w:val="af3"/>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af3"/>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af3"/>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6E450CC" w14:textId="77777777" w:rsidR="004F15B1" w:rsidRPr="00D66C53" w:rsidRDefault="004F15B1" w:rsidP="004F15B1">
      <w:pPr>
        <w:pStyle w:val="af3"/>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af3"/>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af3"/>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af3"/>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af3"/>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pPr>
        <w:pStyle w:val="af3"/>
        <w:numPr>
          <w:ilvl w:val="0"/>
          <w:numId w:val="24"/>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pPr>
        <w:pStyle w:val="af3"/>
        <w:numPr>
          <w:ilvl w:val="0"/>
          <w:numId w:val="24"/>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af3"/>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af3"/>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af3"/>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af3"/>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SimSun"/>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af3"/>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af3"/>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af3"/>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afd"/>
        <w:rPr>
          <w:b/>
          <w:bCs/>
          <w:highlight w:val="green"/>
        </w:rPr>
      </w:pPr>
      <w:r w:rsidRPr="00454195">
        <w:rPr>
          <w:b/>
          <w:bCs/>
          <w:highlight w:val="green"/>
        </w:rPr>
        <w:t>Agreement</w:t>
      </w:r>
    </w:p>
    <w:p w14:paraId="06BA0F83" w14:textId="77777777" w:rsidR="004F15B1" w:rsidRPr="00454195" w:rsidRDefault="004F15B1">
      <w:pPr>
        <w:pStyle w:val="afd"/>
        <w:numPr>
          <w:ilvl w:val="0"/>
          <w:numId w:val="23"/>
        </w:numPr>
      </w:pPr>
      <w:r w:rsidRPr="00454195">
        <w:t>UE transmit a subset of the repetitions of a PUCCH with SR and/or P/SP-CSI that do not overlap with the cell DRX non-active period.</w:t>
      </w:r>
    </w:p>
    <w:p w14:paraId="2AF1D16F" w14:textId="77777777" w:rsidR="004F15B1" w:rsidRPr="00454195" w:rsidRDefault="004F15B1">
      <w:pPr>
        <w:pStyle w:val="afd"/>
        <w:numPr>
          <w:ilvl w:val="0"/>
          <w:numId w:val="23"/>
        </w:numPr>
      </w:pPr>
      <w:r w:rsidRPr="00454195">
        <w:t>UE transmit a subset of the repetitions of a SRS that do not overlap with the cell DRX non-active period.</w:t>
      </w:r>
    </w:p>
    <w:p w14:paraId="19FC55AF" w14:textId="77777777" w:rsidR="004F15B1" w:rsidRPr="00454195" w:rsidRDefault="004F15B1">
      <w:pPr>
        <w:pStyle w:val="afd"/>
        <w:numPr>
          <w:ilvl w:val="1"/>
          <w:numId w:val="23"/>
        </w:numPr>
      </w:pPr>
      <w:r w:rsidRPr="00454195">
        <w:t>Above does not apply for SRS for positioning</w:t>
      </w:r>
    </w:p>
    <w:p w14:paraId="006FE38F" w14:textId="77777777" w:rsidR="004F15B1" w:rsidRPr="00454195" w:rsidRDefault="004F15B1">
      <w:pPr>
        <w:pStyle w:val="afd"/>
        <w:numPr>
          <w:ilvl w:val="0"/>
          <w:numId w:val="23"/>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pPr>
        <w:pStyle w:val="afd"/>
        <w:numPr>
          <w:ilvl w:val="0"/>
          <w:numId w:val="17"/>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pPr>
        <w:pStyle w:val="afd"/>
        <w:numPr>
          <w:ilvl w:val="0"/>
          <w:numId w:val="17"/>
        </w:numPr>
        <w:suppressAutoHyphens w:val="0"/>
        <w:overflowPunct/>
        <w:spacing w:line="240" w:lineRule="auto"/>
      </w:pPr>
      <w:r w:rsidRPr="003067D7">
        <w:t xml:space="preserve">The two configured patterns are aligned, </w:t>
      </w:r>
    </w:p>
    <w:p w14:paraId="3BF7452B" w14:textId="77777777" w:rsidR="00AE77A7" w:rsidRPr="003067D7" w:rsidRDefault="00AE77A7">
      <w:pPr>
        <w:pStyle w:val="afd"/>
        <w:numPr>
          <w:ilvl w:val="1"/>
          <w:numId w:val="17"/>
        </w:numPr>
        <w:suppressAutoHyphens w:val="0"/>
        <w:overflowPunct/>
        <w:spacing w:line="240" w:lineRule="auto"/>
      </w:pPr>
      <w:r w:rsidRPr="003067D7">
        <w:t>The start and slot offset are common for the two patterns.</w:t>
      </w:r>
    </w:p>
    <w:p w14:paraId="18255F4F" w14:textId="77777777" w:rsidR="00AE77A7" w:rsidRPr="003067D7" w:rsidRDefault="00AE77A7">
      <w:pPr>
        <w:pStyle w:val="afd"/>
        <w:numPr>
          <w:ilvl w:val="1"/>
          <w:numId w:val="17"/>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B973" w14:textId="77777777" w:rsidR="0053263B" w:rsidRDefault="0053263B" w:rsidP="0005512E">
      <w:pPr>
        <w:spacing w:after="0" w:line="240" w:lineRule="auto"/>
      </w:pPr>
      <w:r>
        <w:separator/>
      </w:r>
    </w:p>
  </w:endnote>
  <w:endnote w:type="continuationSeparator" w:id="0">
    <w:p w14:paraId="3FEE3CBF" w14:textId="77777777" w:rsidR="0053263B" w:rsidRDefault="0053263B"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FCFE" w14:textId="77777777" w:rsidR="0053263B" w:rsidRDefault="0053263B" w:rsidP="0005512E">
      <w:pPr>
        <w:spacing w:after="0" w:line="240" w:lineRule="auto"/>
      </w:pPr>
      <w:r>
        <w:separator/>
      </w:r>
    </w:p>
  </w:footnote>
  <w:footnote w:type="continuationSeparator" w:id="0">
    <w:p w14:paraId="51606DC4" w14:textId="77777777" w:rsidR="0053263B" w:rsidRDefault="0053263B"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F00E1A"/>
    <w:multiLevelType w:val="hybridMultilevel"/>
    <w:tmpl w:val="3ABC9C6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2"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673085">
    <w:abstractNumId w:val="20"/>
  </w:num>
  <w:num w:numId="2" w16cid:durableId="934944699">
    <w:abstractNumId w:val="12"/>
  </w:num>
  <w:num w:numId="3" w16cid:durableId="610358649">
    <w:abstractNumId w:val="20"/>
    <w:lvlOverride w:ilvl="0">
      <w:startOverride w:val="1"/>
    </w:lvlOverride>
  </w:num>
  <w:num w:numId="4" w16cid:durableId="1686863430">
    <w:abstractNumId w:val="23"/>
  </w:num>
  <w:num w:numId="5" w16cid:durableId="1580138781">
    <w:abstractNumId w:val="15"/>
  </w:num>
  <w:num w:numId="6" w16cid:durableId="270207005">
    <w:abstractNumId w:val="6"/>
  </w:num>
  <w:num w:numId="7" w16cid:durableId="895358499">
    <w:abstractNumId w:val="21"/>
  </w:num>
  <w:num w:numId="8" w16cid:durableId="48236398">
    <w:abstractNumId w:val="0"/>
  </w:num>
  <w:num w:numId="9" w16cid:durableId="333922159">
    <w:abstractNumId w:val="11"/>
  </w:num>
  <w:num w:numId="10" w16cid:durableId="318774523">
    <w:abstractNumId w:val="7"/>
  </w:num>
  <w:num w:numId="11" w16cid:durableId="1243249093">
    <w:abstractNumId w:val="3"/>
  </w:num>
  <w:num w:numId="12" w16cid:durableId="1323315287">
    <w:abstractNumId w:val="2"/>
  </w:num>
  <w:num w:numId="13" w16cid:durableId="2078354903">
    <w:abstractNumId w:val="17"/>
  </w:num>
  <w:num w:numId="14" w16cid:durableId="1165821266">
    <w:abstractNumId w:val="22"/>
  </w:num>
  <w:num w:numId="15" w16cid:durableId="523784819">
    <w:abstractNumId w:val="4"/>
  </w:num>
  <w:num w:numId="16" w16cid:durableId="278950997">
    <w:abstractNumId w:val="8"/>
  </w:num>
  <w:num w:numId="17" w16cid:durableId="925455201">
    <w:abstractNumId w:val="9"/>
  </w:num>
  <w:num w:numId="18" w16cid:durableId="1062217082">
    <w:abstractNumId w:val="1"/>
  </w:num>
  <w:num w:numId="19" w16cid:durableId="355039652">
    <w:abstractNumId w:val="19"/>
  </w:num>
  <w:num w:numId="20" w16cid:durableId="1455520094">
    <w:abstractNumId w:val="18"/>
  </w:num>
  <w:num w:numId="21" w16cid:durableId="364258822">
    <w:abstractNumId w:val="5"/>
  </w:num>
  <w:num w:numId="22" w16cid:durableId="728770696">
    <w:abstractNumId w:val="13"/>
  </w:num>
  <w:num w:numId="23" w16cid:durableId="820004855">
    <w:abstractNumId w:val="14"/>
  </w:num>
  <w:num w:numId="24" w16cid:durableId="645010433">
    <w:abstractNumId w:val="10"/>
  </w:num>
  <w:num w:numId="25" w16cid:durableId="19053527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5BBB"/>
    <w:rsid w:val="00066101"/>
    <w:rsid w:val="000662B1"/>
    <w:rsid w:val="000668D5"/>
    <w:rsid w:val="00070E8F"/>
    <w:rsid w:val="00071801"/>
    <w:rsid w:val="000728F1"/>
    <w:rsid w:val="0007302B"/>
    <w:rsid w:val="00073ECE"/>
    <w:rsid w:val="00074455"/>
    <w:rsid w:val="0007487A"/>
    <w:rsid w:val="00074A9D"/>
    <w:rsid w:val="000756F9"/>
    <w:rsid w:val="00075935"/>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367"/>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042A"/>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2E0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6414"/>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861"/>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2F18"/>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63B"/>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2453"/>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77A"/>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977"/>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2127"/>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F95"/>
    <w:rsid w:val="009A1A7A"/>
    <w:rsid w:val="009A2299"/>
    <w:rsid w:val="009A2860"/>
    <w:rsid w:val="009A31B3"/>
    <w:rsid w:val="009A4638"/>
    <w:rsid w:val="009A4868"/>
    <w:rsid w:val="009A69B8"/>
    <w:rsid w:val="009A6B8F"/>
    <w:rsid w:val="009A6C16"/>
    <w:rsid w:val="009A7ABC"/>
    <w:rsid w:val="009B14F2"/>
    <w:rsid w:val="009B176F"/>
    <w:rsid w:val="009B26A5"/>
    <w:rsid w:val="009B3EFE"/>
    <w:rsid w:val="009B4E94"/>
    <w:rsid w:val="009B5C25"/>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735"/>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5F9D"/>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3C0E"/>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97FB3"/>
    <w:rsid w:val="00BA06D0"/>
    <w:rsid w:val="00BA0FB6"/>
    <w:rsid w:val="00BA183C"/>
    <w:rsid w:val="00BA1FE8"/>
    <w:rsid w:val="00BA3CA1"/>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6B7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6F7E"/>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079B"/>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5E8F"/>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17B83"/>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2557"/>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2E0"/>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1F08"/>
    <w:rsid w:val="00FA262B"/>
    <w:rsid w:val="00FA3869"/>
    <w:rsid w:val="00FA42E0"/>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35"/>
    <w:pPr>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uiPriority w:val="99"/>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6">
    <w:name w:val="脚注文字列 (文字)"/>
    <w:basedOn w:val="a0"/>
    <w:link w:val="a7"/>
    <w:uiPriority w:val="99"/>
    <w:semiHidden/>
    <w:qFormat/>
    <w:rPr>
      <w:rFonts w:ascii="Times New Roman" w:eastAsia="SimSun" w:hAnsi="Times New Roman" w:cs="Times New Roman"/>
      <w:sz w:val="16"/>
      <w:szCs w:val="20"/>
      <w:lang w:eastAsia="en-US"/>
    </w:rPr>
  </w:style>
  <w:style w:type="character" w:customStyle="1" w:styleId="a8">
    <w:name w:val="コメント文字列 (文字)"/>
    <w:basedOn w:val="a0"/>
    <w:link w:val="a9"/>
    <w:qFormat/>
    <w:rPr>
      <w:rFonts w:ascii="Times New Roman" w:eastAsia="SimSun" w:hAnsi="Times New Roman" w:cs="Times New Roman"/>
      <w:sz w:val="20"/>
      <w:szCs w:val="20"/>
      <w:lang w:eastAsia="zh-CN"/>
    </w:rPr>
  </w:style>
  <w:style w:type="character" w:customStyle="1" w:styleId="aa">
    <w:name w:val="ヘッダー (文字)"/>
    <w:basedOn w:val="a0"/>
    <w:link w:val="ab"/>
    <w:uiPriority w:val="99"/>
    <w:qFormat/>
    <w:rPr>
      <w:rFonts w:ascii="Arial" w:eastAsia="SimSun" w:hAnsi="Arial" w:cs="Times New Roman"/>
      <w:b/>
      <w:sz w:val="18"/>
      <w:szCs w:val="20"/>
      <w:lang w:eastAsia="en-US"/>
    </w:rPr>
  </w:style>
  <w:style w:type="character" w:customStyle="1" w:styleId="ac">
    <w:name w:val="フッター (文字)"/>
    <w:basedOn w:val="a0"/>
    <w:link w:val="ad"/>
    <w:uiPriority w:val="99"/>
    <w:qFormat/>
    <w:rPr>
      <w:rFonts w:ascii="Arial" w:eastAsia="SimSun" w:hAnsi="Arial" w:cs="Times New Roman"/>
      <w:b/>
      <w:i/>
      <w:sz w:val="18"/>
      <w:szCs w:val="20"/>
      <w:lang w:eastAsia="en-US"/>
    </w:rPr>
  </w:style>
  <w:style w:type="character" w:customStyle="1" w:styleId="ae">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f"/>
    <w:qFormat/>
    <w:locked/>
    <w:rPr>
      <w:rFonts w:ascii="Times New Roman" w:hAnsi="Times New Roman" w:cs="Times New Roman"/>
      <w:b/>
      <w:bCs/>
    </w:rPr>
  </w:style>
  <w:style w:type="character" w:customStyle="1" w:styleId="af0">
    <w:name w:val="文末脚注文字列 (文字)"/>
    <w:basedOn w:val="a0"/>
    <w:link w:val="af1"/>
    <w:uiPriority w:val="99"/>
    <w:semiHidden/>
    <w:qFormat/>
    <w:rPr>
      <w:rFonts w:ascii="Times New Roman" w:eastAsia="SimSun" w:hAnsi="Times New Roman" w:cs="Times New Roman"/>
      <w:sz w:val="20"/>
      <w:szCs w:val="20"/>
      <w:lang w:eastAsia="en-US"/>
    </w:rPr>
  </w:style>
  <w:style w:type="character" w:customStyle="1" w:styleId="af2">
    <w:name w:val="本文 (文字)"/>
    <w:basedOn w:val="a0"/>
    <w:link w:val="af3"/>
    <w:uiPriority w:val="99"/>
    <w:qFormat/>
    <w:rPr>
      <w:rFonts w:ascii="Times" w:eastAsia="SimSun" w:hAnsi="Times" w:cs="Times New Roman"/>
      <w:sz w:val="20"/>
      <w:szCs w:val="24"/>
      <w:lang w:eastAsia="en-US"/>
    </w:rPr>
  </w:style>
  <w:style w:type="character" w:customStyle="1" w:styleId="af4">
    <w:name w:val="副題 (文字)"/>
    <w:basedOn w:val="a0"/>
    <w:link w:val="af5"/>
    <w:uiPriority w:val="99"/>
    <w:qFormat/>
    <w:rPr>
      <w:rFonts w:ascii="Cambria" w:eastAsia="Times New Roman" w:hAnsi="Cambria" w:cs="Times New Roman"/>
      <w:sz w:val="24"/>
      <w:szCs w:val="24"/>
      <w:lang w:eastAsia="zh-CN"/>
    </w:rPr>
  </w:style>
  <w:style w:type="character" w:customStyle="1" w:styleId="21">
    <w:name w:val="本文 2 (文字)"/>
    <w:basedOn w:val="a0"/>
    <w:link w:val="22"/>
    <w:uiPriority w:val="99"/>
    <w:semiHidden/>
    <w:qFormat/>
    <w:rPr>
      <w:rFonts w:ascii="Arial" w:eastAsia="SimSun" w:hAnsi="Arial" w:cs="Times New Roman"/>
      <w:szCs w:val="20"/>
      <w:lang w:eastAsia="en-US"/>
    </w:rPr>
  </w:style>
  <w:style w:type="character" w:customStyle="1" w:styleId="31">
    <w:name w:val="本文 3 (文字)"/>
    <w:basedOn w:val="a0"/>
    <w:link w:val="32"/>
    <w:uiPriority w:val="99"/>
    <w:semiHidden/>
    <w:qFormat/>
    <w:rPr>
      <w:rFonts w:ascii="Times New Roman" w:eastAsia="SimSun" w:hAnsi="Times New Roman" w:cs="Times New Roman"/>
      <w:i/>
      <w:sz w:val="20"/>
      <w:szCs w:val="20"/>
      <w:lang w:eastAsia="en-US"/>
    </w:rPr>
  </w:style>
  <w:style w:type="character" w:customStyle="1" w:styleId="af6">
    <w:name w:val="見出しマップ (文字)"/>
    <w:basedOn w:val="a0"/>
    <w:link w:val="af7"/>
    <w:uiPriority w:val="99"/>
    <w:semiHidden/>
    <w:qFormat/>
    <w:rPr>
      <w:rFonts w:ascii="Tahoma" w:eastAsia="SimSun" w:hAnsi="Tahoma" w:cs="Times New Roman"/>
      <w:sz w:val="20"/>
      <w:szCs w:val="20"/>
      <w:shd w:val="clear" w:color="auto" w:fill="000080"/>
      <w:lang w:eastAsia="en-US"/>
    </w:rPr>
  </w:style>
  <w:style w:type="character" w:customStyle="1" w:styleId="af8">
    <w:name w:val="コメント内容 (文字)"/>
    <w:basedOn w:val="a8"/>
    <w:link w:val="af9"/>
    <w:uiPriority w:val="99"/>
    <w:semiHidden/>
    <w:qFormat/>
    <w:rPr>
      <w:rFonts w:ascii="Times New Roman" w:eastAsia="SimSun" w:hAnsi="Times New Roman" w:cs="Times New Roman"/>
      <w:b/>
      <w:bCs/>
      <w:sz w:val="20"/>
      <w:szCs w:val="20"/>
      <w:lang w:eastAsia="zh-CN"/>
    </w:rPr>
  </w:style>
  <w:style w:type="character" w:customStyle="1" w:styleId="afa">
    <w:name w:val="吹き出し (文字)"/>
    <w:basedOn w:val="a0"/>
    <w:link w:val="afb"/>
    <w:uiPriority w:val="99"/>
    <w:semiHidden/>
    <w:qFormat/>
    <w:rPr>
      <w:rFonts w:ascii="Tahoma" w:eastAsia="SimSun" w:hAnsi="Tahoma" w:cs="Tahoma"/>
      <w:sz w:val="16"/>
      <w:szCs w:val="16"/>
      <w:lang w:eastAsia="en-US"/>
    </w:rPr>
  </w:style>
  <w:style w:type="character" w:customStyle="1" w:styleId="afc">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d"/>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ＭＳ 明朝"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aliases w:val="cap,cap Char,Caption Char1 Char,cap Char Char1,Caption Char Char1 Char,cap Char2,cap1,cap2,cap11,Légende-figure,Légende-figure Char,Beschrifubg,Beschriftung Char,label,cap11 Char,cap11 Char Char Char,captions,Beschriftung Char Char,条目,fighead"/>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2"/>
    <w:next w:val="a"/>
    <w:uiPriority w:val="99"/>
    <w:semiHidden/>
    <w:unhideWhenUsed/>
    <w:qFormat/>
    <w:pPr>
      <w:ind w:left="1701" w:hanging="1701"/>
    </w:pPr>
  </w:style>
  <w:style w:type="paragraph" w:styleId="42">
    <w:name w:val="toc 4"/>
    <w:basedOn w:val="34"/>
    <w:next w:val="a"/>
    <w:uiPriority w:val="99"/>
    <w:semiHidden/>
    <w:unhideWhenUsed/>
    <w:qFormat/>
    <w:pPr>
      <w:ind w:left="1418" w:hanging="1418"/>
    </w:pPr>
  </w:style>
  <w:style w:type="paragraph" w:styleId="34">
    <w:name w:val="toc 3"/>
    <w:basedOn w:val="24"/>
    <w:next w:val="a"/>
    <w:uiPriority w:val="99"/>
    <w:semiHidden/>
    <w:unhideWhenUsed/>
    <w:qFormat/>
    <w:pPr>
      <w:ind w:left="1134" w:hanging="1134"/>
    </w:p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5">
    <w:name w:val="List Number 2"/>
    <w:basedOn w:val="aff1"/>
    <w:uiPriority w:val="99"/>
    <w:semiHidden/>
    <w:unhideWhenUsed/>
    <w:qFormat/>
    <w:pPr>
      <w:ind w:left="851" w:firstLine="0"/>
    </w:pPr>
  </w:style>
  <w:style w:type="paragraph" w:styleId="aff1">
    <w:name w:val="List Number"/>
    <w:basedOn w:val="52"/>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2">
    <w:name w:val="List Bullet 5"/>
    <w:basedOn w:val="41"/>
    <w:uiPriority w:val="99"/>
    <w:semiHidden/>
    <w:unhideWhenUsed/>
    <w:qFormat/>
  </w:style>
  <w:style w:type="paragraph" w:styleId="81">
    <w:name w:val="toc 8"/>
    <w:basedOn w:val="1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SimSun"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link w:val="B3Char"/>
    <w:qFormat/>
  </w:style>
  <w:style w:type="paragraph" w:customStyle="1" w:styleId="B4">
    <w:name w:val="B4"/>
    <w:basedOn w:val="52"/>
    <w:link w:val="B4Char"/>
    <w:qFormat/>
  </w:style>
  <w:style w:type="paragraph" w:customStyle="1" w:styleId="B5">
    <w:name w:val="B5"/>
    <w:basedOn w:val="aff1"/>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paragraph" w:customStyle="1" w:styleId="Proposal">
    <w:name w:val="Proposal"/>
    <w:basedOn w:val="af3"/>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7B5A17"/>
  </w:style>
  <w:style w:type="character" w:customStyle="1" w:styleId="normaltextrun">
    <w:name w:val="normaltextrun"/>
    <w:basedOn w:val="a0"/>
    <w:rsid w:val="000F44CD"/>
  </w:style>
  <w:style w:type="character" w:customStyle="1" w:styleId="eop">
    <w:name w:val="eop"/>
    <w:basedOn w:val="a0"/>
    <w:rsid w:val="000F44CD"/>
  </w:style>
  <w:style w:type="paragraph" w:customStyle="1" w:styleId="0Maintext">
    <w:name w:val="0 Main text"/>
    <w:basedOn w:val="a"/>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a0"/>
    <w:link w:val="0Maintext"/>
    <w:qFormat/>
    <w:rsid w:val="007D223E"/>
    <w:rPr>
      <w:rFonts w:ascii="Times New Roman" w:eastAsia="Times New Roman" w:hAnsi="Times New Roman" w:cs="Batang"/>
      <w:lang w:val="en-GB"/>
    </w:rPr>
  </w:style>
  <w:style w:type="character" w:customStyle="1" w:styleId="ProposalChar">
    <w:name w:val="Proposal Char"/>
    <w:basedOn w:val="a0"/>
    <w:link w:val="Proposal"/>
    <w:qFormat/>
    <w:rsid w:val="006D6BE8"/>
    <w:rPr>
      <w:rFonts w:ascii="Arial" w:hAnsi="Arial"/>
      <w:b/>
      <w:bCs/>
      <w:sz w:val="22"/>
      <w:szCs w:val="22"/>
      <w:lang w:eastAsia="zh-CN"/>
    </w:rPr>
  </w:style>
  <w:style w:type="paragraph" w:styleId="aff4">
    <w:name w:val="table of figures"/>
    <w:basedOn w:val="af3"/>
    <w:next w:val="a"/>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a"/>
    <w:link w:val="TDocObservationChar"/>
    <w:qFormat/>
    <w:rsid w:val="00324855"/>
    <w:pPr>
      <w:numPr>
        <w:numId w:val="6"/>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rsid w:val="00324855"/>
    <w:pPr>
      <w:numPr>
        <w:numId w:val="7"/>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a"/>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rsid w:val="00665472"/>
    <w:pPr>
      <w:numPr>
        <w:numId w:val="8"/>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a"/>
    <w:qFormat/>
    <w:rsid w:val="00450763"/>
    <w:pPr>
      <w:numPr>
        <w:numId w:val="18"/>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aff5">
    <w:name w:val="Emphasis"/>
    <w:basedOn w:val="a0"/>
    <w:uiPriority w:val="20"/>
    <w:qFormat/>
    <w:rsid w:val="00BB6386"/>
    <w:rPr>
      <w:i/>
      <w:iCs/>
    </w:rPr>
  </w:style>
  <w:style w:type="character" w:customStyle="1" w:styleId="apple-converted-space">
    <w:name w:val="apple-converted-space"/>
    <w:basedOn w:val="a0"/>
    <w:qFormat/>
    <w:rsid w:val="009536AA"/>
  </w:style>
  <w:style w:type="paragraph" w:customStyle="1" w:styleId="pf0">
    <w:name w:val="pf0"/>
    <w:basedOn w:val="a"/>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f3"/>
    <w:link w:val="Normal9pointspacingChar"/>
    <w:qFormat/>
    <w:rsid w:val="007D6202"/>
    <w:pPr>
      <w:suppressAutoHyphens w:val="0"/>
      <w:spacing w:before="240" w:after="60" w:line="240" w:lineRule="auto"/>
    </w:pPr>
    <w:rPr>
      <w:rFonts w:ascii="Times New Roman" w:eastAsia="ＭＳ 明朝" w:hAnsi="Times New Roman"/>
      <w:lang w:val="x-none"/>
    </w:rPr>
  </w:style>
  <w:style w:type="character" w:customStyle="1" w:styleId="Normal9pointspacingChar">
    <w:name w:val="Normal 9 point spacing Char"/>
    <w:link w:val="Normal9pointspacing"/>
    <w:rsid w:val="007D6202"/>
    <w:rPr>
      <w:rFonts w:ascii="Times New Roman" w:eastAsia="ＭＳ 明朝"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a1"/>
    <w:next w:val="aff3"/>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ＭＳ 明朝"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a"/>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a"/>
    <w:qFormat/>
    <w:rsid w:val="004F15B1"/>
    <w:pPr>
      <w:suppressAutoHyphens w:val="0"/>
      <w:spacing w:line="252" w:lineRule="auto"/>
      <w:ind w:left="568" w:hanging="284"/>
    </w:pPr>
    <w:rPr>
      <w:rFonts w:eastAsia="ＭＳ Ｐゴシック"/>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6058189">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970476937">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10295</Words>
  <Characters>58685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68843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Lee, Daewon</dc:creator>
  <dc:description/>
  <cp:lastModifiedBy>Cheng, Huiting/成 慧テン</cp:lastModifiedBy>
  <cp:revision>2</cp:revision>
  <dcterms:created xsi:type="dcterms:W3CDTF">2024-05-19T15:16:00Z</dcterms:created>
  <dcterms:modified xsi:type="dcterms:W3CDTF">2024-05-19T15:16:00Z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