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39"/>
        </w:tabs>
        <w:rPr>
          <w:bCs/>
          <w:sz w:val="24"/>
          <w:szCs w:val="24"/>
        </w:rPr>
      </w:pPr>
      <w:bookmarkStart w:id="0" w:name="_Hlk37418177"/>
      <w:bookmarkStart w:id="1" w:name="_Hlk148433929"/>
      <w:r>
        <w:rPr>
          <w:bCs/>
          <w:sz w:val="24"/>
          <w:szCs w:val="24"/>
        </w:rPr>
        <w:t>3GPP TSG RAN WG1 #117</w:t>
      </w:r>
      <w:r>
        <w:rPr>
          <w:bCs/>
          <w:sz w:val="24"/>
          <w:szCs w:val="24"/>
        </w:rPr>
        <w:tab/>
      </w:r>
      <w:r>
        <w:rPr>
          <w:bCs/>
          <w:sz w:val="24"/>
          <w:szCs w:val="24"/>
          <w:highlight w:val="yellow"/>
        </w:rPr>
        <w:t>R1-240xxxx</w:t>
      </w:r>
    </w:p>
    <w:bookmarkEnd w:id="0"/>
    <w:bookmarkEnd w:id="1"/>
    <w:p>
      <w:pPr>
        <w:pStyle w:val="40"/>
        <w:rPr>
          <w:bCs/>
          <w:sz w:val="24"/>
          <w:szCs w:val="24"/>
        </w:rPr>
      </w:pPr>
      <w:r>
        <w:rPr>
          <w:bCs/>
          <w:sz w:val="24"/>
          <w:szCs w:val="24"/>
        </w:rPr>
        <w:t>Fukuoka, Japan, 20 – 24 May, 2024</w:t>
      </w:r>
    </w:p>
    <w:p>
      <w:pPr>
        <w:pStyle w:val="146"/>
        <w:rPr>
          <w:rStyle w:val="218"/>
          <w:rFonts w:cs="Arial"/>
          <w:b/>
          <w:bCs/>
          <w:color w:val="000000"/>
          <w:shd w:val="clear" w:color="auto" w:fill="FFFFFF"/>
          <w:lang w:val="en-US"/>
        </w:rPr>
      </w:pPr>
    </w:p>
    <w:p>
      <w:pPr>
        <w:pStyle w:val="146"/>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lang w:val="en-US"/>
        </w:rPr>
        <w:t>8.1</w:t>
      </w:r>
    </w:p>
    <w:p>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Moderator (Nokia)</w:t>
      </w:r>
    </w:p>
    <w:p>
      <w:pPr>
        <w:tabs>
          <w:tab w:val="left" w:pos="1985"/>
        </w:tabs>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Feature lead summary 1 on IoT-NTN discussions</w:t>
      </w:r>
    </w:p>
    <w:p>
      <w:pPr>
        <w:tabs>
          <w:tab w:val="left" w:pos="1985"/>
        </w:tabs>
        <w:spacing w:after="120"/>
        <w:ind w:left="1985" w:hanging="1985"/>
        <w:rPr>
          <w:rFonts w:ascii="Arial" w:hAnsi="Arial" w:cs="Arial"/>
          <w:b/>
          <w:bCs/>
          <w:sz w:val="24"/>
        </w:rPr>
      </w:pPr>
      <w:r>
        <w:rPr>
          <w:rFonts w:ascii="Arial" w:hAnsi="Arial" w:cs="Arial"/>
          <w:b/>
          <w:bCs/>
          <w:sz w:val="24"/>
        </w:rPr>
        <w:t>WI code:</w:t>
      </w:r>
      <w:r>
        <w:rPr>
          <w:rFonts w:ascii="Arial" w:hAnsi="Arial" w:cs="Arial"/>
          <w:b/>
          <w:bCs/>
          <w:sz w:val="24"/>
        </w:rPr>
        <w:tab/>
      </w:r>
      <w:r>
        <w:rPr>
          <w:rFonts w:ascii="Arial" w:hAnsi="Arial" w:cs="Arial"/>
          <w:b/>
          <w:bCs/>
          <w:sz w:val="24"/>
        </w:rPr>
        <w:t>IoT_NTN_enh</w:t>
      </w:r>
    </w:p>
    <w:p>
      <w:pPr>
        <w:tabs>
          <w:tab w:val="left" w:pos="1985"/>
        </w:tabs>
        <w:spacing w:after="120"/>
        <w:ind w:left="1985" w:hanging="1985"/>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Rel-18</w:t>
      </w:r>
    </w:p>
    <w:p>
      <w:pPr>
        <w:tabs>
          <w:tab w:val="left" w:pos="1985"/>
        </w:tabs>
        <w:spacing w:after="120"/>
        <w:ind w:left="1985" w:hanging="1985"/>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40"/>
        <w:tabs>
          <w:tab w:val="right" w:pos="9639"/>
        </w:tabs>
        <w:rPr>
          <w:bCs/>
          <w:sz w:val="24"/>
          <w:szCs w:val="24"/>
          <w:lang w:val="en-US"/>
        </w:rPr>
      </w:pPr>
    </w:p>
    <w:p>
      <w:pPr>
        <w:pStyle w:val="2"/>
      </w:pPr>
      <w:r>
        <w:t>Introduction</w:t>
      </w:r>
    </w:p>
    <w:p>
      <w:pPr>
        <w:pStyle w:val="205"/>
        <w:rPr>
          <w:lang w:val="en-GB"/>
        </w:rPr>
      </w:pPr>
      <w:r>
        <w:rPr>
          <w:lang w:val="en-GB"/>
        </w:rPr>
        <w:t>For Rel18 IoT NTN, 3 remaining issues identified:</w:t>
      </w:r>
    </w:p>
    <w:p>
      <w:pPr>
        <w:pStyle w:val="205"/>
        <w:rPr>
          <w:lang w:val="en-GB"/>
        </w:rPr>
      </w:pPr>
      <w:r>
        <w:rPr>
          <w:lang w:val="en-GB"/>
        </w:rPr>
        <w:t>1, Clarification of end of GNSS measurement gap/timer is needed</w:t>
      </w:r>
    </w:p>
    <w:p>
      <w:pPr>
        <w:pStyle w:val="205"/>
        <w:rPr>
          <w:lang w:val="en-GB"/>
        </w:rPr>
      </w:pPr>
      <w:r>
        <w:rPr>
          <w:lang w:val="en-GB"/>
        </w:rPr>
        <w:t>2, Clarification of time adjustment after successful GNSS measurement</w:t>
      </w:r>
    </w:p>
    <w:p>
      <w:pPr>
        <w:pStyle w:val="205"/>
        <w:rPr>
          <w:lang w:val="en-GB"/>
        </w:rPr>
      </w:pPr>
      <w:r>
        <w:rPr>
          <w:lang w:val="en-GB"/>
        </w:rPr>
        <w:t>3, Dependency between aperiodic measurement gap and autonomous measurements</w:t>
      </w:r>
    </w:p>
    <w:p>
      <w:pPr>
        <w:pStyle w:val="205"/>
        <w:rPr>
          <w:lang w:val="en-GB"/>
        </w:rPr>
      </w:pPr>
    </w:p>
    <w:p>
      <w:pPr>
        <w:pStyle w:val="3"/>
      </w:pPr>
      <w:r>
        <w:t>Guidelines for the discussion.</w:t>
      </w:r>
    </w:p>
    <w:p>
      <w:pPr>
        <w:rPr>
          <w:lang w:val="en-GB"/>
        </w:rPr>
      </w:pPr>
      <w:r>
        <w:rPr>
          <w:lang w:val="en-GB"/>
        </w:rPr>
        <w:t xml:space="preserve">The summary is split into three main parts; </w:t>
      </w:r>
    </w:p>
    <w:p>
      <w:pPr>
        <w:pStyle w:val="115"/>
        <w:numPr>
          <w:ilvl w:val="0"/>
          <w:numId w:val="14"/>
        </w:numPr>
        <w:rPr>
          <w:lang w:val="en-GB"/>
        </w:rPr>
      </w:pPr>
      <w:r>
        <w:rPr>
          <w:lang w:val="en-GB"/>
        </w:rPr>
        <w:t>Discussion on drafted TPs for TS 36.213, for exact time of end of GNSS measurement gap/timer, which impact the common understanding between UE and eNB on UE starting to monitor PDCCH.</w:t>
      </w:r>
    </w:p>
    <w:p>
      <w:pPr>
        <w:pStyle w:val="115"/>
        <w:numPr>
          <w:ilvl w:val="0"/>
          <w:numId w:val="14"/>
        </w:numPr>
        <w:rPr>
          <w:lang w:val="en-GB"/>
        </w:rPr>
      </w:pPr>
      <w:r>
        <w:rPr>
          <w:lang w:val="en-GB"/>
        </w:rPr>
        <w:t>Discussion on drafted TPs for TS 36.213, for UE behaviour on time adjustment after successful GNSS measurement</w:t>
      </w:r>
    </w:p>
    <w:p>
      <w:pPr>
        <w:pStyle w:val="115"/>
        <w:numPr>
          <w:ilvl w:val="0"/>
          <w:numId w:val="14"/>
        </w:numPr>
        <w:rPr>
          <w:lang w:val="en-GB"/>
        </w:rPr>
      </w:pPr>
      <w:r>
        <w:rPr>
          <w:lang w:val="en-GB"/>
        </w:rPr>
        <w:t>Discussion on dependency between aperiodic measurement gap and autonomous measurements</w:t>
      </w:r>
    </w:p>
    <w:p>
      <w:pPr>
        <w:rPr>
          <w:lang w:val="en-GB"/>
        </w:rPr>
      </w:pPr>
    </w:p>
    <w:p>
      <w:pPr>
        <w:pStyle w:val="205"/>
        <w:rPr>
          <w:lang w:val="en-GB"/>
        </w:rPr>
      </w:pPr>
      <w:r>
        <w:rPr>
          <w:lang w:val="en-GB"/>
        </w:rPr>
        <w:t>As these topics are expected to be discussed on next online session (Wed, 22rd May) it is preferable that the comments are provided already before:</w:t>
      </w:r>
    </w:p>
    <w:p>
      <w:pPr>
        <w:pStyle w:val="205"/>
        <w:ind w:firstLine="284"/>
        <w:rPr>
          <w:b/>
          <w:bCs/>
          <w:lang w:val="en-GB"/>
        </w:rPr>
      </w:pPr>
      <w:r>
        <w:rPr>
          <w:b/>
          <w:bCs/>
          <w:lang w:val="en-GB"/>
        </w:rPr>
        <w:t>1</w:t>
      </w:r>
      <w:r>
        <w:rPr>
          <w:b/>
          <w:bCs/>
          <w:vertAlign w:val="superscript"/>
          <w:lang w:val="en-GB"/>
        </w:rPr>
        <w:t>st</w:t>
      </w:r>
      <w:r>
        <w:rPr>
          <w:b/>
          <w:bCs/>
          <w:lang w:val="en-GB"/>
        </w:rPr>
        <w:t xml:space="preserve"> round deadline: Tuesday 21</w:t>
      </w:r>
      <w:r>
        <w:rPr>
          <w:b/>
          <w:bCs/>
          <w:vertAlign w:val="superscript"/>
          <w:lang w:val="en-GB"/>
        </w:rPr>
        <w:t>st</w:t>
      </w:r>
      <w:r>
        <w:rPr>
          <w:b/>
          <w:bCs/>
          <w:lang w:val="en-GB"/>
        </w:rPr>
        <w:t xml:space="preserve"> of May, 18:30 Local time.</w:t>
      </w:r>
    </w:p>
    <w:p>
      <w:pPr>
        <w:pStyle w:val="205"/>
        <w:rPr>
          <w:b/>
          <w:bCs/>
          <w:lang w:val="en-GB"/>
        </w:rPr>
      </w:pPr>
    </w:p>
    <w:p>
      <w:r>
        <w:t>Companies are encouraged to reach out to moderator (</w:t>
      </w:r>
      <w:r>
        <w:fldChar w:fldCharType="begin"/>
      </w:r>
      <w:r>
        <w:instrText xml:space="preserve"> HYPERLINK "mailto:Jingyuan.sun@nokia-sbell.com" </w:instrText>
      </w:r>
      <w:r>
        <w:fldChar w:fldCharType="separate"/>
      </w:r>
      <w:r>
        <w:rPr>
          <w:rStyle w:val="61"/>
        </w:rPr>
        <w:t>Jingyuan.sun@nokia-sbell.com</w:t>
      </w:r>
      <w:r>
        <w:rPr>
          <w:rStyle w:val="61"/>
        </w:rPr>
        <w:fldChar w:fldCharType="end"/>
      </w:r>
      <w:r>
        <w:t xml:space="preserve"> ) if they want to co-source the final CRs (either the full set or individual CRs).</w:t>
      </w:r>
    </w:p>
    <w:p>
      <w:pPr>
        <w:rPr>
          <w:lang w:val="en-GB"/>
        </w:rPr>
      </w:pPr>
    </w:p>
    <w:p>
      <w:pPr>
        <w:pStyle w:val="2"/>
      </w:pPr>
      <w:r>
        <w:t>Discussion</w:t>
      </w:r>
    </w:p>
    <w:p>
      <w:pPr>
        <w:pStyle w:val="3"/>
      </w:pPr>
      <w:r>
        <w:t>Topic 1: Draft TPs for TS 36.213 [open]</w:t>
      </w:r>
    </w:p>
    <w:p>
      <w:pPr>
        <w:pStyle w:val="4"/>
      </w:pPr>
      <w:r>
        <w:t>Clarification on starting time of (N)PDCCH monitoring</w:t>
      </w:r>
    </w:p>
    <w:p>
      <w:r>
        <w:t>The issue is related to unclear specification on starting time of (N)PDCCH monitoring when UE starts CBRA after GNSS measurement.</w:t>
      </w:r>
    </w:p>
    <w:p/>
    <w:p>
      <w:r>
        <w:t>At RAN1#113 the following was agreed [1]:</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bCs/>
                <w:iCs/>
                <w:lang w:eastAsia="zh-CN"/>
              </w:rPr>
            </w:pPr>
            <w:r>
              <w:rPr>
                <w:b/>
                <w:bCs/>
                <w:iCs/>
                <w:highlight w:val="green"/>
                <w:lang w:eastAsia="zh-CN"/>
              </w:rPr>
              <w:t>Agreement</w:t>
            </w:r>
          </w:p>
          <w:p>
            <w:r>
              <w:t xml:space="preserve">The UE is not required to transmit or receive any channel / signal within the aperiodic GNSS measurement gap duration before the UE reacquires GNSS successfully. </w:t>
            </w:r>
          </w:p>
          <w:p>
            <w:r>
              <w:t>FFS: UE’s behavior within the duration after UE reacquires GNSS successfully to the end of the gap if the UE reacquires GNSS successfully before the end of the gap.</w:t>
            </w:r>
          </w:p>
        </w:tc>
      </w:tr>
    </w:tbl>
    <w:p>
      <w:pPr>
        <w:spacing w:before="240"/>
      </w:pPr>
      <w:r>
        <w:t>At RAN#114 it was further agreed [2]:</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before="240"/>
              <w:rPr>
                <w:b/>
                <w:bCs/>
              </w:rPr>
            </w:pPr>
            <w:r>
              <w:rPr>
                <w:highlight w:val="green"/>
              </w:rPr>
              <w:t>Agreement</w:t>
            </w:r>
          </w:p>
          <w:p>
            <w:pPr>
              <w:spacing w:before="240"/>
            </w:pPr>
            <w:r>
              <w:t>The UE is not required to monitor N/MPDCCH within the aperiodic GNSS measurement gap, except after a CBRA (PRACH) is sent.</w:t>
            </w:r>
          </w:p>
          <w:p>
            <w:pPr>
              <w:pStyle w:val="115"/>
              <w:widowControl w:val="0"/>
              <w:numPr>
                <w:ilvl w:val="0"/>
                <w:numId w:val="15"/>
              </w:numPr>
              <w:spacing w:before="240"/>
              <w:contextualSpacing/>
              <w:jc w:val="both"/>
            </w:pPr>
            <w:r>
              <w:t>CBRA (PRACH) can be sent at least to request UL resource to report the remaining GNSS validity duration.</w:t>
            </w:r>
          </w:p>
          <w:p>
            <w:pPr>
              <w:spacing w:before="240"/>
            </w:pPr>
            <w:r>
              <w:t>Note1: The CBRA (PRACH) can only be sent within the duration after UE reacquires GNSS successfully to the end of the gap.</w:t>
            </w:r>
          </w:p>
          <w:p>
            <w:pPr>
              <w:spacing w:before="240"/>
            </w:pPr>
            <w:r>
              <w:t>Note2: Whether CBRA (PRACH) is sent is up to UE implementation.</w:t>
            </w:r>
          </w:p>
          <w:p>
            <w:pPr>
              <w:spacing w:before="240"/>
            </w:pPr>
            <w:r>
              <w:t>Note3: no change to existing CBRA procedures</w:t>
            </w:r>
          </w:p>
          <w:p>
            <w:pPr>
              <w:spacing w:before="240"/>
            </w:pPr>
            <w:r>
              <w:t>FFS: whether other RA procedure is needed.</w:t>
            </w:r>
          </w:p>
        </w:tc>
      </w:tr>
    </w:tbl>
    <w:p>
      <w:pPr>
        <w:spacing w:before="240"/>
      </w:pPr>
      <w:r>
        <w:t>Currently TS 36.213 defines the UE is not required to monitor NPDCCH until the GNSS position is reacquired and a CBRA is performed (likewise for MPDCCH in section 18 of the same specification). While, the exact PDCCH monitoring time is still unclear, as “CBRA is performed” does not point to a specific time, e.g. the start of the RAR window or the time of msg4 reception. Similarly for eMTC.</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numPr>
                <w:ilvl w:val="0"/>
                <w:numId w:val="0"/>
              </w:numPr>
              <w:ind w:left="1002"/>
              <w:rPr>
                <w:rFonts w:eastAsia="Times New Roman"/>
              </w:rPr>
            </w:pPr>
            <w:r>
              <w:t>16.10</w:t>
            </w:r>
            <w:r>
              <w:tab/>
            </w:r>
            <w:r>
              <w:t>GNSS measurement gap related procedures</w:t>
            </w:r>
          </w:p>
          <w:p>
            <w:pPr>
              <w:rPr>
                <w:color w:val="0070C0"/>
                <w:u w:val="single"/>
              </w:rPr>
            </w:pPr>
            <w:r>
              <w:t xml:space="preserve">For a NB-IoT UE </w:t>
            </w:r>
            <w:r>
              <w:rPr>
                <w:iCs/>
              </w:rPr>
              <w:t xml:space="preserve">in a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pPr>
              <w:pStyle w:val="82"/>
              <w:rPr>
                <w:color w:val="0070C0"/>
                <w:u w:val="single"/>
              </w:rPr>
            </w:pPr>
            <w:r>
              <w:t>-</w:t>
            </w:r>
            <w:r>
              <w:tab/>
            </w:r>
            <w:r>
              <w:t>if the UE shall not provide HARQ-ACK information for the HARQ process associated with the transport block in the NPDSCH carrying GNSS Measurement Command MAC CE,</w:t>
            </w:r>
          </w:p>
          <w:p>
            <w:pPr>
              <w:pStyle w:val="93"/>
              <w:rPr>
                <w:lang w:eastAsia="en-GB"/>
              </w:rPr>
            </w:pPr>
            <w:r>
              <w:t>-</w:t>
            </w:r>
            <w:r>
              <w:tab/>
            </w:r>
            <w:r>
              <w:t xml:space="preserve">the UE shall assume the start of the measurement gap in subframe </w:t>
            </w:r>
            <w:r>
              <w:rPr>
                <w:i/>
              </w:rPr>
              <w:t>n</w:t>
            </w:r>
            <w:r>
              <w:t>+13</w:t>
            </w:r>
          </w:p>
          <w:p>
            <w:pPr>
              <w:pStyle w:val="82"/>
            </w:pPr>
            <w:r>
              <w:t>-</w:t>
            </w:r>
            <w:r>
              <w:tab/>
            </w:r>
            <w:r>
              <w:t>otherwise,</w:t>
            </w:r>
          </w:p>
          <w:p>
            <w:pPr>
              <w:pStyle w:val="93"/>
              <w:rPr>
                <w:lang w:eastAsia="en-GB"/>
              </w:rPr>
            </w:pPr>
            <w:r>
              <w:t>-</w:t>
            </w:r>
            <w:r>
              <w:tab/>
            </w:r>
            <w:r>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r>
              <w:t>For a NB-IoT UE in a NTN FDD serving cell, the UE is not required to monitor NPDCCH within the GNSS measurement gap duration, until it reacquires GNSS position and a contention based Random Access is performed as specified in TS 36.321 [8].</w:t>
            </w:r>
          </w:p>
        </w:tc>
      </w:tr>
    </w:tbl>
    <w:p>
      <w:pPr>
        <w:spacing w:before="240"/>
      </w:pPr>
      <w:r>
        <w:t>The Random Access procedure in TS 36.321 defines the Random Access Response window, which also accounts for NTN propagation delays. Thus based on the RAN1 agreement for CBRA it is clear when the UE shall monitor the PDCCH for a response to the PRACH as mentioned in [4].</w:t>
      </w:r>
    </w:p>
    <w:p>
      <w:pPr>
        <w:spacing w:before="240"/>
      </w:pPr>
      <w:r>
        <w:t xml:space="preserve">Based on moderator’s view, it is clear that the UE will monitor the PDCCH during relevant parts of the Random Access procedure. However, it is not clear whether the network can expect the UE to start monitoring the PDCCH and perform AS operations after starting the CBRA procedure if the GNSS measurement gap/timer has not ended, i.e. “the UE is not required to transmit or receive” “within the aperiodic GNSS measurement gap duration before the UE reacquires GNSS successfully”. </w:t>
      </w:r>
    </w:p>
    <w:p>
      <w:pPr>
        <w:spacing w:before="240"/>
        <w:rPr>
          <w:b/>
          <w:bCs/>
        </w:rPr>
      </w:pPr>
      <w:r>
        <w:t>Based on moderator’s view, the UE should be schedulable, i.e. monitor PDCCH, when the UE starts the Random Access Response window for the CBRA procedure if the RAR window started before the end of the GNSS measurement gap/timer. This will allow the communication to continue as soon as possible after the UE has acquired the new GNSS position fix within the measurement gap/timer. As common understanding between UE and eNB, it should be defined clearly in RAN1 spec on time for UE to start (N)PDCCH monitoring after successfully acquired GNSS, i.e. the GNSS measurement gap / autonomous GNSS measurement timer ends.</w:t>
      </w:r>
    </w:p>
    <w:p>
      <w:pPr>
        <w:spacing w:before="240"/>
      </w:pPr>
      <w:r>
        <w:t xml:space="preserve">One way is that the GNSS measurement gap / autonomous GNSS measurement timer ends and UE begin to monitor (N)PDCCH when the UE starts the Random Access Response Window for a CBRA procedure if the RAR window started before the end of the original gap/timer. </w:t>
      </w:r>
    </w:p>
    <w:p>
      <w:pPr>
        <w:spacing w:before="240"/>
      </w:pPr>
      <w:r>
        <w:t>The following TPs are proposed in [4]:</w:t>
      </w:r>
    </w:p>
    <w:p>
      <w:pPr>
        <w:rPr>
          <w:b/>
          <w:lang w:val="en-GB"/>
        </w:rPr>
      </w:pPr>
      <w:r>
        <w:rPr>
          <w:b/>
          <w:lang w:val="en-GB"/>
        </w:rPr>
        <w:t>TP#1 for 36.213 Clause 16.10</w:t>
      </w:r>
    </w:p>
    <w:p>
      <w:pPr>
        <w:rPr>
          <w:i/>
        </w:rPr>
      </w:pPr>
      <w:r>
        <w:rPr>
          <w:b/>
          <w:i/>
          <w:lang w:val="en-GB"/>
        </w:rPr>
        <w:t xml:space="preserve">Reason for change: </w:t>
      </w:r>
      <w:r>
        <w:rPr>
          <w:i/>
          <w:lang w:val="en-GB"/>
        </w:rPr>
        <w:t>after NB-IoT UE reacquired new GNSS position within the GNSS measurement gap</w:t>
      </w:r>
      <w:r>
        <w:rPr>
          <w:i/>
        </w:rPr>
        <w:t>, it is not clear on when NB-IoT UE need to start monitoring NPDCCH when contention based Random Access is performed</w:t>
      </w:r>
    </w:p>
    <w:p>
      <w:pPr>
        <w:rPr>
          <w:i/>
        </w:rPr>
      </w:pPr>
      <w:r>
        <w:rPr>
          <w:b/>
          <w:i/>
        </w:rPr>
        <w:t xml:space="preserve">Summary of change: </w:t>
      </w:r>
      <w:r>
        <w:rPr>
          <w:i/>
          <w:lang w:val="en-GB"/>
        </w:rPr>
        <w:t>after NB-IoT UE reacquired new GNSS position within the GNSS measurement gap</w:t>
      </w:r>
      <w:r>
        <w:rPr>
          <w:i/>
        </w:rPr>
        <w:t xml:space="preserve">, when contention based Random Access is performed, NB-IoT UE need to start NPDCCH monitoring for Random Access Response when Random Access Response window starts.  </w:t>
      </w:r>
    </w:p>
    <w:p>
      <w:pPr>
        <w:rPr>
          <w:i/>
          <w:lang w:val="en-GB"/>
        </w:rPr>
      </w:pPr>
      <w:r>
        <w:rPr>
          <w:b/>
          <w:i/>
          <w:lang w:val="en-GB"/>
        </w:rPr>
        <w:t xml:space="preserve">Consequences if not approved: </w:t>
      </w:r>
      <w:r>
        <w:rPr>
          <w:i/>
          <w:lang w:val="en-GB"/>
        </w:rPr>
        <w:t>after NB-IoT UE reacquires GNSS position, UE and network do not know exact time UE starting the NPDCCH monitoring.</w:t>
      </w:r>
    </w:p>
    <w:p>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Start of Text proposal -------------------------------</w:t>
      </w:r>
    </w:p>
    <w:p>
      <w:pPr>
        <w:rPr>
          <w:color w:val="0070C0"/>
          <w:u w:val="single"/>
        </w:rPr>
      </w:pPr>
      <w:r>
        <w:t xml:space="preserve">For a NB-IoT UE </w:t>
      </w:r>
      <w:r>
        <w:rPr>
          <w:iCs/>
        </w:rPr>
        <w:t xml:space="preserve">in a NTN FDD serving cell, </w:t>
      </w:r>
      <w:r>
        <w:rPr>
          <w:rFonts w:ascii="TimesNewRomanPSMT" w:hAnsi="TimesNewRomanPSMT" w:cs="TimesNewRomanPSMT"/>
          <w:color w:val="000000"/>
        </w:rPr>
        <w:t>when the UE receives a GNSS Measurement Command MAC CE in a</w:t>
      </w:r>
      <w:r>
        <w:rPr>
          <w:iCs/>
        </w:rPr>
        <w:t xml:space="preserve"> NPDSCH ending in </w:t>
      </w:r>
      <w:r>
        <w:t xml:space="preserve">DL subframe </w:t>
      </w:r>
      <w:r>
        <w:rPr>
          <w:i/>
        </w:rPr>
        <w:t>n</w:t>
      </w:r>
      <w:r>
        <w:rPr>
          <w:color w:val="0070C0"/>
          <w:u w:val="single"/>
        </w:rPr>
        <w:t>,</w:t>
      </w:r>
    </w:p>
    <w:p>
      <w:pPr>
        <w:pStyle w:val="82"/>
        <w:rPr>
          <w:color w:val="0070C0"/>
          <w:u w:val="single"/>
        </w:rPr>
      </w:pPr>
      <w:r>
        <w:t>-</w:t>
      </w:r>
      <w:r>
        <w:tab/>
      </w:r>
      <w:r>
        <w:t>if the UE shall not provide HARQ-ACK information for the HARQ process associated with the transport block in the NPDSCH carrying GNSS Measurement Command MAC CE,</w:t>
      </w:r>
    </w:p>
    <w:p>
      <w:pPr>
        <w:pStyle w:val="93"/>
        <w:rPr>
          <w:lang w:eastAsia="en-GB"/>
        </w:rPr>
      </w:pPr>
      <w:r>
        <w:t>-</w:t>
      </w:r>
      <w:r>
        <w:tab/>
      </w:r>
      <w:r>
        <w:t xml:space="preserve">the UE shall assume the start of the measurement gap in subframe </w:t>
      </w:r>
      <w:r>
        <w:rPr>
          <w:i/>
        </w:rPr>
        <w:t>n</w:t>
      </w:r>
      <w:r>
        <w:t>+13</w:t>
      </w:r>
    </w:p>
    <w:p>
      <w:pPr>
        <w:pStyle w:val="82"/>
      </w:pPr>
      <w:r>
        <w:t>-</w:t>
      </w:r>
      <w:r>
        <w:tab/>
      </w:r>
      <w:r>
        <w:t>otherwise,</w:t>
      </w:r>
    </w:p>
    <w:p>
      <w:pPr>
        <w:pStyle w:val="93"/>
        <w:rPr>
          <w:lang w:eastAsia="en-GB"/>
        </w:rPr>
      </w:pPr>
      <w:r>
        <w:t>-</w:t>
      </w:r>
      <w:r>
        <w:tab/>
      </w:r>
      <w:r>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r>
        <w:t>For a NB-IoT UE in a NTN FDD serving cell, the UE is not required to monitor NPDCCH within the GNSS measurement gap duration, until it reacquires GNSS position and a contention based Random Access is performed</w:t>
      </w:r>
      <w:ins w:id="0" w:author="Jingyuan Sun (NSB)" w:date="2024-05-10T15:18:00Z">
        <w:r>
          <w:rPr/>
          <w:t xml:space="preserve"> when Random Access Response window starts</w:t>
        </w:r>
      </w:ins>
      <w:ins w:id="1" w:author="Mads Lauridsen (Nokia)" w:date="2024-05-02T15:37:00Z">
        <w:r>
          <w:rPr/>
          <w:t xml:space="preserve"> </w:t>
        </w:r>
      </w:ins>
      <w:r>
        <w:t>as specified in TS 36.321 [8].</w:t>
      </w:r>
    </w:p>
    <w:p>
      <w:pPr>
        <w:overflowPunct w:val="0"/>
        <w:autoSpaceDE w:val="0"/>
        <w:autoSpaceDN w:val="0"/>
        <w:adjustRightInd w:val="0"/>
        <w:spacing w:after="36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End of Text proposal -------------------------------</w:t>
      </w:r>
    </w:p>
    <w:p>
      <w:pPr>
        <w:rPr>
          <w:b/>
          <w:lang w:val="en-GB"/>
        </w:rPr>
      </w:pPr>
      <w:r>
        <w:rPr>
          <w:b/>
          <w:lang w:val="en-GB"/>
        </w:rPr>
        <w:t>TP#2 for 36.213 Clause 18</w:t>
      </w:r>
    </w:p>
    <w:p>
      <w:pPr>
        <w:rPr>
          <w:i/>
        </w:rPr>
      </w:pPr>
      <w:r>
        <w:rPr>
          <w:b/>
          <w:i/>
          <w:lang w:val="en-GB"/>
        </w:rPr>
        <w:t xml:space="preserve">Reason for change: </w:t>
      </w:r>
      <w:r>
        <w:rPr>
          <w:i/>
          <w:lang w:val="en-GB"/>
        </w:rPr>
        <w:t>after eMTC UE reacquired new GNSS position within the GNSS measurement gap</w:t>
      </w:r>
      <w:r>
        <w:rPr>
          <w:i/>
        </w:rPr>
        <w:t xml:space="preserve">, it is not clear on when </w:t>
      </w:r>
      <w:r>
        <w:rPr>
          <w:i/>
          <w:lang w:val="en-GB"/>
        </w:rPr>
        <w:t>eMTC</w:t>
      </w:r>
      <w:r>
        <w:rPr>
          <w:i/>
        </w:rPr>
        <w:t xml:space="preserve"> UE need to start monitoring PDCCH when contention based Random Access is performed</w:t>
      </w:r>
    </w:p>
    <w:p>
      <w:pPr>
        <w:rPr>
          <w:i/>
        </w:rPr>
      </w:pPr>
      <w:r>
        <w:rPr>
          <w:b/>
          <w:i/>
        </w:rPr>
        <w:t xml:space="preserve">Summary of change: </w:t>
      </w:r>
      <w:r>
        <w:rPr>
          <w:i/>
          <w:lang w:val="en-GB"/>
        </w:rPr>
        <w:t>after eMTC UE reacquired new GNSS position within the GNSS measurement gap</w:t>
      </w:r>
      <w:r>
        <w:rPr>
          <w:i/>
        </w:rPr>
        <w:t xml:space="preserve">, when contention based Random Access is performed, </w:t>
      </w:r>
      <w:r>
        <w:rPr>
          <w:i/>
          <w:lang w:val="en-GB"/>
        </w:rPr>
        <w:t>eMTC</w:t>
      </w:r>
      <w:r>
        <w:rPr>
          <w:i/>
        </w:rPr>
        <w:t xml:space="preserve"> UE need to start PDCCH monitoring for Random Access Response when Random Access Response window starts.  </w:t>
      </w:r>
    </w:p>
    <w:p>
      <w:pPr>
        <w:rPr>
          <w:i/>
          <w:lang w:val="en-GB"/>
        </w:rPr>
      </w:pPr>
      <w:r>
        <w:rPr>
          <w:b/>
          <w:i/>
          <w:lang w:val="en-GB"/>
        </w:rPr>
        <w:t xml:space="preserve">Consequences if not approved: </w:t>
      </w:r>
      <w:r>
        <w:rPr>
          <w:i/>
          <w:lang w:val="en-GB"/>
        </w:rPr>
        <w:t xml:space="preserve">after eMTC UE reacquires GNSS position, UE and network do not know exact time UE starting the PDCCH monitoring. </w:t>
      </w:r>
    </w:p>
    <w:p>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Start of Text proposal -------------------------------</w:t>
      </w:r>
    </w:p>
    <w:p>
      <w:pPr>
        <w:rPr>
          <w:color w:val="0070C0"/>
          <w:u w:val="single"/>
        </w:rPr>
      </w:pPr>
      <w:r>
        <w:t xml:space="preserve">For a BL/CE UE </w:t>
      </w:r>
      <w:r>
        <w:rPr>
          <w:iCs/>
        </w:rPr>
        <w:t xml:space="preserve">in a NTN FDD serving cell, </w:t>
      </w:r>
      <w:r>
        <w:rPr>
          <w:rFonts w:ascii="TimesNewRomanPSMT" w:hAnsi="TimesNewRomanPSMT"/>
          <w:color w:val="000000"/>
        </w:rPr>
        <w:t xml:space="preserve">when the UE receives a </w:t>
      </w:r>
      <w:r>
        <w:t>GNSS Measurement Command MAC CE in</w:t>
      </w:r>
      <w:r>
        <w:rPr>
          <w:color w:val="0070C0"/>
          <w:u w:val="single"/>
        </w:rPr>
        <w:t xml:space="preserve"> </w:t>
      </w:r>
      <w:r>
        <w:rPr>
          <w:iCs/>
        </w:rPr>
        <w:t xml:space="preserve">a PDSCH ending in </w:t>
      </w:r>
      <w:r>
        <w:t xml:space="preserve">DL subframe </w:t>
      </w:r>
      <w:r>
        <w:rPr>
          <w:i/>
        </w:rPr>
        <w:t>n</w:t>
      </w:r>
      <w:r>
        <w:rPr>
          <w:color w:val="0070C0"/>
          <w:u w:val="single"/>
        </w:rPr>
        <w:t>,</w:t>
      </w:r>
    </w:p>
    <w:p>
      <w:pPr>
        <w:pStyle w:val="82"/>
        <w:rPr>
          <w:color w:val="0070C0"/>
          <w:u w:val="single"/>
        </w:rPr>
      </w:pPr>
      <w:r>
        <w:t>-</w:t>
      </w:r>
      <w:r>
        <w:tab/>
      </w:r>
      <w:r>
        <w:t>if the UE shall not provide HARQ-ACK information for the HARQ process associated with the transport block in the PDSCH carrying GNSS Measurement Command MAC CE,</w:t>
      </w:r>
    </w:p>
    <w:p>
      <w:pPr>
        <w:pStyle w:val="93"/>
      </w:pPr>
      <w:r>
        <w:t>-</w:t>
      </w:r>
      <w:r>
        <w:tab/>
      </w:r>
      <w:r>
        <w:t xml:space="preserve">the UE shall assume the start of the measurement gap in subframe </w:t>
      </w:r>
      <w:r>
        <w:rPr>
          <w:i/>
        </w:rPr>
        <w:t>n</w:t>
      </w:r>
      <w:r>
        <w:t>+6</w:t>
      </w:r>
    </w:p>
    <w:p>
      <w:pPr>
        <w:pStyle w:val="82"/>
      </w:pPr>
      <w:r>
        <w:t>-</w:t>
      </w:r>
      <w:r>
        <w:tab/>
      </w:r>
      <w:r>
        <w:t>otherwise,</w:t>
      </w:r>
    </w:p>
    <w:p>
      <w:pPr>
        <w:pStyle w:val="93"/>
      </w:pPr>
      <w:r>
        <w:t>-</w:t>
      </w:r>
      <w:r>
        <w:tab/>
      </w:r>
      <w:r>
        <w:t>the UE shall assume the start of the measurement gap in subframe</w:t>
      </w:r>
      <w:r>
        <w:rPr>
          <w:color w:val="0070C0"/>
        </w:rPr>
        <w:t xml:space="preserve"> </w:t>
      </w:r>
      <w:r>
        <w:rPr>
          <w:i/>
        </w:rPr>
        <w:t>k</w:t>
      </w:r>
      <w:r>
        <w:t xml:space="preserve">+2, where </w:t>
      </w:r>
      <w:r>
        <w:rPr>
          <w:i/>
        </w:rPr>
        <w:t>k</w:t>
      </w:r>
      <w:r>
        <w:rPr>
          <w:iCs/>
        </w:rPr>
        <w:t xml:space="preserve"> is the </w:t>
      </w:r>
      <w:r>
        <w:t>first DL subframe after the end of the HARQ-ACK transmission for the HARQ process associated with the transport block in the PDSCH.</w:t>
      </w:r>
    </w:p>
    <w:p>
      <w:r>
        <w:t>For a BL/CE UE in a NTN FDD serving cell, the UE is not required to monitor MPDCCH within the GNSS measurement gap duration, until it reacquires GNSS position and a contention based Random Access is performed</w:t>
      </w:r>
      <w:ins w:id="2" w:author="Jingyuan Sun (NSB)" w:date="2024-05-10T23:41:00Z">
        <w:r>
          <w:rPr>
            <w:rFonts w:hint="eastAsia"/>
          </w:rPr>
          <w:t xml:space="preserve"> </w:t>
        </w:r>
      </w:ins>
      <w:ins w:id="3" w:author="Jingyuan Sun (NSB)" w:date="2024-05-10T23:41:00Z">
        <w:r>
          <w:rPr/>
          <w:t>when Random Access Response window starts</w:t>
        </w:r>
      </w:ins>
      <w:r>
        <w:t xml:space="preserve"> as specified in TS 36.321 [8].</w:t>
      </w:r>
    </w:p>
    <w:p>
      <w:pPr>
        <w:overflowPunct w:val="0"/>
        <w:autoSpaceDE w:val="0"/>
        <w:autoSpaceDN w:val="0"/>
        <w:adjustRightInd w:val="0"/>
        <w:spacing w:after="36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End of Text proposal -------------------------------</w:t>
      </w:r>
    </w:p>
    <w:p>
      <w:r>
        <w:t>Companies are encouraged to provide their view with respect to whether the draft TP is technically correct and should be adopted.</w:t>
      </w:r>
    </w:p>
    <w:p>
      <w:pPr>
        <w:rPr>
          <w:lang w:val="en-GB"/>
        </w:rPr>
      </w:pPr>
    </w:p>
    <w:p>
      <w:pPr>
        <w:rPr>
          <w:b/>
          <w:bCs/>
          <w:lang w:val="en-GB"/>
        </w:rPr>
      </w:pPr>
      <w:r>
        <w:rPr>
          <w:b/>
          <w:bCs/>
          <w:highlight w:val="yellow"/>
          <w:lang w:val="en-GB"/>
        </w:rPr>
        <w:t>Initial proposed 1-1:</w:t>
      </w:r>
    </w:p>
    <w:p>
      <w:pPr>
        <w:rPr>
          <w:b/>
          <w:bCs/>
          <w:lang w:val="en-GB"/>
        </w:rPr>
      </w:pPr>
      <w:r>
        <w:rPr>
          <w:b/>
          <w:bCs/>
          <w:lang w:val="en-GB"/>
        </w:rPr>
        <w:t>The draft TP#1 for TS 36.213 in is considered technically correct and should be adopted.</w:t>
      </w:r>
    </w:p>
    <w:tbl>
      <w:tblPr>
        <w:tblStyle w:val="54"/>
        <w:tblW w:w="4744"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402"/>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 xml:space="preserve">Nordic </w:t>
            </w:r>
          </w:p>
        </w:tc>
        <w:tc>
          <w:tcPr>
            <w:tcW w:w="750" w:type="pct"/>
          </w:tcPr>
          <w:p>
            <w:pPr>
              <w:jc w:val="both"/>
              <w:rPr>
                <w:rFonts w:eastAsiaTheme="minorEastAsia"/>
                <w:lang w:eastAsia="zh-CN"/>
              </w:rPr>
            </w:pPr>
            <w:r>
              <w:rPr>
                <w:rFonts w:eastAsiaTheme="minorEastAsia"/>
                <w:lang w:eastAsia="zh-CN"/>
              </w:rPr>
              <w:t>Not Support</w:t>
            </w:r>
          </w:p>
        </w:tc>
        <w:tc>
          <w:tcPr>
            <w:tcW w:w="3590" w:type="pct"/>
          </w:tcPr>
          <w:p>
            <w:pPr>
              <w:jc w:val="both"/>
              <w:rPr>
                <w:rFonts w:eastAsiaTheme="minorEastAsia"/>
                <w:lang w:eastAsia="zh-CN"/>
              </w:rPr>
            </w:pPr>
            <w:r>
              <w:rPr>
                <w:rFonts w:eastAsiaTheme="minorEastAsia"/>
                <w:lang w:eastAsia="zh-CN"/>
              </w:rPr>
              <w:t>It is clear when UE shall start monitoring during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 NSB</w:t>
            </w:r>
          </w:p>
        </w:tc>
        <w:tc>
          <w:tcPr>
            <w:tcW w:w="750" w:type="pct"/>
          </w:tcPr>
          <w:p>
            <w:pPr>
              <w:rPr>
                <w:rFonts w:eastAsia="MS Mincho"/>
                <w:lang w:eastAsia="ja-JP"/>
              </w:rPr>
            </w:pPr>
            <w:r>
              <w:rPr>
                <w:rFonts w:eastAsia="MS Mincho"/>
                <w:lang w:eastAsia="ja-JP"/>
              </w:rPr>
              <w:t>Support</w:t>
            </w:r>
          </w:p>
        </w:tc>
        <w:tc>
          <w:tcPr>
            <w:tcW w:w="3590" w:type="pct"/>
          </w:tcPr>
          <w:p>
            <w:pPr>
              <w:rPr>
                <w:rFonts w:eastAsiaTheme="minorEastAsia"/>
                <w:lang w:eastAsia="zh-CN"/>
              </w:rPr>
            </w:pPr>
            <w:r>
              <w:rPr>
                <w:rFonts w:eastAsiaTheme="minorEastAsia"/>
                <w:lang w:eastAsia="zh-CN"/>
              </w:rPr>
              <w:t>To clarify to Nordic, it is not clear as 36.213 only mention “</w:t>
            </w:r>
            <w:r>
              <w:t>the UE is not required to monitor MPDCCH within the GNSS measurement gap duration</w:t>
            </w:r>
            <w:r>
              <w:rPr>
                <w:rFonts w:eastAsiaTheme="minorEastAsia"/>
                <w:lang w:eastAsia="zh-CN"/>
              </w:rPr>
              <w:t>” and not mention when during the CBRA UE begin to monitor PDCCH.</w:t>
            </w:r>
          </w:p>
          <w:p>
            <w:pPr>
              <w:rPr>
                <w:rFonts w:eastAsiaTheme="minorEastAsia"/>
                <w:lang w:eastAsia="zh-CN"/>
              </w:rPr>
            </w:pPr>
            <w:r>
              <w:rPr>
                <w:rFonts w:eastAsiaTheme="minorEastAsia"/>
                <w:lang w:eastAsia="zh-CN"/>
              </w:rPr>
              <w:t>There is no definition on when UE starts monitoring PDCCH within the GNSSS measurement gap but there is definition that UE should not do UL and DL during the GNSS measurement gap.</w:t>
            </w:r>
          </w:p>
          <w:p>
            <w:pPr>
              <w:rPr>
                <w:rFonts w:eastAsiaTheme="minorEastAsia"/>
                <w:lang w:eastAsia="zh-CN"/>
              </w:rPr>
            </w:pPr>
            <w:r>
              <w:rPr>
                <w:rFonts w:eastAsiaTheme="minorEastAsia"/>
                <w:lang w:eastAsia="zh-CN"/>
              </w:rPr>
              <w:t>Based on current spec, eNB will assume UE can not detect PDCCH during the GNS measurement gap and the PDCCH have to be delayed.</w:t>
            </w:r>
          </w:p>
          <w:p>
            <w:pPr>
              <w:rPr>
                <w:rFonts w:eastAsiaTheme="minorEastAsia"/>
                <w:lang w:eastAsia="zh-CN"/>
              </w:rPr>
            </w:pPr>
          </w:p>
          <w:p>
            <w:pPr>
              <w:rPr>
                <w:rFonts w:eastAsiaTheme="minorEastAsia"/>
                <w:lang w:eastAsia="zh-CN"/>
              </w:rPr>
            </w:pPr>
            <w:r>
              <w:rPr>
                <w:rFonts w:eastAsiaTheme="minorEastAsia"/>
                <w:lang w:eastAsia="zh-CN"/>
              </w:rPr>
              <w:t>Thus modification to RAN1 spec is needed, as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algun Gothic"/>
                <w:bCs/>
                <w:lang w:eastAsia="ko-KR"/>
              </w:rPr>
            </w:pPr>
            <w:r>
              <w:rPr>
                <w:rFonts w:hint="eastAsia" w:eastAsia="MS Mincho"/>
                <w:lang w:eastAsia="ja-JP"/>
              </w:rPr>
              <w:t>Lenovo</w:t>
            </w:r>
          </w:p>
        </w:tc>
        <w:tc>
          <w:tcPr>
            <w:tcW w:w="750" w:type="pct"/>
          </w:tcPr>
          <w:p>
            <w:pPr>
              <w:rPr>
                <w:rFonts w:eastAsia="Malgun Gothic"/>
                <w:lang w:eastAsia="ko-KR"/>
              </w:rPr>
            </w:pPr>
          </w:p>
        </w:tc>
        <w:tc>
          <w:tcPr>
            <w:tcW w:w="3590" w:type="pct"/>
          </w:tcPr>
          <w:p>
            <w:pPr>
              <w:rPr>
                <w:rFonts w:eastAsia="MS Mincho"/>
                <w:lang w:eastAsia="ja-JP"/>
              </w:rPr>
            </w:pPr>
            <w:r>
              <w:rPr>
                <w:rFonts w:eastAsia="MS Mincho"/>
                <w:lang w:eastAsia="ja-JP"/>
              </w:rPr>
              <w:t>I think the current 36.213 only specifies the general behavior of the GNSS, the detail NPDCCH monitoring time should follow the legacy CBRA (RAR window (e.g.,+4ms) + NPDCCH search space configuration (</w:t>
            </w:r>
            <w:r>
              <w:t xml:space="preserve">subframe </w:t>
            </w:r>
            <w:r>
              <w:rPr>
                <w:position w:val="-6"/>
              </w:rPr>
              <w:object>
                <v:shape id="_x0000_i1025" o:spt="75" type="#_x0000_t75" style="height:14.7pt;width:14.1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 xml:space="preserve"> is a subframe satisfying the condition </w:t>
            </w:r>
            <w:r>
              <w:rPr>
                <w:position w:val="-16"/>
              </w:rPr>
              <w:object>
                <v:shape id="_x0000_i1026" o:spt="75" type="#_x0000_t75" style="height:21.9pt;width:151.8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MS Mincho"/>
                <w:lang w:eastAsia="ja-JP"/>
              </w:rPr>
              <w:t>)). So I think the current spec is clear.</w:t>
            </w:r>
          </w:p>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S Mincho"/>
                <w:bCs/>
                <w:lang w:eastAsia="ja-JP"/>
              </w:rPr>
              <w:t>MediaTek</w:t>
            </w:r>
          </w:p>
        </w:tc>
        <w:tc>
          <w:tcPr>
            <w:tcW w:w="750" w:type="pct"/>
          </w:tcPr>
          <w:p>
            <w:pPr>
              <w:rPr>
                <w:rFonts w:eastAsiaTheme="minorEastAsia"/>
                <w:lang w:eastAsia="zh-CN"/>
              </w:rPr>
            </w:pPr>
            <w:r>
              <w:rPr>
                <w:rFonts w:eastAsiaTheme="minorEastAsia"/>
                <w:lang w:eastAsia="zh-CN"/>
              </w:rPr>
              <w:t>Not support</w:t>
            </w:r>
          </w:p>
        </w:tc>
        <w:tc>
          <w:tcPr>
            <w:tcW w:w="3590" w:type="pct"/>
          </w:tcPr>
          <w:p>
            <w:pPr>
              <w:rPr>
                <w:rFonts w:eastAsia="MS Mincho"/>
                <w:lang w:eastAsia="ja-JP"/>
              </w:rPr>
            </w:pPr>
            <w:r>
              <w:rPr>
                <w:rFonts w:eastAsia="MS Mincho"/>
                <w:lang w:eastAsia="ja-JP"/>
              </w:rPr>
              <w:t>We think this CR is not needed for CBRA. TS 36.321 defines the start time of Random Access Response (RAR)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algun Gothic"/>
                <w:bCs/>
                <w:lang w:eastAsia="ko-KR"/>
              </w:rPr>
              <w:t>Ericsson</w:t>
            </w:r>
          </w:p>
        </w:tc>
        <w:tc>
          <w:tcPr>
            <w:tcW w:w="750" w:type="pct"/>
          </w:tcPr>
          <w:p>
            <w:pPr>
              <w:rPr>
                <w:rFonts w:eastAsia="MS Mincho"/>
                <w:lang w:eastAsia="ja-JP"/>
              </w:rPr>
            </w:pPr>
            <w:r>
              <w:rPr>
                <w:rFonts w:eastAsia="Malgun Gothic"/>
                <w:lang w:eastAsia="ko-KR"/>
              </w:rPr>
              <w:t>Support</w:t>
            </w:r>
          </w:p>
        </w:tc>
        <w:tc>
          <w:tcPr>
            <w:tcW w:w="3590" w:type="pct"/>
          </w:tcPr>
          <w:p>
            <w:r>
              <w:t>We are fine with the intention but propose a different wording to improve the readability:</w:t>
            </w:r>
          </w:p>
          <w:p/>
          <w:p>
            <w:pPr>
              <w:ind w:left="284"/>
            </w:pPr>
            <w:r>
              <w:t xml:space="preserve">For a NB-IoT UE in a NTN FDD serving cell, the UE is not required to monitor NPDCCH within the GNSS measurement gap duration, until it reacquires GNSS position and </w:t>
            </w:r>
            <w:ins w:id="4" w:author="Stefan Eriksson G" w:date="2024-05-21T17:17:00Z">
              <w:r>
                <w:rPr/>
                <w:t xml:space="preserve">the Random Access Response window </w:t>
              </w:r>
            </w:ins>
            <w:ins w:id="5" w:author="Stefan Eriksson G" w:date="2024-05-21T17:18:00Z">
              <w:r>
                <w:rPr/>
                <w:t>of</w:t>
              </w:r>
            </w:ins>
            <w:ins w:id="6" w:author="Stefan Eriksson G" w:date="2024-05-21T17:17:00Z">
              <w:r>
                <w:rPr/>
                <w:t xml:space="preserve"> </w:t>
              </w:r>
            </w:ins>
            <w:r>
              <w:t xml:space="preserve">a contention based Random Access </w:t>
            </w:r>
            <w:del w:id="7" w:author="Stefan Eriksson G" w:date="2024-05-21T17:17:00Z">
              <w:r>
                <w:rPr/>
                <w:delText>is performed</w:delText>
              </w:r>
            </w:del>
            <w:ins w:id="8" w:author="Stefan Eriksson G" w:date="2024-05-21T17:17:00Z">
              <w:r>
                <w:rPr/>
                <w:t>starts</w:t>
              </w:r>
            </w:ins>
            <w:r>
              <w:t xml:space="preserve"> as specified in TS 36.321 [8].</w:t>
            </w:r>
          </w:p>
          <w:p/>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hint="default" w:eastAsiaTheme="minorEastAsia"/>
                <w:bCs/>
                <w:lang w:val="en-US" w:eastAsia="zh-CN"/>
              </w:rPr>
            </w:pPr>
            <w:r>
              <w:rPr>
                <w:rFonts w:hint="eastAsia" w:eastAsiaTheme="minorEastAsia"/>
                <w:bCs/>
                <w:lang w:val="en-US" w:eastAsia="zh-CN"/>
              </w:rPr>
              <w:t>ZTE</w:t>
            </w:r>
          </w:p>
        </w:tc>
        <w:tc>
          <w:tcPr>
            <w:tcW w:w="750" w:type="pct"/>
          </w:tcPr>
          <w:p>
            <w:pPr>
              <w:rPr>
                <w:rFonts w:hint="default" w:eastAsiaTheme="minorEastAsia"/>
                <w:lang w:val="en-US" w:eastAsia="zh-CN"/>
              </w:rPr>
            </w:pPr>
            <w:r>
              <w:rPr>
                <w:rFonts w:hint="eastAsia" w:eastAsiaTheme="minorEastAsia"/>
                <w:lang w:val="en-US" w:eastAsia="zh-CN"/>
              </w:rPr>
              <w:t>Not support</w:t>
            </w:r>
          </w:p>
        </w:tc>
        <w:tc>
          <w:tcPr>
            <w:tcW w:w="3590" w:type="pct"/>
          </w:tcPr>
          <w:p>
            <w:pPr>
              <w:rPr>
                <w:rFonts w:hint="default" w:eastAsiaTheme="minorEastAsia"/>
                <w:lang w:val="en-US" w:eastAsia="zh-CN"/>
              </w:rPr>
            </w:pPr>
            <w:r>
              <w:rPr>
                <w:rFonts w:hint="eastAsia" w:eastAsiaTheme="minorEastAsia"/>
                <w:lang w:val="en-US" w:eastAsia="zh-CN"/>
              </w:rPr>
              <w:t>UE can just follow the general NPDCCH monitoring behaviors in CBRA. No need of additional CR dedicated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50" w:type="pct"/>
          </w:tcPr>
          <w:p>
            <w:pPr>
              <w:rPr>
                <w:rFonts w:eastAsiaTheme="minorEastAsia"/>
                <w:lang w:eastAsia="zh-CN"/>
              </w:rPr>
            </w:pPr>
          </w:p>
        </w:tc>
        <w:tc>
          <w:tcPr>
            <w:tcW w:w="3590" w:type="pct"/>
          </w:tcPr>
          <w:p>
            <w:pPr>
              <w:rPr>
                <w:rFonts w:eastAsiaTheme="minorEastAsia"/>
                <w:lang w:eastAsia="zh-CN"/>
              </w:rPr>
            </w:pPr>
          </w:p>
        </w:tc>
      </w:tr>
    </w:tbl>
    <w:p/>
    <w:p>
      <w:pPr>
        <w:rPr>
          <w:b/>
          <w:bCs/>
          <w:lang w:val="en-GB"/>
        </w:rPr>
      </w:pPr>
      <w:r>
        <w:rPr>
          <w:b/>
          <w:bCs/>
          <w:highlight w:val="yellow"/>
          <w:lang w:val="en-GB"/>
        </w:rPr>
        <w:t>Initial proposed 1-2:</w:t>
      </w:r>
    </w:p>
    <w:p>
      <w:pPr>
        <w:rPr>
          <w:b/>
          <w:bCs/>
          <w:lang w:val="en-GB"/>
        </w:rPr>
      </w:pPr>
      <w:r>
        <w:rPr>
          <w:b/>
          <w:bCs/>
          <w:lang w:val="en-GB"/>
        </w:rPr>
        <w:t>The draft TP#2 for TS 36.213 in is considered technically correct and should be adopted.</w:t>
      </w:r>
    </w:p>
    <w:tbl>
      <w:tblPr>
        <w:tblStyle w:val="54"/>
        <w:tblW w:w="4635"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370"/>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tcPr>
          <w:p>
            <w:pPr>
              <w:rPr>
                <w:rFonts w:eastAsiaTheme="minorEastAsia"/>
                <w:bCs/>
                <w:lang w:eastAsia="zh-CN"/>
              </w:rPr>
            </w:pPr>
            <w:r>
              <w:rPr>
                <w:rFonts w:eastAsiaTheme="minorEastAsia"/>
                <w:bCs/>
                <w:lang w:eastAsia="zh-CN"/>
              </w:rPr>
              <w:t xml:space="preserve">Nordic </w:t>
            </w:r>
          </w:p>
        </w:tc>
        <w:tc>
          <w:tcPr>
            <w:tcW w:w="749" w:type="pct"/>
          </w:tcPr>
          <w:p>
            <w:pPr>
              <w:jc w:val="both"/>
              <w:rPr>
                <w:rFonts w:eastAsiaTheme="minorEastAsia"/>
                <w:lang w:eastAsia="zh-CN"/>
              </w:rPr>
            </w:pPr>
            <w:r>
              <w:rPr>
                <w:rFonts w:eastAsiaTheme="minorEastAsia"/>
                <w:lang w:eastAsia="zh-CN"/>
              </w:rPr>
              <w:t>Not Support</w:t>
            </w:r>
          </w:p>
        </w:tc>
        <w:tc>
          <w:tcPr>
            <w:tcW w:w="3590" w:type="pct"/>
          </w:tcPr>
          <w:p>
            <w:pPr>
              <w:jc w:val="both"/>
              <w:rPr>
                <w:rFonts w:eastAsiaTheme="minorEastAsia"/>
                <w:lang w:eastAsia="zh-CN"/>
              </w:rPr>
            </w:pPr>
            <w:r>
              <w:rPr>
                <w:rFonts w:eastAsiaTheme="minorEastAsia"/>
                <w:lang w:eastAsia="zh-CN"/>
              </w:rPr>
              <w:t>It is clear when UE shall start monitoring during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 NSB</w:t>
            </w:r>
          </w:p>
        </w:tc>
        <w:tc>
          <w:tcPr>
            <w:tcW w:w="749" w:type="pct"/>
          </w:tcPr>
          <w:p>
            <w:pPr>
              <w:rPr>
                <w:rFonts w:eastAsia="MS Mincho"/>
                <w:lang w:eastAsia="ja-JP"/>
              </w:rPr>
            </w:pPr>
            <w:r>
              <w:rPr>
                <w:rFonts w:eastAsia="MS Mincho"/>
                <w:lang w:eastAsia="ja-JP"/>
              </w:rPr>
              <w:t>Support</w:t>
            </w:r>
          </w:p>
        </w:tc>
        <w:tc>
          <w:tcPr>
            <w:tcW w:w="3590" w:type="pct"/>
          </w:tcPr>
          <w:p>
            <w:pPr>
              <w:rPr>
                <w:rFonts w:eastAsiaTheme="minorEastAsia"/>
                <w:lang w:eastAsia="zh-CN"/>
              </w:rPr>
            </w:pPr>
            <w:r>
              <w:rPr>
                <w:rFonts w:eastAsiaTheme="minorEastAsia"/>
                <w:lang w:eastAsia="zh-CN"/>
              </w:rPr>
              <w:t>To clarify to Nordic, it is not clear as 36.213 only mention “</w:t>
            </w:r>
            <w:r>
              <w:t>the UE is not required to monitor MPDCCH within the GNSS measurement gap duration</w:t>
            </w:r>
            <w:r>
              <w:rPr>
                <w:rFonts w:eastAsiaTheme="minorEastAsia"/>
                <w:lang w:eastAsia="zh-CN"/>
              </w:rPr>
              <w:t>” and not mention when during the CBRA UE begin to monitor PDCCH.</w:t>
            </w:r>
          </w:p>
          <w:p>
            <w:pPr>
              <w:rPr>
                <w:rFonts w:eastAsiaTheme="minorEastAsia"/>
                <w:lang w:eastAsia="zh-CN"/>
              </w:rPr>
            </w:pPr>
            <w:r>
              <w:rPr>
                <w:rFonts w:eastAsiaTheme="minorEastAsia"/>
                <w:lang w:eastAsia="zh-CN"/>
              </w:rPr>
              <w:t>There is no definition on when UE starts monitoring PDCCH within the GNSSS measurement gap but there is definition that UE should not do UL and DL during the GNSS measurement gap.</w:t>
            </w:r>
          </w:p>
          <w:p>
            <w:pPr>
              <w:rPr>
                <w:rFonts w:eastAsiaTheme="minorEastAsia"/>
                <w:lang w:eastAsia="zh-CN"/>
              </w:rPr>
            </w:pPr>
            <w:r>
              <w:rPr>
                <w:rFonts w:eastAsiaTheme="minorEastAsia"/>
                <w:lang w:eastAsia="zh-CN"/>
              </w:rPr>
              <w:t>Based on current spec, eNB will assume UE can not detect PDCCH during the GNS measurement gap and the PDCCH have to be delayed.</w:t>
            </w:r>
          </w:p>
          <w:p>
            <w:pPr>
              <w:rPr>
                <w:rFonts w:eastAsiaTheme="minorEastAsia"/>
                <w:lang w:eastAsia="zh-CN"/>
              </w:rPr>
            </w:pPr>
          </w:p>
          <w:p>
            <w:pPr>
              <w:rPr>
                <w:rFonts w:eastAsiaTheme="minorEastAsia"/>
                <w:lang w:eastAsia="zh-CN"/>
              </w:rPr>
            </w:pPr>
            <w:r>
              <w:rPr>
                <w:rFonts w:eastAsiaTheme="minorEastAsia"/>
                <w:lang w:eastAsia="zh-CN"/>
              </w:rPr>
              <w:t>Thus modification to RAN1 spec is needed, as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tcPr>
          <w:p>
            <w:pPr>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749" w:type="pct"/>
          </w:tcPr>
          <w:p>
            <w:pPr>
              <w:rPr>
                <w:rFonts w:eastAsia="Malgun Gothic"/>
                <w:lang w:eastAsia="ko-KR"/>
              </w:rPr>
            </w:pPr>
          </w:p>
        </w:tc>
        <w:tc>
          <w:tcPr>
            <w:tcW w:w="3590" w:type="pct"/>
          </w:tcPr>
          <w:p>
            <w:pPr>
              <w:rPr>
                <w:rFonts w:eastAsiaTheme="minorEastAsia"/>
                <w:lang w:eastAsia="zh-CN"/>
              </w:rPr>
            </w:pPr>
            <w:r>
              <w:rPr>
                <w:rFonts w:eastAsiaTheme="minorEastAsia"/>
                <w:lang w:eastAsia="zh-CN"/>
              </w:rPr>
              <w:t>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S Mincho"/>
                <w:bCs/>
                <w:lang w:eastAsia="ja-JP"/>
              </w:rPr>
              <w:t>MediaTek</w:t>
            </w:r>
          </w:p>
        </w:tc>
        <w:tc>
          <w:tcPr>
            <w:tcW w:w="749" w:type="pct"/>
          </w:tcPr>
          <w:p>
            <w:pPr>
              <w:rPr>
                <w:rFonts w:eastAsiaTheme="minorEastAsia"/>
                <w:lang w:eastAsia="zh-CN"/>
              </w:rPr>
            </w:pPr>
            <w:r>
              <w:rPr>
                <w:rFonts w:eastAsiaTheme="minorEastAsia"/>
                <w:lang w:eastAsia="zh-CN"/>
              </w:rPr>
              <w:t>Not support</w:t>
            </w:r>
          </w:p>
        </w:tc>
        <w:tc>
          <w:tcPr>
            <w:tcW w:w="3590" w:type="pct"/>
          </w:tcPr>
          <w:p>
            <w:pPr>
              <w:rPr>
                <w:rFonts w:eastAsia="MS Mincho"/>
                <w:lang w:eastAsia="ja-JP"/>
              </w:rPr>
            </w:pPr>
            <w:r>
              <w:rPr>
                <w:rFonts w:eastAsia="MS Mincho"/>
                <w:lang w:eastAsia="ja-JP"/>
              </w:rPr>
              <w:t>Same comment as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pct"/>
          </w:tcPr>
          <w:p>
            <w:pPr>
              <w:rPr>
                <w:rFonts w:eastAsia="MS Mincho"/>
                <w:bCs/>
                <w:lang w:eastAsia="ja-JP"/>
              </w:rPr>
            </w:pPr>
            <w:r>
              <w:rPr>
                <w:rFonts w:eastAsia="Malgun Gothic"/>
                <w:bCs/>
                <w:lang w:eastAsia="ko-KR"/>
              </w:rPr>
              <w:t>Ericsson</w:t>
            </w:r>
          </w:p>
        </w:tc>
        <w:tc>
          <w:tcPr>
            <w:tcW w:w="749" w:type="pct"/>
          </w:tcPr>
          <w:p>
            <w:pPr>
              <w:rPr>
                <w:rFonts w:eastAsia="MS Mincho"/>
                <w:lang w:eastAsia="ja-JP"/>
              </w:rPr>
            </w:pPr>
            <w:r>
              <w:rPr>
                <w:rFonts w:eastAsia="Malgun Gothic"/>
                <w:lang w:eastAsia="ko-KR"/>
              </w:rPr>
              <w:t>Support</w:t>
            </w:r>
          </w:p>
        </w:tc>
        <w:tc>
          <w:tcPr>
            <w:tcW w:w="3590" w:type="pct"/>
          </w:tcPr>
          <w:p>
            <w:r>
              <w:t>We are fine with the intention but propose a different wording to improve the readability:</w:t>
            </w:r>
          </w:p>
          <w:p/>
          <w:p>
            <w:pPr>
              <w:ind w:left="284"/>
            </w:pPr>
            <w:r>
              <w:t xml:space="preserve">For a BL/CE UE in a NTN FDD serving cell, the UE is not required to monitor MPDCCH within the GNSS measurement gap duration, until it reacquires GNSS position and </w:t>
            </w:r>
            <w:ins w:id="9" w:author="Stefan Eriksson G" w:date="2024-05-21T17:17:00Z">
              <w:r>
                <w:rPr/>
                <w:t xml:space="preserve">the Random Access Response window </w:t>
              </w:r>
            </w:ins>
            <w:ins w:id="10" w:author="Stefan Eriksson G" w:date="2024-05-21T17:18:00Z">
              <w:r>
                <w:rPr/>
                <w:t>of</w:t>
              </w:r>
            </w:ins>
            <w:ins w:id="11" w:author="Stefan Eriksson G" w:date="2024-05-21T17:17:00Z">
              <w:r>
                <w:rPr/>
                <w:t xml:space="preserve"> </w:t>
              </w:r>
            </w:ins>
            <w:r>
              <w:t xml:space="preserve">a contention based Random Access </w:t>
            </w:r>
            <w:del w:id="12" w:author="Stefan Eriksson G" w:date="2024-05-21T17:17:00Z">
              <w:r>
                <w:rPr/>
                <w:delText>is performed</w:delText>
              </w:r>
            </w:del>
            <w:ins w:id="13" w:author="Stefan Eriksson G" w:date="2024-05-21T17:17:00Z">
              <w:r>
                <w:rPr/>
                <w:t>starts</w:t>
              </w:r>
            </w:ins>
            <w:r>
              <w:t xml:space="preserve"> as specified in TS 36.321 [8].</w:t>
            </w:r>
          </w:p>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top"/>
          </w:tcPr>
          <w:p>
            <w:pPr>
              <w:rPr>
                <w:rFonts w:hint="default" w:ascii="Times New Roman" w:hAnsi="Times New Roman" w:cs="Times New Roman" w:eastAsiaTheme="minorEastAsia"/>
                <w:bCs/>
                <w:szCs w:val="24"/>
                <w:lang w:val="en-US" w:eastAsia="zh-CN" w:bidi="ar-SA"/>
              </w:rPr>
            </w:pPr>
            <w:r>
              <w:rPr>
                <w:rFonts w:hint="eastAsia" w:eastAsiaTheme="minorEastAsia"/>
                <w:bCs/>
                <w:lang w:val="en-US" w:eastAsia="zh-CN"/>
              </w:rPr>
              <w:t>ZTE</w:t>
            </w:r>
          </w:p>
        </w:tc>
        <w:tc>
          <w:tcPr>
            <w:tcW w:w="749"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Not support</w:t>
            </w:r>
          </w:p>
        </w:tc>
        <w:tc>
          <w:tcPr>
            <w:tcW w:w="3590"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UE can just follow the general NPDCCH monitoring behaviors in CBRA. No need of additional CR dedicated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bl>
    <w:p/>
    <w:p/>
    <w:p>
      <w:pPr>
        <w:pStyle w:val="4"/>
      </w:pPr>
      <w:r>
        <w:t>Clarification on Timing Advance after successful GNSS measurement</w:t>
      </w:r>
    </w:p>
    <w:p>
      <w:r>
        <w:t>In RAN1, there were discussion on timing advance after successful GNSS measurement while with no final consensus.</w:t>
      </w:r>
    </w:p>
    <w:p/>
    <w:p>
      <w:r>
        <w:t>The issue is summarized as following: After a successful GNSS measurement, UE will have a valid GNSS position and therefore it can determine the UE specific component of the TA (N_TA,adj_UE), which is based on the UE location and the satellite ephemeris. However, it is unclear whether the UE shall reset the N_TA in the N_TA+N_TA,offset+N_TA,adj_common+N_TA,adj_UE definition in TS 36.211 to work along with the new N_TA,adj_UE based on new GNSS measurement.</w:t>
      </w:r>
    </w:p>
    <w:p>
      <w:r>
        <w:t xml:space="preserve">The N_TA is updated based on the UE receiving Timing Advance Commands (TACs) from the network and this could e.g. occur if </w:t>
      </w:r>
    </w:p>
    <w:p>
      <w:pPr>
        <w:pStyle w:val="115"/>
        <w:widowControl w:val="0"/>
        <w:numPr>
          <w:ilvl w:val="0"/>
          <w:numId w:val="16"/>
        </w:numPr>
        <w:contextualSpacing/>
        <w:jc w:val="both"/>
        <w:rPr>
          <w:szCs w:val="20"/>
        </w:rPr>
      </w:pPr>
      <w:r>
        <w:rPr>
          <w:szCs w:val="20"/>
        </w:rPr>
        <w:t>The UE position is incorrect due to the UE moving in between performing GNSS measurement</w:t>
      </w:r>
    </w:p>
    <w:p>
      <w:pPr>
        <w:pStyle w:val="115"/>
        <w:widowControl w:val="0"/>
        <w:numPr>
          <w:ilvl w:val="0"/>
          <w:numId w:val="16"/>
        </w:numPr>
        <w:contextualSpacing/>
        <w:jc w:val="both"/>
        <w:rPr>
          <w:szCs w:val="20"/>
        </w:rPr>
      </w:pPr>
      <w:r>
        <w:rPr>
          <w:szCs w:val="20"/>
        </w:rPr>
        <w:t>The UE position is inaccurate, e.g. due to the UE being indoor/shadowed</w:t>
      </w:r>
    </w:p>
    <w:p>
      <w:pPr>
        <w:pStyle w:val="115"/>
        <w:widowControl w:val="0"/>
        <w:numPr>
          <w:ilvl w:val="0"/>
          <w:numId w:val="16"/>
        </w:numPr>
        <w:contextualSpacing/>
        <w:jc w:val="both"/>
        <w:rPr>
          <w:szCs w:val="20"/>
        </w:rPr>
      </w:pPr>
      <w:r>
        <w:rPr>
          <w:szCs w:val="20"/>
        </w:rPr>
        <w:t>The UE is using satellite assistance information (ephemeris and common TA) which is inaccurate or outdated</w:t>
      </w:r>
    </w:p>
    <w:p>
      <w:r>
        <w:t>Thus the TACs may address issues concerning the N_TA,adj_common and the N_TA,adj_UE, but it is not possible to identify which one.</w:t>
      </w:r>
    </w:p>
    <w:p/>
    <w:p>
      <w:r>
        <w:t>Based on moderator’s view, anyway, UE behavior should be defined clearly on TA to be utilized, to provide UL synchronization and avoid UL interference that may cause performance degradation in IoT NTN system.</w:t>
      </w:r>
    </w:p>
    <w:p/>
    <w:p>
      <w:r>
        <w:t>If the UE transmits on PUSCH resources after performing a GNSS measurement the N_TA value may be incorrect and cause uplink interference, especially when with long repetition for IoT NTN UE. The network can respond with TACs, but the range of TAC is limited and it may therefore be difficult for the network to adjust for a large TA error and it would also incur large signaling overhead. This is the issue to be avoided.</w:t>
      </w:r>
    </w:p>
    <w:p/>
    <w:p>
      <w:r>
        <w:t xml:space="preserve">Based on moderator’s view, as proposed in [4], one simple correct way is to require the UE always performs the Random Access procedure to obtain a new N_TA i.e. the UE sets the N_TA to 0. This is advantageous because the network can set a large TA correction in the Random Access Response message. </w:t>
      </w:r>
    </w:p>
    <w:p>
      <w:pPr>
        <w:rPr>
          <w:b/>
          <w:bCs/>
        </w:rPr>
      </w:pPr>
    </w:p>
    <w:p>
      <w:r>
        <w:t>The following TPs are proposed in [4] for NB-IoT and eMTC separately.</w:t>
      </w:r>
    </w:p>
    <w:p>
      <w:pPr>
        <w:rPr>
          <w:b/>
          <w:lang w:val="en-GB"/>
        </w:rPr>
      </w:pPr>
      <w:r>
        <w:rPr>
          <w:b/>
          <w:lang w:val="en-GB"/>
        </w:rPr>
        <w:t>TP#3 for 36.213 Clause 16.10</w:t>
      </w:r>
    </w:p>
    <w:p>
      <w:pPr>
        <w:rPr>
          <w:i/>
          <w:lang w:val="en-GB"/>
        </w:rPr>
      </w:pPr>
      <w:r>
        <w:rPr>
          <w:b/>
          <w:i/>
          <w:lang w:val="en-GB"/>
        </w:rPr>
        <w:t xml:space="preserve">Reason for change: </w:t>
      </w:r>
      <w:r>
        <w:rPr>
          <w:i/>
          <w:lang w:val="en-GB"/>
        </w:rPr>
        <w:t>after NB-IoT UE reacquired new GNSS position within the GNSS measurement gap, it is not defined how to set NTA when performing CBRA.</w:t>
      </w:r>
    </w:p>
    <w:p>
      <w:pPr>
        <w:rPr>
          <w:i/>
        </w:rPr>
      </w:pPr>
      <w:r>
        <w:rPr>
          <w:b/>
          <w:i/>
        </w:rPr>
        <w:t xml:space="preserve">Summary of change: </w:t>
      </w:r>
      <w:r>
        <w:rPr>
          <w:i/>
          <w:lang w:val="en-GB"/>
        </w:rPr>
        <w:t>after NB-IoT UE reacquired new GNSS position within the GNSS measurement gap, UE set NTA to 0 when performing CBRA.</w:t>
      </w:r>
    </w:p>
    <w:p>
      <w:pPr>
        <w:rPr>
          <w:i/>
          <w:lang w:val="en-GB"/>
        </w:rPr>
      </w:pPr>
      <w:r>
        <w:rPr>
          <w:b/>
          <w:i/>
          <w:lang w:val="en-GB"/>
        </w:rPr>
        <w:t xml:space="preserve">Consequences if not approved: </w:t>
      </w:r>
      <w:r>
        <w:rPr>
          <w:i/>
          <w:lang w:val="en-GB"/>
        </w:rPr>
        <w:t xml:space="preserve">after NB-IoT UE reacquired new GNSS position within the GNSS measurement gap, wrong NTA will cause UL interference and request more TAC from eNB. </w:t>
      </w:r>
    </w:p>
    <w:p>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Start of Text proposal -------------------------------</w:t>
      </w:r>
    </w:p>
    <w:p>
      <w:r>
        <w:t>For a NB-IoT UE in a NTN FDD serving cell, the UE is not required to monitor NPDCCH within the GNSS measurement gap duration, until it reacquires GNSS position and a contention based Random Access</w:t>
      </w:r>
      <w:ins w:id="14" w:author="Jingyuan Sun (NSB)" w:date="2024-05-10T23:52:00Z">
        <w:r>
          <w:rPr/>
          <w:t xml:space="preserve"> with N</w:t>
        </w:r>
      </w:ins>
      <w:ins w:id="15" w:author="Jingyuan Sun (NSB)" w:date="2024-05-10T23:52:00Z">
        <w:r>
          <w:rPr>
            <w:vertAlign w:val="subscript"/>
          </w:rPr>
          <w:t>TA</w:t>
        </w:r>
      </w:ins>
      <w:ins w:id="16" w:author="Jingyuan Sun (NSB)" w:date="2024-05-10T23:52:00Z">
        <w:r>
          <w:rPr/>
          <w:t xml:space="preserve"> =0</w:t>
        </w:r>
      </w:ins>
      <w:r>
        <w:t xml:space="preserve"> is performed as specified in TS 36.321 [8].</w:t>
      </w:r>
    </w:p>
    <w:p>
      <w:pPr>
        <w:overflowPunct w:val="0"/>
        <w:autoSpaceDE w:val="0"/>
        <w:autoSpaceDN w:val="0"/>
        <w:adjustRightInd w:val="0"/>
        <w:spacing w:after="36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End of Text proposal -------------------------------</w:t>
      </w:r>
    </w:p>
    <w:p>
      <w:pPr>
        <w:rPr>
          <w:b/>
          <w:lang w:val="en-GB"/>
        </w:rPr>
      </w:pPr>
      <w:r>
        <w:rPr>
          <w:b/>
          <w:lang w:val="en-GB"/>
        </w:rPr>
        <w:t>TP#4 for 36.213 Clause 18</w:t>
      </w:r>
    </w:p>
    <w:p>
      <w:pPr>
        <w:rPr>
          <w:i/>
          <w:lang w:val="en-GB"/>
        </w:rPr>
      </w:pPr>
      <w:r>
        <w:rPr>
          <w:b/>
          <w:i/>
          <w:lang w:val="en-GB"/>
        </w:rPr>
        <w:t xml:space="preserve">Reason for change: </w:t>
      </w:r>
      <w:r>
        <w:rPr>
          <w:i/>
          <w:lang w:val="en-GB"/>
        </w:rPr>
        <w:t>after eMTC UE reacquired new GNSS position within the GNSS measurement gap, it is not defined how to set NTA when performing CBRA.</w:t>
      </w:r>
    </w:p>
    <w:p>
      <w:pPr>
        <w:rPr>
          <w:i/>
        </w:rPr>
      </w:pPr>
      <w:r>
        <w:rPr>
          <w:b/>
          <w:i/>
        </w:rPr>
        <w:t xml:space="preserve">Summary of change: </w:t>
      </w:r>
      <w:r>
        <w:rPr>
          <w:i/>
          <w:lang w:val="en-GB"/>
        </w:rPr>
        <w:t>after eMTC UE reacquired new GNSS position within the GNSS measurement gap, UE set NTA to 0 when performing CBRA.</w:t>
      </w:r>
    </w:p>
    <w:p>
      <w:pPr>
        <w:rPr>
          <w:i/>
          <w:lang w:val="en-GB"/>
        </w:rPr>
      </w:pPr>
      <w:r>
        <w:rPr>
          <w:b/>
          <w:i/>
          <w:lang w:val="en-GB"/>
        </w:rPr>
        <w:t xml:space="preserve">Consequences if not approved: </w:t>
      </w:r>
      <w:r>
        <w:rPr>
          <w:i/>
          <w:lang w:val="en-GB"/>
        </w:rPr>
        <w:t xml:space="preserve">after eMTC UE reacquired new GNSS position within the GNSS measurement gap, wrong NTA will cause UL interference and request more TAC from eNB.  </w:t>
      </w:r>
    </w:p>
    <w:p>
      <w:pPr>
        <w:overflowPunct w:val="0"/>
        <w:autoSpaceDE w:val="0"/>
        <w:autoSpaceDN w:val="0"/>
        <w:adjustRightInd w:val="0"/>
        <w:spacing w:before="120" w:after="18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Start of Text proposal -------------------------------</w:t>
      </w:r>
    </w:p>
    <w:p>
      <w:pPr>
        <w:overflowPunct w:val="0"/>
        <w:autoSpaceDE w:val="0"/>
        <w:autoSpaceDN w:val="0"/>
        <w:adjustRightInd w:val="0"/>
        <w:spacing w:after="180"/>
        <w:rPr>
          <w:sz w:val="22"/>
        </w:rPr>
      </w:pPr>
      <w:r>
        <w:t>For a BL/CE UE in a NTN FDD serving cell, the UE is not required to monitor MPDCCH within the GNSS measurement gap duration, until it reacquires GNSS position and a contention based Random Access</w:t>
      </w:r>
      <w:ins w:id="17" w:author="Jingyuan Sun (NSB)" w:date="2024-05-10T23:55:00Z">
        <w:r>
          <w:rPr/>
          <w:t xml:space="preserve"> with N</w:t>
        </w:r>
      </w:ins>
      <w:ins w:id="18" w:author="Jingyuan Sun (NSB)" w:date="2024-05-10T23:55:00Z">
        <w:r>
          <w:rPr>
            <w:vertAlign w:val="subscript"/>
          </w:rPr>
          <w:t>TA</w:t>
        </w:r>
      </w:ins>
      <w:ins w:id="19" w:author="Jingyuan Sun (NSB)" w:date="2024-05-10T23:55:00Z">
        <w:r>
          <w:rPr/>
          <w:t xml:space="preserve"> =0</w:t>
        </w:r>
      </w:ins>
      <w:r>
        <w:t xml:space="preserve"> is performed as specified in TS 36.321 [8].</w:t>
      </w:r>
    </w:p>
    <w:p>
      <w:pPr>
        <w:overflowPunct w:val="0"/>
        <w:autoSpaceDE w:val="0"/>
        <w:autoSpaceDN w:val="0"/>
        <w:adjustRightInd w:val="0"/>
        <w:spacing w:after="360"/>
        <w:jc w:val="center"/>
        <w:textAlignment w:val="baseline"/>
        <w:rPr>
          <w:rFonts w:eastAsia="Times New Roman"/>
          <w:color w:val="FF0000"/>
          <w:sz w:val="28"/>
          <w:szCs w:val="28"/>
          <w:lang w:val="en-GB" w:eastAsia="en-GB"/>
        </w:rPr>
      </w:pPr>
      <w:r>
        <w:rPr>
          <w:rFonts w:eastAsia="Times New Roman"/>
          <w:color w:val="FF0000"/>
          <w:sz w:val="28"/>
          <w:szCs w:val="28"/>
          <w:lang w:val="en-GB" w:eastAsia="en-GB"/>
        </w:rPr>
        <w:t>------------------------------ End of Text proposal -------------------------------</w:t>
      </w:r>
    </w:p>
    <w:p>
      <w:r>
        <w:t xml:space="preserve">Companies are encouraged to provide their view with respect to whether the draft TP is technically correct </w:t>
      </w:r>
      <w:r>
        <w:rPr>
          <w:lang w:val="en-GB"/>
        </w:rPr>
        <w:t>and should be adopted</w:t>
      </w:r>
      <w:r>
        <w:t>.</w:t>
      </w:r>
    </w:p>
    <w:p>
      <w:pPr>
        <w:rPr>
          <w:lang w:val="en-GB"/>
        </w:rPr>
      </w:pPr>
    </w:p>
    <w:p>
      <w:pPr>
        <w:rPr>
          <w:b/>
          <w:bCs/>
          <w:lang w:val="en-GB"/>
        </w:rPr>
      </w:pPr>
      <w:r>
        <w:rPr>
          <w:b/>
          <w:bCs/>
          <w:highlight w:val="yellow"/>
          <w:lang w:val="en-GB"/>
        </w:rPr>
        <w:t>Initial proposed 2-1:</w:t>
      </w:r>
    </w:p>
    <w:p>
      <w:pPr>
        <w:rPr>
          <w:b/>
          <w:bCs/>
          <w:lang w:val="en-GB"/>
        </w:rPr>
      </w:pPr>
      <w:r>
        <w:rPr>
          <w:b/>
          <w:bCs/>
          <w:lang w:val="en-GB"/>
        </w:rPr>
        <w:t>The draft TP#3 for TS 36.213 in is considered technically correct and should be adopted.</w:t>
      </w:r>
    </w:p>
    <w:tbl>
      <w:tblPr>
        <w:tblStyle w:val="54"/>
        <w:tblW w:w="4635"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370"/>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Nordic</w:t>
            </w:r>
          </w:p>
        </w:tc>
        <w:tc>
          <w:tcPr>
            <w:tcW w:w="749" w:type="pct"/>
          </w:tcPr>
          <w:p>
            <w:pPr>
              <w:jc w:val="both"/>
              <w:rPr>
                <w:rFonts w:eastAsiaTheme="minorEastAsia"/>
                <w:lang w:eastAsia="zh-CN"/>
              </w:rPr>
            </w:pPr>
            <w:r>
              <w:rPr>
                <w:rFonts w:eastAsiaTheme="minorEastAsia"/>
                <w:lang w:eastAsia="zh-CN"/>
              </w:rPr>
              <w:t>with modification</w:t>
            </w:r>
          </w:p>
        </w:tc>
        <w:tc>
          <w:tcPr>
            <w:tcW w:w="3590" w:type="pct"/>
          </w:tcPr>
          <w:p>
            <w:r>
              <w:t xml:space="preserve">For a NB-IoT UE in a NTN FDD serving cell, the UE is not required to monitor NPDCCH </w:t>
            </w:r>
            <w:r>
              <w:rPr>
                <w:color w:val="FF0000"/>
              </w:rPr>
              <w:t xml:space="preserve">from the start of </w:t>
            </w:r>
            <w:r>
              <w:rPr>
                <w:strike/>
                <w:color w:val="FF0000"/>
              </w:rPr>
              <w:t>within</w:t>
            </w:r>
            <w:r>
              <w:rPr>
                <w:color w:val="FF0000"/>
              </w:rPr>
              <w:t xml:space="preserve"> </w:t>
            </w:r>
            <w:r>
              <w:t>the GNSS measurement gap duration, until it reacquires GNSS position and a contention based Random Access</w:t>
            </w:r>
            <w:ins w:id="20" w:author="Jingyuan Sun (NSB)" w:date="2024-05-10T23:52:00Z">
              <w:r>
                <w:rPr/>
                <w:t xml:space="preserve"> </w:t>
              </w:r>
            </w:ins>
            <w:ins w:id="21" w:author="Jingyuan Sun (NSB)" w:date="2024-05-10T23:52:00Z">
              <w:r>
                <w:rPr>
                  <w:strike/>
                </w:rPr>
                <w:t>with N</w:t>
              </w:r>
            </w:ins>
            <w:ins w:id="22" w:author="Jingyuan Sun (NSB)" w:date="2024-05-10T23:52:00Z">
              <w:r>
                <w:rPr>
                  <w:strike/>
                  <w:vertAlign w:val="subscript"/>
                </w:rPr>
                <w:t>TA</w:t>
              </w:r>
            </w:ins>
            <w:ins w:id="23" w:author="Jingyuan Sun (NSB)" w:date="2024-05-10T23:52:00Z">
              <w:r>
                <w:rPr>
                  <w:strike/>
                </w:rPr>
                <w:t xml:space="preserve"> =0</w:t>
              </w:r>
            </w:ins>
            <w:r>
              <w:t xml:space="preserve"> is performed as specified in TS 36.321 [8].</w:t>
            </w:r>
          </w:p>
          <w:p/>
          <w:p/>
          <w:p>
            <w:r>
              <w:t>It is quite clear that UE performs PRACH  with N_TA=0. What is not clear currently is what happens when UE reacquire GNSS during gap, but sends NPRACH only after the gap. Above CR should fix that.</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 NSB</w:t>
            </w:r>
          </w:p>
        </w:tc>
        <w:tc>
          <w:tcPr>
            <w:tcW w:w="749" w:type="pct"/>
          </w:tcPr>
          <w:p>
            <w:pPr>
              <w:rPr>
                <w:rFonts w:eastAsia="MS Mincho"/>
                <w:lang w:eastAsia="ja-JP"/>
              </w:rPr>
            </w:pPr>
            <w:r>
              <w:rPr>
                <w:rFonts w:eastAsia="MS Mincho"/>
                <w:lang w:eastAsia="ja-JP"/>
              </w:rPr>
              <w:t>support</w:t>
            </w:r>
          </w:p>
        </w:tc>
        <w:tc>
          <w:tcPr>
            <w:tcW w:w="3590" w:type="pct"/>
          </w:tcPr>
          <w:p>
            <w:pPr>
              <w:rPr>
                <w:rFonts w:eastAsiaTheme="minorEastAsia"/>
                <w:lang w:eastAsia="zh-CN"/>
              </w:rPr>
            </w:pPr>
            <w:r>
              <w:rPr>
                <w:rFonts w:eastAsiaTheme="minorEastAsia"/>
                <w:lang w:eastAsia="zh-CN"/>
              </w:rPr>
              <w:t>Thanks Nordic for also agree UE should do CBRA with N_TA set to 0. But it is still not clear defined in spec, that is why we could like to define it in spec.</w:t>
            </w:r>
          </w:p>
          <w:p>
            <w:pPr>
              <w:rPr>
                <w:rFonts w:eastAsiaTheme="minorEastAsia"/>
                <w:lang w:eastAsia="zh-CN"/>
              </w:rPr>
            </w:pPr>
          </w:p>
          <w:p>
            <w:pPr>
              <w:rPr>
                <w:rFonts w:eastAsiaTheme="minorEastAsia"/>
                <w:lang w:eastAsia="zh-CN"/>
              </w:rPr>
            </w:pPr>
            <w:r>
              <w:rPr>
                <w:rFonts w:eastAsiaTheme="minorEastAsia"/>
                <w:lang w:eastAsia="zh-CN"/>
              </w:rPr>
              <w:t>To clarify to Nordic, in 36.213, it is clear on “</w:t>
            </w:r>
            <w:r>
              <w:t>UE is not required to monitor MPDCCH within the GNSS measurement gap duration</w:t>
            </w:r>
            <w:r>
              <w:rPr>
                <w:rFonts w:eastAsiaTheme="minorEastAsia"/>
                <w:lang w:eastAsia="zh-CN"/>
              </w:rPr>
              <w:t>” that already means UE will not monitor PDCCH from the start of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749" w:type="pct"/>
          </w:tcPr>
          <w:p>
            <w:pPr>
              <w:rPr>
                <w:rFonts w:eastAsia="Malgun Gothic"/>
                <w:lang w:eastAsia="ko-KR"/>
              </w:rPr>
            </w:pPr>
          </w:p>
        </w:tc>
        <w:tc>
          <w:tcPr>
            <w:tcW w:w="3590" w:type="pct"/>
          </w:tcPr>
          <w:p>
            <w:pPr>
              <w:rPr>
                <w:rFonts w:eastAsiaTheme="minorEastAsia"/>
                <w:lang w:eastAsia="zh-CN"/>
              </w:rPr>
            </w:pPr>
            <w:r>
              <w:rPr>
                <w:rFonts w:hint="eastAsia" w:eastAsiaTheme="minorEastAsia"/>
                <w:lang w:eastAsia="zh-CN"/>
              </w:rPr>
              <w:t>I</w:t>
            </w:r>
            <w:r>
              <w:rPr>
                <w:rFonts w:eastAsiaTheme="minorEastAsia"/>
                <w:lang w:eastAsia="zh-CN"/>
              </w:rPr>
              <w:t>s the TP related to the following agreement last meeting?</w:t>
            </w:r>
          </w:p>
          <w:p>
            <w:pPr>
              <w:rPr>
                <w:rFonts w:eastAsiaTheme="minorEastAsia"/>
                <w:lang w:eastAsia="zh-CN"/>
              </w:rPr>
            </w:pPr>
          </w:p>
          <w:p>
            <w:pPr>
              <w:rPr>
                <w:b/>
                <w:bCs/>
              </w:rPr>
            </w:pPr>
            <w:r>
              <w:rPr>
                <w:b/>
                <w:bCs/>
              </w:rPr>
              <w:t>Conclusion</w:t>
            </w:r>
          </w:p>
          <w:p>
            <w:pPr>
              <w:spacing w:after="120" w:afterLines="50"/>
              <w:rPr>
                <w:bCs/>
                <w:iCs/>
              </w:rPr>
            </w:pPr>
            <w:r>
              <w:rPr>
                <w:rFonts w:eastAsia="等线"/>
                <w:iCs/>
                <w:lang w:eastAsia="zh-CN"/>
              </w:rPr>
              <w:t xml:space="preserve">There is no consensus in RAN1 on alternatives for further enhancements in RAN1 specifications for </w:t>
            </w:r>
            <m:oMath>
              <m:sSub>
                <m:sSubPr>
                  <m:ctrlPr>
                    <w:rPr>
                      <w:rFonts w:ascii="Cambria Math" w:hAnsi="Cambria Math"/>
                      <w:b/>
                      <w:bCs/>
                      <w:i/>
                      <w:iCs/>
                    </w:rPr>
                  </m:ctrlPr>
                </m:sSubPr>
                <m:e>
                  <m:r>
                    <m:rPr>
                      <m:sty m:val="bi"/>
                    </m:rPr>
                    <w:rPr>
                      <w:rFonts w:ascii="Cambria Math" w:hAnsi="Cambria Math"/>
                    </w:rPr>
                    <m:t>N</m:t>
                  </m:r>
                  <m:ctrlPr>
                    <w:rPr>
                      <w:rFonts w:ascii="Cambria Math" w:hAnsi="Cambria Math"/>
                      <w:b/>
                      <w:bCs/>
                      <w:i/>
                      <w:iCs/>
                    </w:rPr>
                  </m:ctrlPr>
                </m:e>
                <m:sub>
                  <m:r>
                    <m:rPr>
                      <m:nor/>
                      <m:sty m:val="bi"/>
                    </m:rPr>
                    <w:rPr>
                      <w:b/>
                      <w:bCs/>
                      <w:i/>
                      <w:iCs/>
                    </w:rPr>
                    <m:t>TA</m:t>
                  </m:r>
                  <m:ctrlPr>
                    <w:rPr>
                      <w:rFonts w:ascii="Cambria Math" w:hAnsi="Cambria Math"/>
                      <w:b/>
                      <w:bCs/>
                      <w:i/>
                      <w:iCs/>
                    </w:rPr>
                  </m:ctrlPr>
                </m:sub>
              </m:sSub>
              <m:r>
                <m:rPr>
                  <m:sty m:val="bi"/>
                </m:rPr>
                <w:rPr>
                  <w:rFonts w:ascii="Cambria Math" w:hAnsi="Cambria Math"/>
                </w:rPr>
                <m:t xml:space="preserve"> </m:t>
              </m:r>
            </m:oMath>
            <w:r>
              <w:rPr>
                <w:bCs/>
                <w:iCs/>
              </w:rPr>
              <w:t xml:space="preserve"> calculation-related enhancements after GNSS measurement in RRC connected state in Rel-18 IoT NTN as listed below.</w:t>
            </w:r>
          </w:p>
          <w:p>
            <w:pPr>
              <w:pStyle w:val="115"/>
              <w:numPr>
                <w:ilvl w:val="0"/>
                <w:numId w:val="17"/>
              </w:numPr>
              <w:spacing w:after="180"/>
              <w:rPr>
                <w:bCs/>
                <w:iCs/>
              </w:rPr>
            </w:pPr>
            <w:r>
              <w:rPr>
                <w:iCs/>
                <w:lang w:eastAsia="zh-CN"/>
              </w:rPr>
              <w:t xml:space="preserve">Alt A: Set </w:t>
            </w:r>
            <m:oMath>
              <m:sSub>
                <m:sSubPr>
                  <m:ctrlPr>
                    <w:rPr>
                      <w:rFonts w:ascii="Cambria Math" w:hAnsi="Cambria Math"/>
                      <w:b/>
                      <w:bCs/>
                      <w:i/>
                      <w:iCs/>
                    </w:rPr>
                  </m:ctrlPr>
                </m:sSubPr>
                <m:e>
                  <m:r>
                    <m:rPr>
                      <m:sty m:val="bi"/>
                    </m:rPr>
                    <w:rPr>
                      <w:rFonts w:ascii="Cambria Math" w:hAnsi="Cambria Math"/>
                    </w:rPr>
                    <m:t xml:space="preserve"> N</m:t>
                  </m:r>
                  <m:ctrlPr>
                    <w:rPr>
                      <w:rFonts w:ascii="Cambria Math" w:hAnsi="Cambria Math"/>
                      <w:b/>
                      <w:bCs/>
                      <w:i/>
                      <w:iCs/>
                    </w:rPr>
                  </m:ctrlPr>
                </m:e>
                <m:sub>
                  <m:r>
                    <m:rPr>
                      <m:nor/>
                      <m:sty m:val="bi"/>
                    </m:rPr>
                    <w:rPr>
                      <w:b/>
                      <w:bCs/>
                      <w:i/>
                      <w:iCs/>
                    </w:rPr>
                    <m:t>TA</m:t>
                  </m:r>
                  <m:ctrlPr>
                    <w:rPr>
                      <w:rFonts w:ascii="Cambria Math" w:hAnsi="Cambria Math"/>
                      <w:b/>
                      <w:bCs/>
                      <w:i/>
                      <w:iCs/>
                    </w:rPr>
                  </m:ctrlPr>
                </m:sub>
              </m:sSub>
              <m:r>
                <m:rPr>
                  <m:sty m:val="bi"/>
                </m:rPr>
                <w:rPr>
                  <w:rFonts w:ascii="Cambria Math" w:hAnsi="Cambria Math"/>
                </w:rPr>
                <m:t>=0</m:t>
              </m:r>
            </m:oMath>
            <w:r>
              <w:rPr>
                <w:rFonts w:hint="eastAsia"/>
                <w:bCs/>
                <w:iCs/>
              </w:rPr>
              <w:t xml:space="preserve"> </w:t>
            </w:r>
          </w:p>
          <w:p>
            <w:pPr>
              <w:pStyle w:val="115"/>
              <w:numPr>
                <w:ilvl w:val="0"/>
                <w:numId w:val="17"/>
              </w:numPr>
              <w:spacing w:after="180"/>
              <w:rPr>
                <w:bCs/>
                <w:iCs/>
                <w:color w:val="000000"/>
              </w:rPr>
            </w:pPr>
            <w:r>
              <w:rPr>
                <w:iCs/>
                <w:color w:val="000000"/>
                <w:lang w:eastAsia="zh-CN"/>
              </w:rPr>
              <w:t>Alt B: Set</w:t>
            </w:r>
            <w:r>
              <w:rPr>
                <w:bCs/>
                <w:iCs/>
                <w:color w:val="000000"/>
                <w:lang w:eastAsia="zh-CN"/>
              </w:rPr>
              <w:t xml:space="preserve">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ctrlPr>
                    <w:rPr>
                      <w:rFonts w:ascii="Cambria Math" w:hAnsi="Cambria Math"/>
                      <w:b/>
                      <w:bCs/>
                      <w:i/>
                      <w:iCs/>
                      <w:color w:val="000000"/>
                      <w:lang w:eastAsia="zh-CN"/>
                    </w:rPr>
                  </m:ctrlPr>
                </m:e>
                <m:sub>
                  <m:r>
                    <m:rPr>
                      <m:sty m:val="bi"/>
                    </m:rPr>
                    <w:rPr>
                      <w:rFonts w:ascii="Cambria Math" w:hAnsi="Cambria Math"/>
                      <w:color w:val="000000"/>
                      <w:lang w:eastAsia="zh-CN"/>
                    </w:rPr>
                    <m:t>TA</m:t>
                  </m:r>
                  <m:ctrlPr>
                    <w:rPr>
                      <w:rFonts w:ascii="Cambria Math" w:hAnsi="Cambria Math"/>
                      <w:b/>
                      <w:bCs/>
                      <w:i/>
                      <w:iCs/>
                      <w:color w:val="000000"/>
                      <w:lang w:eastAsia="zh-CN"/>
                    </w:rPr>
                  </m:ctrlPr>
                </m:sub>
              </m:sSub>
              <m:r>
                <m:rPr>
                  <m:sty m:val="bi"/>
                </m:rPr>
                <w:rPr>
                  <w:rFonts w:ascii="Cambria Math" w:hAnsi="Cambria Math"/>
                  <w:color w:val="000000"/>
                  <w:lang w:eastAsia="zh-CN"/>
                </w:rPr>
                <m:t>=</m:t>
              </m:r>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ctrlPr>
                    <w:rPr>
                      <w:rFonts w:ascii="Cambria Math" w:hAnsi="Cambria Math"/>
                      <w:b/>
                      <w:bCs/>
                      <w:i/>
                      <w:iCs/>
                      <w:color w:val="000000"/>
                      <w:lang w:eastAsia="zh-CN"/>
                    </w:rPr>
                  </m:ctrlPr>
                </m:e>
                <m:sub>
                  <m:r>
                    <m:rPr>
                      <m:sty m:val="bi"/>
                    </m:rPr>
                    <w:rPr>
                      <w:rFonts w:ascii="Cambria Math" w:hAnsi="Cambria Math"/>
                      <w:color w:val="000000"/>
                      <w:lang w:eastAsia="zh-CN"/>
                    </w:rPr>
                    <m:t>TA_old</m:t>
                  </m:r>
                  <m:ctrlPr>
                    <w:rPr>
                      <w:rFonts w:ascii="Cambria Math" w:hAnsi="Cambria Math"/>
                      <w:b/>
                      <w:bCs/>
                      <w:i/>
                      <w:iCs/>
                      <w:color w:val="000000"/>
                      <w:lang w:eastAsia="zh-CN"/>
                    </w:rPr>
                  </m:ctrlPr>
                </m:sub>
              </m:sSub>
              <m:sSub>
                <m:sSubPr>
                  <m:ctrlPr>
                    <w:rPr>
                      <w:rFonts w:ascii="Cambria Math" w:hAnsi="Cambria Math"/>
                      <w:b/>
                      <w:bCs/>
                      <w:i/>
                      <w:iCs/>
                      <w:color w:val="000000"/>
                      <w:lang w:eastAsia="zh-CN"/>
                    </w:rPr>
                  </m:ctrlPr>
                </m:sSubPr>
                <m:e>
                  <m:r>
                    <m:rPr>
                      <m:sty m:val="bi"/>
                    </m:rPr>
                    <w:rPr>
                      <w:rFonts w:ascii="Cambria Math" w:hAnsi="Cambria Math"/>
                      <w:color w:val="000000"/>
                      <w:lang w:eastAsia="zh-CN"/>
                    </w:rPr>
                    <m:t>−T</m:t>
                  </m:r>
                  <m:ctrlPr>
                    <w:rPr>
                      <w:rFonts w:ascii="Cambria Math" w:hAnsi="Cambria Math"/>
                      <w:b/>
                      <w:bCs/>
                      <w:i/>
                      <w:iCs/>
                      <w:color w:val="000000"/>
                      <w:lang w:eastAsia="zh-CN"/>
                    </w:rPr>
                  </m:ctrlPr>
                </m:e>
                <m:sub>
                  <m:r>
                    <m:rPr>
                      <m:sty m:val="bi"/>
                    </m:rPr>
                    <w:rPr>
                      <w:rFonts w:ascii="Cambria Math" w:hAnsi="Cambria Math"/>
                      <w:color w:val="000000"/>
                      <w:lang w:eastAsia="zh-CN"/>
                    </w:rPr>
                    <m:t>error_UE_position</m:t>
                  </m:r>
                  <m:ctrlPr>
                    <w:rPr>
                      <w:rFonts w:ascii="Cambria Math" w:hAnsi="Cambria Math"/>
                      <w:b/>
                      <w:bCs/>
                      <w:i/>
                      <w:iCs/>
                      <w:color w:val="000000"/>
                      <w:lang w:eastAsia="zh-CN"/>
                    </w:rPr>
                  </m:ctrlPr>
                </m:sub>
              </m:sSub>
            </m:oMath>
            <w:r>
              <w:rPr>
                <w:rFonts w:hint="eastAsia"/>
                <w:bCs/>
                <w:iCs/>
                <w:color w:val="000000"/>
              </w:rPr>
              <w:t xml:space="preserve"> </w:t>
            </w:r>
            <w:r>
              <w:rPr>
                <w:bCs/>
                <w:iCs/>
                <w:color w:val="000000"/>
              </w:rPr>
              <w:t xml:space="preserve"> where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T</m:t>
                  </m:r>
                  <m:ctrlPr>
                    <w:rPr>
                      <w:rFonts w:ascii="Cambria Math" w:hAnsi="Cambria Math"/>
                      <w:b/>
                      <w:bCs/>
                      <w:i/>
                      <w:iCs/>
                      <w:color w:val="000000"/>
                      <w:lang w:eastAsia="zh-CN"/>
                    </w:rPr>
                  </m:ctrlPr>
                </m:e>
                <m:sub>
                  <m:r>
                    <m:rPr>
                      <m:sty m:val="bi"/>
                    </m:rPr>
                    <w:rPr>
                      <w:rFonts w:ascii="Cambria Math" w:hAnsi="Cambria Math"/>
                      <w:color w:val="000000"/>
                      <w:lang w:eastAsia="zh-CN"/>
                    </w:rPr>
                    <m:t>error_UE_position</m:t>
                  </m:r>
                  <m:ctrlPr>
                    <w:rPr>
                      <w:rFonts w:ascii="Cambria Math" w:hAnsi="Cambria Math"/>
                      <w:b/>
                      <w:bCs/>
                      <w:i/>
                      <w:iCs/>
                      <w:color w:val="000000"/>
                      <w:lang w:eastAsia="zh-CN"/>
                    </w:rPr>
                  </m:ctrlPr>
                </m:sub>
              </m:sSub>
              <m:r>
                <m:rPr>
                  <m:sty m:val="bi"/>
                </m:rPr>
                <w:rPr>
                  <w:rFonts w:ascii="Cambria Math" w:hAnsi="Cambria Math"/>
                  <w:color w:val="000000"/>
                  <w:lang w:eastAsia="zh-CN"/>
                </w:rPr>
                <m:t>=</m:t>
              </m:r>
              <m:sSubSup>
                <m:sSubSupPr>
                  <m:ctrlPr>
                    <w:rPr>
                      <w:rFonts w:ascii="Cambria Math" w:hAnsi="Cambria Math"/>
                      <w:b/>
                      <w:bCs/>
                      <w:i/>
                      <w:iCs/>
                      <w:color w:val="000000"/>
                      <w:lang w:eastAsia="zh-CN"/>
                    </w:rPr>
                  </m:ctrlPr>
                </m:sSubSupPr>
                <m:e>
                  <m:r>
                    <m:rPr>
                      <m:sty m:val="bi"/>
                    </m:rPr>
                    <w:rPr>
                      <w:rFonts w:ascii="Cambria Math" w:hAnsi="Cambria Math"/>
                      <w:color w:val="000000"/>
                      <w:lang w:eastAsia="zh-CN"/>
                    </w:rPr>
                    <m:t>N</m:t>
                  </m:r>
                  <m:ctrlPr>
                    <w:rPr>
                      <w:rFonts w:ascii="Cambria Math" w:hAnsi="Cambria Math"/>
                      <w:b/>
                      <w:bCs/>
                      <w:i/>
                      <w:iCs/>
                      <w:color w:val="000000"/>
                      <w:lang w:eastAsia="zh-CN"/>
                    </w:rPr>
                  </m:ctrlPr>
                </m:e>
                <m:sub>
                  <m:r>
                    <m:rPr>
                      <m:nor/>
                      <m:sty m:val="bi"/>
                    </m:rPr>
                    <w:rPr>
                      <w:b/>
                      <w:bCs/>
                      <w:i/>
                      <w:iCs/>
                      <w:color w:val="000000"/>
                      <w:lang w:eastAsia="zh-CN"/>
                    </w:rPr>
                    <m:t>TA,adj [OLD]</m:t>
                  </m:r>
                  <m:ctrlPr>
                    <w:rPr>
                      <w:rFonts w:ascii="Cambria Math" w:hAnsi="Cambria Math"/>
                      <w:b/>
                      <w:bCs/>
                      <w:i/>
                      <w:iCs/>
                      <w:color w:val="000000"/>
                      <w:lang w:eastAsia="zh-CN"/>
                    </w:rPr>
                  </m:ctrlPr>
                </m:sub>
                <m:sup>
                  <m:r>
                    <m:rPr>
                      <m:nor/>
                      <m:sty m:val="bi"/>
                    </m:rPr>
                    <w:rPr>
                      <w:b/>
                      <w:bCs/>
                      <w:i/>
                      <w:iCs/>
                      <w:color w:val="000000"/>
                      <w:lang w:eastAsia="zh-CN"/>
                    </w:rPr>
                    <m:t>UE</m:t>
                  </m:r>
                  <m:ctrlPr>
                    <w:rPr>
                      <w:rFonts w:ascii="Cambria Math" w:hAnsi="Cambria Math"/>
                      <w:b/>
                      <w:bCs/>
                      <w:i/>
                      <w:iCs/>
                      <w:color w:val="000000"/>
                      <w:lang w:eastAsia="zh-CN"/>
                    </w:rPr>
                  </m:ctrlPr>
                </m:sup>
              </m:sSubSup>
              <m:r>
                <m:rPr>
                  <m:sty m:val="bi"/>
                </m:rPr>
                <w:rPr>
                  <w:rFonts w:ascii="Cambria Math" w:hAnsi="Cambria Math"/>
                  <w:color w:val="000000"/>
                  <w:lang w:eastAsia="zh-CN"/>
                </w:rPr>
                <m:t>−</m:t>
              </m:r>
              <m:sSubSup>
                <m:sSubSupPr>
                  <m:ctrlPr>
                    <w:rPr>
                      <w:rFonts w:ascii="Cambria Math" w:hAnsi="Cambria Math"/>
                      <w:b/>
                      <w:bCs/>
                      <w:i/>
                      <w:iCs/>
                      <w:color w:val="000000"/>
                      <w:lang w:eastAsia="zh-CN"/>
                    </w:rPr>
                  </m:ctrlPr>
                </m:sSubSupPr>
                <m:e>
                  <m:r>
                    <m:rPr>
                      <m:sty m:val="bi"/>
                    </m:rPr>
                    <w:rPr>
                      <w:rFonts w:ascii="Cambria Math" w:hAnsi="Cambria Math"/>
                      <w:color w:val="000000"/>
                      <w:lang w:eastAsia="zh-CN"/>
                    </w:rPr>
                    <m:t>N</m:t>
                  </m:r>
                  <m:ctrlPr>
                    <w:rPr>
                      <w:rFonts w:ascii="Cambria Math" w:hAnsi="Cambria Math"/>
                      <w:b/>
                      <w:bCs/>
                      <w:i/>
                      <w:iCs/>
                      <w:color w:val="000000"/>
                      <w:lang w:eastAsia="zh-CN"/>
                    </w:rPr>
                  </m:ctrlPr>
                </m:e>
                <m:sub>
                  <m:r>
                    <m:rPr>
                      <m:nor/>
                      <m:sty m:val="bi"/>
                    </m:rPr>
                    <w:rPr>
                      <w:b/>
                      <w:bCs/>
                      <w:i/>
                      <w:iCs/>
                      <w:color w:val="000000"/>
                      <w:lang w:eastAsia="zh-CN"/>
                    </w:rPr>
                    <m:t>TA,adj</m:t>
                  </m:r>
                  <m:ctrlPr>
                    <w:rPr>
                      <w:rFonts w:ascii="Cambria Math" w:hAnsi="Cambria Math"/>
                      <w:b/>
                      <w:bCs/>
                      <w:i/>
                      <w:iCs/>
                      <w:color w:val="000000"/>
                      <w:lang w:eastAsia="zh-CN"/>
                    </w:rPr>
                  </m:ctrlPr>
                </m:sub>
                <m:sup>
                  <m:r>
                    <m:rPr>
                      <m:nor/>
                      <m:sty m:val="bi"/>
                    </m:rPr>
                    <w:rPr>
                      <w:b/>
                      <w:bCs/>
                      <w:i/>
                      <w:iCs/>
                      <w:color w:val="000000"/>
                      <w:lang w:eastAsia="zh-CN"/>
                    </w:rPr>
                    <m:t>UE</m:t>
                  </m:r>
                  <m:ctrlPr>
                    <w:rPr>
                      <w:rFonts w:ascii="Cambria Math" w:hAnsi="Cambria Math"/>
                      <w:b/>
                      <w:bCs/>
                      <w:i/>
                      <w:iCs/>
                      <w:color w:val="000000"/>
                      <w:lang w:eastAsia="zh-CN"/>
                    </w:rPr>
                  </m:ctrlPr>
                </m:sup>
              </m:sSubSup>
            </m:oMath>
            <w:r>
              <w:rPr>
                <w:bCs/>
                <w:iCs/>
                <w:color w:val="000000"/>
                <w:lang w:eastAsia="zh-CN"/>
              </w:rPr>
              <w:t xml:space="preserve"> </w:t>
            </w:r>
          </w:p>
          <w:p>
            <w:pPr>
              <w:pStyle w:val="115"/>
              <w:numPr>
                <w:ilvl w:val="0"/>
                <w:numId w:val="17"/>
              </w:numPr>
              <w:spacing w:after="180"/>
              <w:rPr>
                <w:bCs/>
                <w:iCs/>
                <w:color w:val="000000"/>
              </w:rPr>
            </w:pPr>
            <w:r>
              <w:rPr>
                <w:bCs/>
                <w:iCs/>
                <w:color w:val="000000"/>
              </w:rPr>
              <w:t>Alt C: The UE may consider TAT has expired and shall perform RACH</w:t>
            </w:r>
          </w:p>
          <w:p>
            <w:pPr>
              <w:pStyle w:val="115"/>
              <w:numPr>
                <w:ilvl w:val="0"/>
                <w:numId w:val="17"/>
              </w:numPr>
              <w:spacing w:after="180"/>
              <w:rPr>
                <w:bCs/>
                <w:iCs/>
                <w:color w:val="000000"/>
              </w:rPr>
            </w:pPr>
            <w:r>
              <w:rPr>
                <w:bCs/>
                <w:iCs/>
                <w:color w:val="000000"/>
              </w:rPr>
              <w:t xml:space="preserve">Alt D: The UE performs RACH with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ctrlPr>
                    <w:rPr>
                      <w:rFonts w:ascii="Cambria Math" w:hAnsi="Cambria Math"/>
                      <w:b/>
                      <w:bCs/>
                      <w:i/>
                      <w:iCs/>
                      <w:color w:val="000000"/>
                      <w:lang w:eastAsia="zh-CN"/>
                    </w:rPr>
                  </m:ctrlPr>
                </m:e>
                <m:sub>
                  <m:r>
                    <m:rPr>
                      <m:sty m:val="bi"/>
                    </m:rPr>
                    <w:rPr>
                      <w:rFonts w:ascii="Cambria Math" w:hAnsi="Cambria Math"/>
                      <w:color w:val="000000"/>
                      <w:lang w:eastAsia="zh-CN"/>
                    </w:rPr>
                    <m:t>TA</m:t>
                  </m:r>
                  <m:ctrlPr>
                    <w:rPr>
                      <w:rFonts w:ascii="Cambria Math" w:hAnsi="Cambria Math"/>
                      <w:b/>
                      <w:bCs/>
                      <w:i/>
                      <w:iCs/>
                      <w:color w:val="000000"/>
                      <w:lang w:eastAsia="zh-CN"/>
                    </w:rPr>
                  </m:ctrlPr>
                </m:sub>
              </m:sSub>
              <m:r>
                <m:rPr>
                  <m:sty m:val="bi"/>
                </m:rPr>
                <w:rPr>
                  <w:rFonts w:ascii="Cambria Math" w:hAnsi="Cambria Math"/>
                  <w:color w:val="000000"/>
                  <w:lang w:eastAsia="zh-CN"/>
                </w:rPr>
                <m:t xml:space="preserve">=0 </m:t>
              </m:r>
            </m:oMath>
            <w:r>
              <w:rPr>
                <w:bCs/>
                <w:iCs/>
                <w:color w:val="000000"/>
              </w:rPr>
              <w:t xml:space="preserve"> if “old position - new position &gt; thr", otherwise UE sets </w:t>
            </w:r>
            <m:oMath>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ctrlPr>
                    <w:rPr>
                      <w:rFonts w:ascii="Cambria Math" w:hAnsi="Cambria Math"/>
                      <w:b/>
                      <w:bCs/>
                      <w:i/>
                      <w:iCs/>
                      <w:color w:val="000000"/>
                      <w:lang w:eastAsia="zh-CN"/>
                    </w:rPr>
                  </m:ctrlPr>
                </m:e>
                <m:sub>
                  <m:r>
                    <m:rPr>
                      <m:sty m:val="bi"/>
                    </m:rPr>
                    <w:rPr>
                      <w:rFonts w:ascii="Cambria Math" w:hAnsi="Cambria Math"/>
                      <w:color w:val="000000"/>
                      <w:lang w:eastAsia="zh-CN"/>
                    </w:rPr>
                    <m:t>TA</m:t>
                  </m:r>
                  <m:ctrlPr>
                    <w:rPr>
                      <w:rFonts w:ascii="Cambria Math" w:hAnsi="Cambria Math"/>
                      <w:b/>
                      <w:bCs/>
                      <w:i/>
                      <w:iCs/>
                      <w:color w:val="000000"/>
                      <w:lang w:eastAsia="zh-CN"/>
                    </w:rPr>
                  </m:ctrlPr>
                </m:sub>
              </m:sSub>
              <m:r>
                <m:rPr>
                  <m:sty m:val="bi"/>
                </m:rPr>
                <w:rPr>
                  <w:rFonts w:ascii="Cambria Math" w:hAnsi="Cambria Math"/>
                  <w:color w:val="000000"/>
                  <w:lang w:eastAsia="zh-CN"/>
                </w:rPr>
                <m:t>=</m:t>
              </m:r>
              <m:sSub>
                <m:sSubPr>
                  <m:ctrlPr>
                    <w:rPr>
                      <w:rFonts w:ascii="Cambria Math" w:hAnsi="Cambria Math"/>
                      <w:b/>
                      <w:bCs/>
                      <w:i/>
                      <w:iCs/>
                      <w:color w:val="000000"/>
                      <w:lang w:eastAsia="zh-CN"/>
                    </w:rPr>
                  </m:ctrlPr>
                </m:sSubPr>
                <m:e>
                  <m:r>
                    <m:rPr>
                      <m:sty m:val="bi"/>
                    </m:rPr>
                    <w:rPr>
                      <w:rFonts w:ascii="Cambria Math" w:hAnsi="Cambria Math"/>
                      <w:color w:val="000000"/>
                      <w:lang w:eastAsia="zh-CN"/>
                    </w:rPr>
                    <m:t>N</m:t>
                  </m:r>
                  <m:ctrlPr>
                    <w:rPr>
                      <w:rFonts w:ascii="Cambria Math" w:hAnsi="Cambria Math"/>
                      <w:b/>
                      <w:bCs/>
                      <w:i/>
                      <w:iCs/>
                      <w:color w:val="000000"/>
                      <w:lang w:eastAsia="zh-CN"/>
                    </w:rPr>
                  </m:ctrlPr>
                </m:e>
                <m:sub>
                  <m:r>
                    <m:rPr>
                      <m:sty m:val="bi"/>
                    </m:rPr>
                    <w:rPr>
                      <w:rFonts w:ascii="Cambria Math" w:hAnsi="Cambria Math"/>
                      <w:color w:val="000000"/>
                      <w:lang w:eastAsia="zh-CN"/>
                    </w:rPr>
                    <m:t>TA_old</m:t>
                  </m:r>
                  <m:ctrlPr>
                    <w:rPr>
                      <w:rFonts w:ascii="Cambria Math" w:hAnsi="Cambria Math"/>
                      <w:b/>
                      <w:bCs/>
                      <w:i/>
                      <w:iCs/>
                      <w:color w:val="000000"/>
                      <w:lang w:eastAsia="zh-CN"/>
                    </w:rPr>
                  </m:ctrlPr>
                </m:sub>
              </m:sSub>
            </m:oMath>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S Mincho"/>
                <w:bCs/>
                <w:lang w:eastAsia="ja-JP"/>
              </w:rPr>
              <w:t>MediaTek</w:t>
            </w:r>
          </w:p>
        </w:tc>
        <w:tc>
          <w:tcPr>
            <w:tcW w:w="749" w:type="pct"/>
          </w:tcPr>
          <w:p>
            <w:pPr>
              <w:rPr>
                <w:rFonts w:eastAsiaTheme="minorEastAsia"/>
                <w:lang w:eastAsia="zh-CN"/>
              </w:rPr>
            </w:pPr>
          </w:p>
        </w:tc>
        <w:tc>
          <w:tcPr>
            <w:tcW w:w="3590" w:type="pct"/>
          </w:tcPr>
          <w:p>
            <w:pPr>
              <w:rPr>
                <w:rFonts w:eastAsia="MS Mincho"/>
                <w:lang w:eastAsia="ja-JP"/>
              </w:rPr>
            </w:pPr>
            <w:r>
              <w:rPr>
                <w:rFonts w:eastAsia="MS Mincho"/>
                <w:lang w:eastAsia="ja-JP"/>
              </w:rPr>
              <w:t xml:space="preserve">Same understanding as Lenovo. To our understanding, the TP#3 proposes Alt A discussed in  RAN1#116bis (copied below). The conclusion in RAN1#116bis was no consensus on Options. It should not be discussed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algun Gothic"/>
                <w:bCs/>
                <w:lang w:eastAsia="ko-KR"/>
              </w:rPr>
              <w:t>Ericsson</w:t>
            </w:r>
          </w:p>
        </w:tc>
        <w:tc>
          <w:tcPr>
            <w:tcW w:w="749" w:type="pct"/>
          </w:tcPr>
          <w:p>
            <w:pPr>
              <w:rPr>
                <w:rFonts w:eastAsia="MS Mincho"/>
                <w:lang w:eastAsia="ja-JP"/>
              </w:rPr>
            </w:pPr>
            <w:r>
              <w:rPr>
                <w:rFonts w:eastAsia="Malgun Gothic"/>
                <w:lang w:eastAsia="ko-KR"/>
              </w:rPr>
              <w:t>Not support</w:t>
            </w:r>
          </w:p>
        </w:tc>
        <w:tc>
          <w:tcPr>
            <w:tcW w:w="3590" w:type="pct"/>
          </w:tcPr>
          <w:p>
            <w:pPr>
              <w:rPr>
                <w:rFonts w:eastAsia="MS Mincho"/>
                <w:lang w:eastAsia="ja-JP"/>
              </w:rPr>
            </w:pPr>
            <w:r>
              <w:rPr>
                <w:rFonts w:eastAsia="MS Mincho"/>
                <w:lang w:eastAsia="ja-JP"/>
              </w:rPr>
              <w:t>We believe that it is already clear that N_TA=0 is used for PRACH. We will double check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top"/>
          </w:tcPr>
          <w:p>
            <w:pPr>
              <w:rPr>
                <w:rFonts w:hint="default" w:ascii="Times New Roman" w:hAnsi="Times New Roman" w:cs="Times New Roman" w:eastAsiaTheme="minorEastAsia"/>
                <w:bCs/>
                <w:szCs w:val="24"/>
                <w:lang w:val="en-US" w:eastAsia="zh-CN" w:bidi="ar-SA"/>
              </w:rPr>
            </w:pPr>
            <w:r>
              <w:rPr>
                <w:rFonts w:hint="eastAsia" w:eastAsiaTheme="minorEastAsia"/>
                <w:bCs/>
                <w:lang w:val="en-US" w:eastAsia="zh-CN"/>
              </w:rPr>
              <w:t>ZTE</w:t>
            </w:r>
          </w:p>
        </w:tc>
        <w:tc>
          <w:tcPr>
            <w:tcW w:w="749"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Not support</w:t>
            </w:r>
          </w:p>
        </w:tc>
        <w:tc>
          <w:tcPr>
            <w:tcW w:w="3590"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It has been concluded no consensus for N_TA related enhancement. No need to 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bl>
    <w:p/>
    <w:p>
      <w:pPr>
        <w:rPr>
          <w:b/>
          <w:bCs/>
          <w:lang w:val="en-GB"/>
        </w:rPr>
      </w:pPr>
      <w:r>
        <w:rPr>
          <w:b/>
          <w:bCs/>
          <w:highlight w:val="yellow"/>
          <w:lang w:val="en-GB"/>
        </w:rPr>
        <w:t>Initial proposed 2-2:</w:t>
      </w:r>
    </w:p>
    <w:p>
      <w:pPr>
        <w:rPr>
          <w:b/>
          <w:bCs/>
          <w:lang w:val="en-GB"/>
        </w:rPr>
      </w:pPr>
      <w:r>
        <w:rPr>
          <w:b/>
          <w:bCs/>
          <w:lang w:val="en-GB"/>
        </w:rPr>
        <w:t>The draft TP#4 for TS 36.213 in is considered technically correct and should be adopted.</w:t>
      </w:r>
    </w:p>
    <w:tbl>
      <w:tblPr>
        <w:tblStyle w:val="54"/>
        <w:tblW w:w="4635"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370"/>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Nordic</w:t>
            </w:r>
          </w:p>
        </w:tc>
        <w:tc>
          <w:tcPr>
            <w:tcW w:w="749" w:type="pct"/>
          </w:tcPr>
          <w:p>
            <w:pPr>
              <w:jc w:val="both"/>
              <w:rPr>
                <w:rFonts w:eastAsiaTheme="minorEastAsia"/>
                <w:lang w:eastAsia="zh-CN"/>
              </w:rPr>
            </w:pPr>
            <w:r>
              <w:rPr>
                <w:rFonts w:eastAsiaTheme="minorEastAsia"/>
                <w:lang w:eastAsia="zh-CN"/>
              </w:rPr>
              <w:t>with modification</w:t>
            </w:r>
          </w:p>
        </w:tc>
        <w:tc>
          <w:tcPr>
            <w:tcW w:w="3590" w:type="pct"/>
          </w:tcPr>
          <w:p>
            <w:pPr>
              <w:jc w:val="both"/>
              <w:rPr>
                <w:rFonts w:eastAsiaTheme="minorEastAsia"/>
                <w:lang w:eastAsia="zh-CN"/>
              </w:rPr>
            </w:pPr>
            <w:r>
              <w:rPr>
                <w:rFonts w:eastAsiaTheme="minorEastAsia"/>
                <w:lang w:eastAsia="zh-CN"/>
              </w:rPr>
              <w:t>same as for 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 NSB</w:t>
            </w:r>
          </w:p>
        </w:tc>
        <w:tc>
          <w:tcPr>
            <w:tcW w:w="749" w:type="pct"/>
          </w:tcPr>
          <w:p>
            <w:pPr>
              <w:rPr>
                <w:rFonts w:eastAsia="MS Mincho"/>
                <w:lang w:eastAsia="ja-JP"/>
              </w:rPr>
            </w:pPr>
            <w:r>
              <w:rPr>
                <w:rFonts w:eastAsia="MS Mincho"/>
                <w:lang w:eastAsia="ja-JP"/>
              </w:rPr>
              <w:t>support</w:t>
            </w:r>
          </w:p>
        </w:tc>
        <w:tc>
          <w:tcPr>
            <w:tcW w:w="3590" w:type="pct"/>
          </w:tcPr>
          <w:p>
            <w:pPr>
              <w:rPr>
                <w:rFonts w:eastAsiaTheme="minorEastAsia"/>
                <w:lang w:eastAsia="zh-CN"/>
              </w:rPr>
            </w:pPr>
            <w:r>
              <w:rPr>
                <w:rFonts w:eastAsiaTheme="minorEastAsia"/>
                <w:lang w:eastAsia="zh-CN"/>
              </w:rPr>
              <w:t>Thanks Nordic for also agree UE should do CBRA with N_TA set to 0. But it is still not clear defined in spec, that is why we could like to define it in spec.</w:t>
            </w:r>
          </w:p>
          <w:p>
            <w:pPr>
              <w:rPr>
                <w:rFonts w:eastAsiaTheme="minorEastAsia"/>
                <w:lang w:eastAsia="zh-CN"/>
              </w:rPr>
            </w:pPr>
          </w:p>
          <w:p>
            <w:pPr>
              <w:rPr>
                <w:rFonts w:eastAsiaTheme="minorEastAsia"/>
                <w:lang w:eastAsia="zh-CN"/>
              </w:rPr>
            </w:pPr>
            <w:r>
              <w:rPr>
                <w:rFonts w:eastAsiaTheme="minorEastAsia"/>
                <w:lang w:eastAsia="zh-CN"/>
              </w:rPr>
              <w:t>To clarify to Nordic, in 36.213, it is clear on “</w:t>
            </w:r>
            <w:r>
              <w:t>UE is not required to monitor MPDCCH within the GNSS measurement gap duration</w:t>
            </w:r>
            <w:r>
              <w:rPr>
                <w:rFonts w:eastAsiaTheme="minorEastAsia"/>
                <w:lang w:eastAsia="zh-CN"/>
              </w:rPr>
              <w:t>” that already means UE will not monitor PDCCH from the start of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749" w:type="pct"/>
          </w:tcPr>
          <w:p>
            <w:pPr>
              <w:rPr>
                <w:rFonts w:eastAsia="Malgun Gothic"/>
                <w:lang w:eastAsia="ko-KR"/>
              </w:rPr>
            </w:pPr>
          </w:p>
        </w:tc>
        <w:tc>
          <w:tcPr>
            <w:tcW w:w="3590" w:type="pct"/>
          </w:tcPr>
          <w:p>
            <w:pPr>
              <w:rPr>
                <w:rFonts w:eastAsiaTheme="minorEastAsia"/>
                <w:lang w:eastAsia="zh-CN"/>
              </w:rPr>
            </w:pPr>
            <w:r>
              <w:rPr>
                <w:rFonts w:eastAsiaTheme="minorEastAsia"/>
                <w:lang w:eastAsia="zh-CN"/>
              </w:rPr>
              <w:t>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S Mincho"/>
                <w:bCs/>
                <w:lang w:eastAsia="ja-JP"/>
              </w:rPr>
              <w:t>MediaTek</w:t>
            </w:r>
          </w:p>
        </w:tc>
        <w:tc>
          <w:tcPr>
            <w:tcW w:w="749" w:type="pct"/>
          </w:tcPr>
          <w:p>
            <w:pPr>
              <w:rPr>
                <w:rFonts w:eastAsiaTheme="minorEastAsia"/>
                <w:lang w:eastAsia="zh-CN"/>
              </w:rPr>
            </w:pPr>
          </w:p>
        </w:tc>
        <w:tc>
          <w:tcPr>
            <w:tcW w:w="3590" w:type="pct"/>
          </w:tcPr>
          <w:p>
            <w:pPr>
              <w:rPr>
                <w:rFonts w:eastAsia="MS Mincho"/>
                <w:lang w:eastAsia="ja-JP"/>
              </w:rPr>
            </w:pPr>
            <w:r>
              <w:rPr>
                <w:rFonts w:eastAsia="MS Mincho"/>
                <w:lang w:eastAsia="ja-JP"/>
              </w:rPr>
              <w:t>Same comment as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algun Gothic"/>
                <w:bCs/>
                <w:lang w:eastAsia="ko-KR"/>
              </w:rPr>
              <w:t>Ericsson</w:t>
            </w:r>
          </w:p>
        </w:tc>
        <w:tc>
          <w:tcPr>
            <w:tcW w:w="749" w:type="pct"/>
          </w:tcPr>
          <w:p>
            <w:pPr>
              <w:rPr>
                <w:rFonts w:eastAsia="MS Mincho"/>
                <w:lang w:eastAsia="ja-JP"/>
              </w:rPr>
            </w:pPr>
            <w:r>
              <w:rPr>
                <w:rFonts w:eastAsia="Malgun Gothic"/>
                <w:lang w:eastAsia="ko-KR"/>
              </w:rPr>
              <w:t>Not support</w:t>
            </w:r>
          </w:p>
        </w:tc>
        <w:tc>
          <w:tcPr>
            <w:tcW w:w="3590" w:type="pct"/>
          </w:tcPr>
          <w:p>
            <w:pPr>
              <w:rPr>
                <w:rFonts w:eastAsia="MS Mincho"/>
                <w:lang w:eastAsia="ja-JP"/>
              </w:rPr>
            </w:pPr>
            <w:r>
              <w:rPr>
                <w:rFonts w:eastAsia="MS Mincho"/>
                <w:lang w:eastAsia="ja-JP"/>
              </w:rPr>
              <w:t>We believe that it is already clear that N_TA=0 is used for PRACH. We will double check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top"/>
          </w:tcPr>
          <w:p>
            <w:pPr>
              <w:rPr>
                <w:rFonts w:hint="default" w:ascii="Times New Roman" w:hAnsi="Times New Roman" w:cs="Times New Roman" w:eastAsiaTheme="minorEastAsia"/>
                <w:bCs/>
                <w:szCs w:val="24"/>
                <w:lang w:val="en-US" w:eastAsia="zh-CN" w:bidi="ar-SA"/>
              </w:rPr>
            </w:pPr>
            <w:r>
              <w:rPr>
                <w:rFonts w:hint="eastAsia" w:eastAsiaTheme="minorEastAsia"/>
                <w:bCs/>
                <w:lang w:val="en-US" w:eastAsia="zh-CN"/>
              </w:rPr>
              <w:t>ZTE</w:t>
            </w:r>
          </w:p>
        </w:tc>
        <w:tc>
          <w:tcPr>
            <w:tcW w:w="749"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Not support</w:t>
            </w:r>
          </w:p>
        </w:tc>
        <w:tc>
          <w:tcPr>
            <w:tcW w:w="3590"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It has been concluded no consensus for N_TA related enhancement. No need to 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bl>
    <w:p/>
    <w:p/>
    <w:p>
      <w:pPr>
        <w:pStyle w:val="3"/>
      </w:pPr>
      <w:r>
        <w:t>Topic 2: Dependency between aperiodic measurement gap and autonomous measurements [open]</w:t>
      </w:r>
    </w:p>
    <w:p>
      <w:pPr>
        <w:rPr>
          <w:lang w:val="en-GB"/>
        </w:rPr>
      </w:pPr>
      <w:bookmarkStart w:id="2" w:name="_Toc102489803"/>
      <w:r>
        <w:rPr>
          <w:lang w:val="en-GB"/>
        </w:rPr>
        <w:t>Rel18 IoT NTN is for long connection as Rel17 is only for short connectoin where UE will turn to IDLE mode when GNSS validity duraiton expire and UE will not re-acquire GNSS during the RRC CONNECTED mode.</w:t>
      </w:r>
    </w:p>
    <w:p>
      <w:r>
        <w:rPr>
          <w:lang w:val="en-GB"/>
        </w:rPr>
        <w:t xml:space="preserve">To support long connection, Rel18 discussed GNSS measurement in RRC CONNECTED mode. </w:t>
      </w:r>
      <w:r>
        <w:t>The following agreement was reached in RAN1#111 [3] regarding GNSS position fix for IoT NTN:</w:t>
      </w:r>
    </w:p>
    <w:tbl>
      <w:tblPr>
        <w:tblStyle w:val="54"/>
        <w:tblpPr w:leftFromText="180" w:rightFromText="180" w:vertAnchor="text" w:horzAnchor="margin" w:tblpY="2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Batang"/>
                <w:bCs/>
                <w:iCs/>
                <w:szCs w:val="20"/>
                <w:lang w:val="en-GB"/>
              </w:rPr>
            </w:pPr>
            <w:r>
              <w:rPr>
                <w:bCs/>
                <w:iCs/>
                <w:szCs w:val="20"/>
                <w:highlight w:val="green"/>
              </w:rPr>
              <w:t>Agreement</w:t>
            </w:r>
          </w:p>
          <w:p>
            <w:pPr>
              <w:rPr>
                <w:rFonts w:eastAsia="Calibri"/>
              </w:rPr>
            </w:pPr>
            <w:r>
              <w:rPr>
                <w:rFonts w:eastAsia="Calibri"/>
              </w:rPr>
              <w:t>For GNSS measurement in RRC connected, if eNB aperiodically triggers connected UE to make GNSS measurement, UE can re-acquire GNSS position fix with a gap</w:t>
            </w:r>
          </w:p>
          <w:p>
            <w:pPr>
              <w:widowControl w:val="0"/>
              <w:numPr>
                <w:ilvl w:val="0"/>
                <w:numId w:val="18"/>
              </w:numPr>
              <w:jc w:val="both"/>
              <w:rPr>
                <w:szCs w:val="20"/>
                <w:lang w:eastAsia="ko-KR"/>
              </w:rPr>
            </w:pPr>
            <w:r>
              <w:rPr>
                <w:bCs/>
                <w:iCs/>
                <w:szCs w:val="20"/>
                <w:lang w:eastAsia="ko-KR"/>
              </w:rPr>
              <w:t>FFS details of gap configuration</w:t>
            </w:r>
          </w:p>
          <w:p>
            <w:pPr>
              <w:rPr>
                <w:lang w:eastAsia="ko-KR"/>
              </w:rPr>
            </w:pPr>
            <w:r>
              <w:rPr>
                <w:lang w:eastAsia="ko-KR"/>
              </w:rPr>
              <w:t>The UE may re-acquire GNSS autonomously (when configured by the network) if UE does not receive eNB trigger to make GNSS measurement</w:t>
            </w:r>
          </w:p>
          <w:p>
            <w:pPr>
              <w:widowControl w:val="0"/>
              <w:numPr>
                <w:ilvl w:val="0"/>
                <w:numId w:val="19"/>
              </w:numPr>
              <w:jc w:val="both"/>
              <w:rPr>
                <w:szCs w:val="20"/>
              </w:rPr>
            </w:pPr>
            <w:r>
              <w:rPr>
                <w:bCs/>
                <w:iCs/>
                <w:szCs w:val="20"/>
              </w:rPr>
              <w:t xml:space="preserve">FFS based on configured timing </w:t>
            </w:r>
          </w:p>
        </w:tc>
      </w:tr>
    </w:tbl>
    <w:p/>
    <w:p/>
    <w:p>
      <w:pPr>
        <w:rPr>
          <w:lang w:val="en-GB"/>
        </w:rPr>
      </w:pPr>
      <w:r>
        <w:rPr>
          <w:lang w:val="en-GB"/>
        </w:rPr>
        <w:t xml:space="preserve">One aspect which needs further clarification is the dependency between the aperiodically triggered GNSS measurement gap </w:t>
      </w:r>
      <w:r>
        <w:t>and</w:t>
      </w:r>
      <w:r>
        <w:rPr>
          <w:lang w:val="en-GB"/>
        </w:rPr>
        <w:t xml:space="preserve"> the UE autonomous GNSS measurement, which has been discussed but with no consensus. </w:t>
      </w:r>
    </w:p>
    <w:p>
      <w:pPr>
        <w:rPr>
          <w:lang w:val="en-GB"/>
        </w:rPr>
      </w:pPr>
    </w:p>
    <w:p>
      <w:pPr>
        <w:rPr>
          <w:lang w:val="en-GB"/>
        </w:rPr>
      </w:pPr>
      <w:r>
        <w:rPr>
          <w:lang w:val="en-GB"/>
        </w:rPr>
        <w:t>There are different understanding from companies on RAN1 #111 agreements although the periodic/triggered GNSS measurement is firstly discussed in RAN1, while later autonomous GNSS measurement as one addition method to try to reduce the signaling overhead from eNB on GNSS measurement triggering, and RAN1 agreed that only when eNB enabled this autonomous GNSS measurement, UE can do it.</w:t>
      </w:r>
    </w:p>
    <w:p>
      <w:pPr>
        <w:rPr>
          <w:lang w:val="en-GB"/>
        </w:rPr>
      </w:pPr>
    </w:p>
    <w:p>
      <w:pPr>
        <w:rPr>
          <w:lang w:eastAsia="zh-CN"/>
        </w:rPr>
      </w:pPr>
      <w:r>
        <w:rPr>
          <w:lang w:val="en-GB"/>
        </w:rPr>
        <w:t xml:space="preserve">Based on moderator’s view, if UE </w:t>
      </w:r>
      <w:r>
        <w:t xml:space="preserve">does not support aperiodic triggerred GNSS measurement and independently of whether the UE supports autonomous GNSS measurement or not, when the eNB detects there is contiguous time error even with TAC, the eNB has to release the UE to IDLE mode, which will break the long connection and is not in line with the work item scope of long connections of IoT NTN UE in Rel18. </w:t>
      </w:r>
      <w:r>
        <w:rPr>
          <w:lang w:eastAsia="zh-CN"/>
        </w:rPr>
        <w:t>W</w:t>
      </w:r>
      <w:r>
        <w:rPr>
          <w:rFonts w:hint="eastAsia"/>
          <w:lang w:eastAsia="zh-CN"/>
        </w:rPr>
        <w:t>hile i</w:t>
      </w:r>
      <w:r>
        <w:t>f the UE only supports autonomous GNSS measurement it can not help when the eNB detects an UL sync issue before the GNSS validuration expires or before extension X expires. That is why the agreement uses “UE can” for aperiodically triggered GNSS measurement, which means UE should support aperiodic triggered GNSS measurement if UE supports Rel18 IoT NTN. While autonomous GNSS measurement is optional for a Rel18 IoT NTN UE as UE “may” do autonomous GNSS measurement.</w:t>
      </w:r>
      <w:r>
        <w:rPr>
          <w:rFonts w:hint="eastAsia"/>
          <w:lang w:eastAsia="zh-CN"/>
        </w:rPr>
        <w:t xml:space="preserve"> </w:t>
      </w:r>
    </w:p>
    <w:p>
      <w:pPr>
        <w:rPr>
          <w:lang w:eastAsia="zh-CN"/>
        </w:rPr>
      </w:pPr>
      <w:r>
        <w:rPr>
          <w:lang w:eastAsia="zh-CN"/>
        </w:rPr>
        <w:t>A</w:t>
      </w:r>
      <w:r>
        <w:rPr>
          <w:rFonts w:hint="eastAsia"/>
          <w:lang w:eastAsia="zh-CN"/>
        </w:rPr>
        <w:t xml:space="preserve">dditionally, even eNB release UE because of UL unsync issue, as </w:t>
      </w:r>
      <w:r>
        <w:rPr>
          <w:lang w:eastAsia="zh-CN"/>
        </w:rPr>
        <w:t>UE still consider GNSS as valid, then when UE reaccess into cell but not re-acquire GNSS as defined in 36.300 “</w:t>
      </w:r>
      <w:r>
        <w:t>The UE shall have valid GNSS position as well as the ephemeris and common TA before connecting to an NTN cell.</w:t>
      </w:r>
      <w:r>
        <w:rPr>
          <w:lang w:eastAsia="zh-CN"/>
        </w:rPr>
        <w:t>”, then still it will cause UL interference and eNB has to release it again. In this case, UE can not perform any effective UL/DL communication while it will always cause UL interference and impact the whole system, by huge of overhead on useless random access and UL interference even can not stopped (because of long time repetitions). While in this case, it does not matter and the eNB can not let UE kept in RRC CONNECTED whether UE support autonomous GNSS measurement or not, resulting long connection broken and impact on entire system.</w:t>
      </w:r>
    </w:p>
    <w:p>
      <w:pPr>
        <w:rPr>
          <w:lang w:val="en-GB" w:eastAsia="zh-CN"/>
        </w:rPr>
      </w:pPr>
    </w:p>
    <w:p>
      <w:r>
        <w:t>That is why the agreement uses “UE can” for aperiodically triggered GNSS measurement, which means UE should support aperiodic triggered GNSS measurement if UE supports Rel18 IoT NTN. While autonomous GNSS measurement is optional for a Rel18 IoT NTN UE as UE “may” do autonomous GNSS measurement.</w:t>
      </w:r>
    </w:p>
    <w:p>
      <w:pPr>
        <w:rPr>
          <w:lang w:eastAsia="zh-CN"/>
        </w:rPr>
      </w:pPr>
    </w:p>
    <w:p>
      <w:pPr>
        <w:rPr>
          <w:lang w:val="en-GB"/>
        </w:rPr>
      </w:pPr>
      <w:r>
        <w:rPr>
          <w:lang w:val="en-GB"/>
        </w:rPr>
        <w:t>Please companies provide comments/views on the proposed observations and proposed agreement.</w:t>
      </w:r>
    </w:p>
    <w:p>
      <w:pPr>
        <w:rPr>
          <w:lang w:val="en-GB"/>
        </w:rPr>
      </w:pPr>
    </w:p>
    <w:p>
      <w:pPr>
        <w:rPr>
          <w:b/>
          <w:bCs/>
        </w:rPr>
      </w:pPr>
      <w:r>
        <w:rPr>
          <w:b/>
          <w:bCs/>
          <w:highlight w:val="yellow"/>
          <w:lang w:eastAsia="zh-CN"/>
        </w:rPr>
        <w:t>Initial observation 3-1:</w:t>
      </w:r>
      <w:r>
        <w:rPr>
          <w:b/>
          <w:bCs/>
          <w:lang w:eastAsia="zh-CN"/>
        </w:rPr>
        <w:t xml:space="preserve"> </w:t>
      </w:r>
      <w:r>
        <w:rPr>
          <w:b/>
          <w:bCs/>
        </w:rPr>
        <w:t>If Rel18 IoT NTN UE does not support aperiodic triggerred GNSS measurement, when the eNB detects there is contiguous time error even with TAC, the eNB has to release the UE to IDLE mode, which will break long connection and is not in line with the work item scope of long connections of IoT NTN UE in Rel18.</w:t>
      </w:r>
    </w:p>
    <w:tbl>
      <w:tblPr>
        <w:tblStyle w:val="54"/>
        <w:tblW w:w="4635"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370"/>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Nordic</w:t>
            </w:r>
          </w:p>
        </w:tc>
        <w:tc>
          <w:tcPr>
            <w:tcW w:w="749" w:type="pct"/>
          </w:tcPr>
          <w:p>
            <w:pPr>
              <w:jc w:val="both"/>
              <w:rPr>
                <w:rFonts w:eastAsiaTheme="minorEastAsia"/>
                <w:lang w:eastAsia="zh-CN"/>
              </w:rPr>
            </w:pPr>
            <w:r>
              <w:rPr>
                <w:rFonts w:eastAsiaTheme="minorEastAsia"/>
                <w:lang w:eastAsia="zh-CN"/>
              </w:rPr>
              <w:t>Disagree</w:t>
            </w:r>
          </w:p>
        </w:tc>
        <w:tc>
          <w:tcPr>
            <w:tcW w:w="3590" w:type="pct"/>
          </w:tcPr>
          <w:p>
            <w:pPr>
              <w:jc w:val="both"/>
              <w:rPr>
                <w:rFonts w:eastAsiaTheme="minorEastAsia"/>
                <w:lang w:eastAsia="zh-CN"/>
              </w:rPr>
            </w:pPr>
            <w:r>
              <w:rPr>
                <w:rFonts w:eastAsiaTheme="minorEastAsia"/>
                <w:lang w:eastAsia="zh-CN"/>
              </w:rPr>
              <w:t>Above statement assumes that UE is not capable to assses/report own GNSS validity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 NSB</w:t>
            </w:r>
          </w:p>
        </w:tc>
        <w:tc>
          <w:tcPr>
            <w:tcW w:w="749" w:type="pct"/>
          </w:tcPr>
          <w:p>
            <w:pPr>
              <w:rPr>
                <w:rFonts w:eastAsia="MS Mincho"/>
                <w:lang w:eastAsia="ja-JP"/>
              </w:rPr>
            </w:pPr>
            <w:r>
              <w:rPr>
                <w:rFonts w:eastAsia="MS Mincho"/>
                <w:lang w:eastAsia="ja-JP"/>
              </w:rPr>
              <w:t>Correct</w:t>
            </w:r>
          </w:p>
        </w:tc>
        <w:tc>
          <w:tcPr>
            <w:tcW w:w="3590" w:type="pct"/>
          </w:tcPr>
          <w:p>
            <w:pPr>
              <w:rPr>
                <w:rFonts w:eastAsiaTheme="minorEastAsia"/>
                <w:lang w:eastAsia="zh-CN"/>
              </w:rPr>
            </w:pPr>
            <w:r>
              <w:rPr>
                <w:rFonts w:eastAsiaTheme="minorEastAsia"/>
                <w:lang w:eastAsia="zh-CN"/>
              </w:rPr>
              <w:t>To clarify to Nordic, UE can report own GNSS validity duration but the GNSS may be turn to invalid due to UE movement before the GNSS validity duration expire.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749" w:type="pct"/>
          </w:tcPr>
          <w:p>
            <w:pPr>
              <w:rPr>
                <w:rFonts w:eastAsia="Malgun Gothic"/>
                <w:lang w:eastAsia="ko-KR"/>
              </w:rPr>
            </w:pPr>
          </w:p>
        </w:tc>
        <w:tc>
          <w:tcPr>
            <w:tcW w:w="3590" w:type="pct"/>
          </w:tcPr>
          <w:p>
            <w:pPr>
              <w:rPr>
                <w:rFonts w:eastAsiaTheme="minorEastAsia"/>
                <w:lang w:eastAsia="zh-CN"/>
              </w:rPr>
            </w:pPr>
            <w:r>
              <w:rPr>
                <w:rFonts w:eastAsiaTheme="minorEastAsia"/>
                <w:lang w:eastAsia="zh-CN"/>
              </w:rPr>
              <w:t>I think the following two agreements can guarantee the GNSS measurement by UE (e.g., UE can achieve correct GNSS finally)</w:t>
            </w:r>
          </w:p>
          <w:p>
            <w:pPr>
              <w:pStyle w:val="115"/>
              <w:numPr>
                <w:ilvl w:val="0"/>
                <w:numId w:val="20"/>
              </w:numPr>
              <w:rPr>
                <w:rFonts w:eastAsia="Calibri"/>
              </w:rPr>
            </w:pPr>
            <w:r>
              <w:rPr>
                <w:rFonts w:eastAsia="Calibri"/>
              </w:rPr>
              <w:t>For GNSS measurement in RRC connected, if eNB aperiodically triggers connected UE to make GNSS measurement, UE can re-acquire GNSS position fix with a gap.</w:t>
            </w:r>
          </w:p>
          <w:p>
            <w:pPr>
              <w:pStyle w:val="115"/>
              <w:numPr>
                <w:ilvl w:val="0"/>
                <w:numId w:val="20"/>
              </w:numPr>
              <w:rPr>
                <w:lang w:eastAsia="ko-KR"/>
              </w:rPr>
            </w:pPr>
            <w:r>
              <w:rPr>
                <w:lang w:eastAsia="ko-KR"/>
              </w:rPr>
              <w:t>The UE may re-acquire GNSS autonomously (when configured by the network) if UE does not receive eNB trigger to make GNSS measurement.</w:t>
            </w:r>
          </w:p>
          <w:p>
            <w:pPr>
              <w:rPr>
                <w:rFonts w:eastAsiaTheme="minorEastAsia"/>
                <w:lang w:eastAsia="zh-CN"/>
              </w:rPr>
            </w:pPr>
          </w:p>
          <w:p>
            <w:pPr>
              <w:rPr>
                <w:rFonts w:eastAsiaTheme="minorEastAsia"/>
                <w:lang w:eastAsia="zh-CN"/>
              </w:rPr>
            </w:pPr>
            <w:r>
              <w:rPr>
                <w:rFonts w:eastAsiaTheme="minorEastAsia"/>
                <w:lang w:eastAsia="zh-CN"/>
              </w:rPr>
              <w:t>We may need more time to understand the motivation of the issue.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S Mincho"/>
                <w:bCs/>
                <w:lang w:eastAsia="ja-JP"/>
              </w:rPr>
              <w:t>MediaTek</w:t>
            </w:r>
          </w:p>
        </w:tc>
        <w:tc>
          <w:tcPr>
            <w:tcW w:w="749" w:type="pct"/>
          </w:tcPr>
          <w:p>
            <w:pPr>
              <w:rPr>
                <w:rFonts w:eastAsiaTheme="minorEastAsia"/>
                <w:lang w:eastAsia="zh-CN"/>
              </w:rPr>
            </w:pPr>
            <w:r>
              <w:rPr>
                <w:rFonts w:eastAsiaTheme="minorEastAsia"/>
                <w:lang w:eastAsia="zh-CN"/>
              </w:rPr>
              <w:t>Not correct</w:t>
            </w:r>
          </w:p>
        </w:tc>
        <w:tc>
          <w:tcPr>
            <w:tcW w:w="3590" w:type="pct"/>
          </w:tcPr>
          <w:p>
            <w:pPr>
              <w:rPr>
                <w:rFonts w:eastAsia="MS Mincho"/>
                <w:lang w:eastAsia="ja-JP"/>
              </w:rPr>
            </w:pPr>
            <w:r>
              <w:rPr>
                <w:rFonts w:eastAsia="MS Mincho"/>
                <w:lang w:eastAsia="ja-JP"/>
              </w:rPr>
              <w:t>Same understanding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algun Gothic"/>
                <w:bCs/>
                <w:lang w:eastAsia="ko-KR"/>
              </w:rPr>
              <w:t>Ericsson</w:t>
            </w:r>
          </w:p>
        </w:tc>
        <w:tc>
          <w:tcPr>
            <w:tcW w:w="749" w:type="pct"/>
          </w:tcPr>
          <w:p>
            <w:pPr>
              <w:rPr>
                <w:rFonts w:eastAsia="MS Mincho"/>
                <w:lang w:eastAsia="ja-JP"/>
              </w:rPr>
            </w:pPr>
            <w:r>
              <w:rPr>
                <w:rFonts w:eastAsia="Malgun Gothic"/>
                <w:lang w:eastAsia="ko-KR"/>
              </w:rPr>
              <w:t>Correct</w:t>
            </w:r>
          </w:p>
        </w:tc>
        <w:tc>
          <w:tcPr>
            <w:tcW w:w="3590" w:type="pct"/>
          </w:tcPr>
          <w:p>
            <w:pPr>
              <w:rPr>
                <w:lang w:eastAsia="zh-CN"/>
              </w:rPr>
            </w:pPr>
            <w:r>
              <w:rPr>
                <w:lang w:eastAsia="zh-CN"/>
              </w:rPr>
              <w:t>It is reasonable to assume that the UE is not always “</w:t>
            </w:r>
            <w:r>
              <w:rPr>
                <w:rFonts w:eastAsiaTheme="minorEastAsia"/>
                <w:lang w:eastAsia="zh-CN"/>
              </w:rPr>
              <w:t>capable to assses/report own GNSS validity time”</w:t>
            </w:r>
            <w:r>
              <w:rPr>
                <w:lang w:eastAsia="zh-CN"/>
              </w:rPr>
              <w:t>, since the UE cannot always predict the user’s future movement.</w:t>
            </w:r>
          </w:p>
          <w:p>
            <w:pPr>
              <w:rPr>
                <w:lang w:eastAsia="zh-CN"/>
              </w:rPr>
            </w:pPr>
          </w:p>
          <w:p>
            <w:pPr>
              <w:rPr>
                <w:lang w:eastAsia="zh-CN"/>
              </w:rPr>
            </w:pPr>
            <w:r>
              <w:rPr>
                <w:lang w:eastAsia="zh-CN"/>
              </w:rPr>
              <w:t>We propose minor rewording for improved readability as follows:</w:t>
            </w:r>
          </w:p>
          <w:p>
            <w:pPr>
              <w:rPr>
                <w:ins w:id="24" w:author="Stefan Eriksson G" w:date="2024-05-21T17:32:00Z"/>
                <w:b/>
                <w:bCs/>
                <w:lang w:eastAsia="zh-CN"/>
              </w:rPr>
            </w:pPr>
          </w:p>
          <w:p>
            <w:pPr>
              <w:rPr>
                <w:b/>
                <w:bCs/>
              </w:rPr>
            </w:pPr>
            <w:r>
              <w:rPr>
                <w:b/>
                <w:bCs/>
                <w:highlight w:val="yellow"/>
                <w:lang w:eastAsia="zh-CN"/>
              </w:rPr>
              <w:t>Initial observation 3-1:</w:t>
            </w:r>
            <w:r>
              <w:rPr>
                <w:b/>
                <w:bCs/>
                <w:lang w:eastAsia="zh-CN"/>
              </w:rPr>
              <w:t xml:space="preserve"> </w:t>
            </w:r>
            <w:r>
              <w:rPr>
                <w:b/>
                <w:bCs/>
              </w:rPr>
              <w:t>If Rel18 IoT NTN UE does not support aperiodic trigger</w:t>
            </w:r>
            <w:del w:id="25" w:author="Stefan Eriksson G" w:date="2024-05-21T17:32:00Z">
              <w:r>
                <w:rPr>
                  <w:b/>
                  <w:bCs/>
                </w:rPr>
                <w:delText>r</w:delText>
              </w:r>
            </w:del>
            <w:r>
              <w:rPr>
                <w:b/>
                <w:bCs/>
              </w:rPr>
              <w:t xml:space="preserve">ed GNSS measurement, when the eNB detects there is </w:t>
            </w:r>
            <w:ins w:id="26" w:author="Stefan Eriksson G" w:date="2024-05-21T17:32:00Z">
              <w:r>
                <w:rPr>
                  <w:b/>
                  <w:bCs/>
                </w:rPr>
                <w:t xml:space="preserve">a </w:t>
              </w:r>
            </w:ins>
            <w:ins w:id="27" w:author="Stefan Eriksson G" w:date="2024-05-21T17:31:00Z">
              <w:r>
                <w:rPr>
                  <w:b/>
                  <w:bCs/>
                </w:rPr>
                <w:t>persistent</w:t>
              </w:r>
            </w:ins>
            <w:del w:id="28" w:author="Stefan Eriksson G" w:date="2024-05-21T17:31:00Z">
              <w:r>
                <w:rPr>
                  <w:b/>
                  <w:bCs/>
                </w:rPr>
                <w:delText xml:space="preserve">contiguous </w:delText>
              </w:r>
            </w:del>
            <w:r>
              <w:rPr>
                <w:b/>
                <w:bCs/>
              </w:rPr>
              <w:t>time error even with TAC, the eNB has to release the UE to IDLE mode, which will break long connection and is not in line with the work item scope of long connections of IoT NTN UE in Rel18.</w:t>
            </w:r>
          </w:p>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60" w:type="pct"/>
            <w:vAlign w:val="top"/>
          </w:tcPr>
          <w:p>
            <w:pPr>
              <w:rPr>
                <w:rFonts w:hint="default" w:ascii="Times New Roman" w:hAnsi="Times New Roman" w:cs="Times New Roman" w:eastAsiaTheme="minorEastAsia"/>
                <w:bCs/>
                <w:szCs w:val="24"/>
                <w:lang w:val="en-US" w:eastAsia="zh-CN" w:bidi="ar-SA"/>
              </w:rPr>
            </w:pPr>
            <w:r>
              <w:rPr>
                <w:rFonts w:hint="eastAsia" w:eastAsiaTheme="minorEastAsia"/>
                <w:bCs/>
                <w:lang w:val="en-US" w:eastAsia="zh-CN"/>
              </w:rPr>
              <w:t>ZTE</w:t>
            </w:r>
          </w:p>
        </w:tc>
        <w:tc>
          <w:tcPr>
            <w:tcW w:w="749"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Not correct</w:t>
            </w:r>
          </w:p>
        </w:tc>
        <w:tc>
          <w:tcPr>
            <w:tcW w:w="3590"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 xml:space="preserve">UE should ensure the GNSS is valid during the reported GNSS validity duration. It should not be a normal case where the GNSS is invalid before expiration of GNSS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bl>
    <w:p>
      <w:pPr>
        <w:rPr>
          <w:b/>
          <w:bCs/>
        </w:rPr>
      </w:pPr>
    </w:p>
    <w:p>
      <w:pPr>
        <w:rPr>
          <w:b/>
          <w:bCs/>
        </w:rPr>
      </w:pPr>
    </w:p>
    <w:p>
      <w:pPr>
        <w:rPr>
          <w:b/>
          <w:bCs/>
          <w:lang w:eastAsia="zh-CN"/>
        </w:rPr>
      </w:pPr>
      <w:r>
        <w:rPr>
          <w:b/>
          <w:bCs/>
          <w:highlight w:val="yellow"/>
          <w:lang w:eastAsia="zh-CN"/>
        </w:rPr>
        <w:t>Proposed observation 3-2</w:t>
      </w:r>
      <w:r>
        <w:rPr>
          <w:b/>
          <w:bCs/>
          <w:lang w:eastAsia="zh-CN"/>
        </w:rPr>
        <w:t xml:space="preserve">: If </w:t>
      </w:r>
      <w:r>
        <w:rPr>
          <w:b/>
          <w:bCs/>
        </w:rPr>
        <w:t xml:space="preserve">Rel18 IoT NTN UE does not support aperiodic triggerred GNSS measurement, </w:t>
      </w:r>
      <w:r>
        <w:rPr>
          <w:rFonts w:hint="eastAsia"/>
          <w:b/>
          <w:bCs/>
          <w:lang w:eastAsia="zh-CN"/>
        </w:rPr>
        <w:t xml:space="preserve">even eNB release UE because of UL unsync issue, as </w:t>
      </w:r>
      <w:r>
        <w:rPr>
          <w:b/>
          <w:bCs/>
          <w:lang w:eastAsia="zh-CN"/>
        </w:rPr>
        <w:t>UE still consider GNSS as valid, then when UE reaccess into cell but not re-acquire GNSS, which will cause long time UL interference because of UL unsync and much useless signaling overhead for random access that will always fail because of invalid GNSS.</w:t>
      </w:r>
    </w:p>
    <w:tbl>
      <w:tblPr>
        <w:tblStyle w:val="54"/>
        <w:tblW w:w="4635"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370"/>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pPr>
              <w:jc w:val="center"/>
              <w:rPr>
                <w:rFonts w:eastAsia="Times New Roman"/>
                <w:b/>
                <w:bCs/>
                <w:color w:val="FFFFFF"/>
                <w:szCs w:val="20"/>
              </w:rPr>
            </w:pPr>
            <w:r>
              <w:rPr>
                <w:rFonts w:eastAsia="Times New Roman"/>
                <w:b/>
                <w:bCs/>
                <w:color w:val="FFFFFF"/>
                <w:szCs w:val="20"/>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 xml:space="preserve">Nordic </w:t>
            </w:r>
          </w:p>
        </w:tc>
        <w:tc>
          <w:tcPr>
            <w:tcW w:w="749" w:type="pct"/>
          </w:tcPr>
          <w:p>
            <w:pPr>
              <w:jc w:val="both"/>
              <w:rPr>
                <w:rFonts w:eastAsiaTheme="minorEastAsia"/>
                <w:lang w:eastAsia="zh-CN"/>
              </w:rPr>
            </w:pPr>
            <w:r>
              <w:rPr>
                <w:rFonts w:eastAsiaTheme="minorEastAsia"/>
                <w:lang w:eastAsia="zh-CN"/>
              </w:rPr>
              <w:t>Disagree</w:t>
            </w:r>
          </w:p>
        </w:tc>
        <w:tc>
          <w:tcPr>
            <w:tcW w:w="3590" w:type="pct"/>
          </w:tcPr>
          <w:p>
            <w:pPr>
              <w:jc w:val="both"/>
              <w:rPr>
                <w:rFonts w:eastAsiaTheme="minorEastAsia"/>
                <w:lang w:eastAsia="zh-CN"/>
              </w:rPr>
            </w:pPr>
            <w:r>
              <w:rPr>
                <w:rFonts w:eastAsiaTheme="minorEastAsia"/>
                <w:lang w:eastAsia="zh-CN"/>
              </w:rPr>
              <w:t>Again this assumes that UE is not capable to assess own validity of GNSS.  If this would be the case, R17 would not work, but there are already functional commercial deployments in the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 NSB</w:t>
            </w:r>
          </w:p>
        </w:tc>
        <w:tc>
          <w:tcPr>
            <w:tcW w:w="749" w:type="pct"/>
          </w:tcPr>
          <w:p>
            <w:pPr>
              <w:rPr>
                <w:rFonts w:eastAsia="MS Mincho"/>
                <w:lang w:eastAsia="ja-JP"/>
              </w:rPr>
            </w:pPr>
            <w:r>
              <w:rPr>
                <w:rFonts w:eastAsia="MS Mincho"/>
                <w:lang w:eastAsia="ja-JP"/>
              </w:rPr>
              <w:t>Correct</w:t>
            </w:r>
          </w:p>
        </w:tc>
        <w:tc>
          <w:tcPr>
            <w:tcW w:w="3590" w:type="pct"/>
          </w:tcPr>
          <w:p>
            <w:pPr>
              <w:rPr>
                <w:rFonts w:eastAsiaTheme="minorEastAsia"/>
                <w:lang w:eastAsia="zh-CN"/>
              </w:rPr>
            </w:pPr>
            <w:r>
              <w:rPr>
                <w:rFonts w:eastAsiaTheme="minorEastAsia"/>
                <w:lang w:eastAsia="zh-CN"/>
              </w:rPr>
              <w:t>To clarify to Nordic, UE can report own GNSS validity duration but the GNSS may be turn to invalid due to UE movement before the GNSS validity duration expire.</w:t>
            </w:r>
          </w:p>
          <w:p>
            <w:pPr>
              <w:rPr>
                <w:rFonts w:eastAsiaTheme="minorEastAsia"/>
                <w:lang w:eastAsia="zh-CN"/>
              </w:rPr>
            </w:pPr>
            <w:r>
              <w:rPr>
                <w:rFonts w:eastAsiaTheme="minorEastAsia"/>
                <w:lang w:eastAsia="zh-CN"/>
              </w:rPr>
              <w:t>While in Rel17, eNB should release UE but no definition that UE should always do GNSS measurement before access into the cell. Additionally, For Rel17, it is just for short connection then the issue will be less impact. But for long connection in Rel18, it will cause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749" w:type="pct"/>
          </w:tcPr>
          <w:p>
            <w:pPr>
              <w:rPr>
                <w:rFonts w:eastAsia="Malgun Gothic"/>
                <w:lang w:eastAsia="ko-KR"/>
              </w:rPr>
            </w:pPr>
          </w:p>
        </w:tc>
        <w:tc>
          <w:tcPr>
            <w:tcW w:w="3590" w:type="pct"/>
          </w:tcPr>
          <w:p>
            <w:pPr>
              <w:rPr>
                <w:rFonts w:eastAsiaTheme="minorEastAsia"/>
                <w:lang w:eastAsia="zh-CN"/>
              </w:rPr>
            </w:pPr>
            <w:r>
              <w:rPr>
                <w:rFonts w:eastAsiaTheme="minorEastAsia"/>
                <w:lang w:eastAsia="zh-CN"/>
              </w:rPr>
              <w:t>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S Mincho"/>
                <w:bCs/>
                <w:lang w:eastAsia="ja-JP"/>
              </w:rPr>
              <w:t>MediaTek</w:t>
            </w:r>
          </w:p>
        </w:tc>
        <w:tc>
          <w:tcPr>
            <w:tcW w:w="749" w:type="pct"/>
          </w:tcPr>
          <w:p>
            <w:pPr>
              <w:rPr>
                <w:rFonts w:eastAsiaTheme="minorEastAsia"/>
                <w:lang w:eastAsia="zh-CN"/>
              </w:rPr>
            </w:pPr>
            <w:r>
              <w:rPr>
                <w:rFonts w:eastAsiaTheme="minorEastAsia"/>
                <w:lang w:eastAsia="zh-CN"/>
              </w:rPr>
              <w:t>Not correct</w:t>
            </w:r>
          </w:p>
        </w:tc>
        <w:tc>
          <w:tcPr>
            <w:tcW w:w="3590" w:type="pct"/>
          </w:tcPr>
          <w:p>
            <w:pPr>
              <w:rPr>
                <w:rFonts w:eastAsia="MS Mincho"/>
                <w:lang w:eastAsia="ja-JP"/>
              </w:rPr>
            </w:pPr>
            <w:r>
              <w:rPr>
                <w:rFonts w:eastAsia="MS Mincho"/>
                <w:lang w:eastAsia="ja-JP"/>
              </w:rPr>
              <w:t>Same comment as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algun Gothic"/>
                <w:bCs/>
                <w:lang w:eastAsia="ko-KR"/>
              </w:rPr>
              <w:t>Ericsson</w:t>
            </w:r>
          </w:p>
        </w:tc>
        <w:tc>
          <w:tcPr>
            <w:tcW w:w="749" w:type="pct"/>
          </w:tcPr>
          <w:p>
            <w:pPr>
              <w:rPr>
                <w:rFonts w:eastAsia="MS Mincho"/>
                <w:lang w:eastAsia="ja-JP"/>
              </w:rPr>
            </w:pPr>
            <w:r>
              <w:rPr>
                <w:rFonts w:eastAsia="Malgun Gothic"/>
                <w:lang w:eastAsia="ko-KR"/>
              </w:rPr>
              <w:t>Correct</w:t>
            </w:r>
          </w:p>
        </w:tc>
        <w:tc>
          <w:tcPr>
            <w:tcW w:w="3590" w:type="pct"/>
          </w:tcPr>
          <w:p>
            <w:pPr>
              <w:rPr>
                <w:rFonts w:eastAsia="MS Mincho"/>
                <w:lang w:eastAsia="ja-JP"/>
              </w:rPr>
            </w:pPr>
            <w:r>
              <w:rPr>
                <w:rFonts w:eastAsia="MS Mincho"/>
                <w:lang w:eastAsia="ja-JP"/>
              </w:rPr>
              <w:t>We agree that it may create problems when the UE attempts to reaccess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top"/>
          </w:tcPr>
          <w:p>
            <w:pPr>
              <w:rPr>
                <w:rFonts w:hint="default" w:ascii="Times New Roman" w:hAnsi="Times New Roman" w:cs="Times New Roman" w:eastAsiaTheme="minorEastAsia"/>
                <w:bCs/>
                <w:szCs w:val="24"/>
                <w:lang w:val="en-US" w:eastAsia="zh-CN" w:bidi="ar-SA"/>
              </w:rPr>
            </w:pPr>
            <w:r>
              <w:rPr>
                <w:rFonts w:hint="eastAsia" w:eastAsiaTheme="minorEastAsia"/>
                <w:bCs/>
                <w:lang w:val="en-US" w:eastAsia="zh-CN"/>
              </w:rPr>
              <w:t>ZTE</w:t>
            </w:r>
          </w:p>
        </w:tc>
        <w:tc>
          <w:tcPr>
            <w:tcW w:w="749"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Not correct</w:t>
            </w:r>
          </w:p>
        </w:tc>
        <w:tc>
          <w:tcPr>
            <w:tcW w:w="3590"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 xml:space="preserve">UE should ensure the GNSS is valid during the reported GNSS validity duration. It should not be a normal case where the GNSS is invalid before expiration of GNSS validity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bl>
    <w:p>
      <w:pPr>
        <w:rPr>
          <w:lang w:val="en-GB"/>
        </w:rPr>
      </w:pPr>
    </w:p>
    <w:p>
      <w:pPr>
        <w:spacing w:after="120" w:afterLines="50"/>
        <w:rPr>
          <w:rFonts w:ascii="Calibri" w:hAnsi="Calibri"/>
          <w:b/>
          <w:i/>
          <w:color w:val="FF0000"/>
        </w:rPr>
      </w:pPr>
      <w:r>
        <w:rPr>
          <w:b/>
          <w:bCs/>
          <w:highlight w:val="yellow"/>
          <w:lang w:val="en-GB"/>
        </w:rPr>
        <w:t>Proposed agreement 3-1</w:t>
      </w:r>
      <w:r>
        <w:rPr>
          <w:b/>
          <w:bCs/>
          <w:lang w:val="en-GB"/>
        </w:rPr>
        <w:t xml:space="preserve">: </w:t>
      </w:r>
      <w:bookmarkStart w:id="3" w:name="OLE_LINK5"/>
      <w:r>
        <w:rPr>
          <w:rFonts w:ascii="Calibri" w:hAnsi="Calibri"/>
          <w:b/>
          <w:bCs/>
          <w:i/>
          <w:iCs/>
          <w:color w:val="FF0000"/>
        </w:rPr>
        <w:t>If UE support</w:t>
      </w:r>
      <w:r>
        <w:rPr>
          <w:rFonts w:ascii="Calibri" w:hAnsi="Calibri"/>
          <w:b/>
          <w:i/>
          <w:color w:val="FF0000"/>
        </w:rPr>
        <w:t>s to</w:t>
      </w:r>
      <w:r>
        <w:rPr>
          <w:rFonts w:ascii="Calibri" w:hAnsi="Calibri"/>
          <w:b/>
          <w:bCs/>
          <w:i/>
          <w:iCs/>
          <w:color w:val="FF0000"/>
        </w:rPr>
        <w:t xml:space="preserve"> re-acquire GNSS</w:t>
      </w:r>
      <w:r>
        <w:rPr>
          <w:rFonts w:hint="eastAsia" w:ascii="Calibri" w:hAnsi="Calibri"/>
          <w:b/>
          <w:bCs/>
          <w:i/>
          <w:iCs/>
          <w:color w:val="FF0000"/>
        </w:rPr>
        <w:t>,</w:t>
      </w:r>
      <w:r>
        <w:rPr>
          <w:rFonts w:ascii="Calibri" w:hAnsi="Calibri"/>
          <w:b/>
          <w:bCs/>
          <w:i/>
          <w:iCs/>
          <w:color w:val="FF0000"/>
        </w:rPr>
        <w:t xml:space="preserve"> </w:t>
      </w:r>
      <w:r>
        <w:rPr>
          <w:rFonts w:ascii="Calibri" w:hAnsi="Calibri"/>
          <w:b/>
          <w:i/>
          <w:color w:val="FF0000"/>
        </w:rPr>
        <w:t xml:space="preserve">the </w:t>
      </w:r>
      <w:r>
        <w:rPr>
          <w:rFonts w:ascii="Calibri" w:hAnsi="Calibri"/>
          <w:b/>
          <w:bCs/>
          <w:i/>
          <w:iCs/>
          <w:color w:val="FF0000"/>
        </w:rPr>
        <w:t xml:space="preserve">UE should monitor </w:t>
      </w:r>
      <w:r>
        <w:rPr>
          <w:rFonts w:ascii="Calibri" w:hAnsi="Calibri"/>
          <w:b/>
          <w:i/>
          <w:color w:val="FF0000"/>
        </w:rPr>
        <w:t xml:space="preserve">for the eNB’s </w:t>
      </w:r>
      <w:r>
        <w:rPr>
          <w:rFonts w:ascii="Calibri" w:hAnsi="Calibri"/>
          <w:b/>
          <w:bCs/>
          <w:i/>
          <w:iCs/>
          <w:color w:val="FF0000"/>
        </w:rPr>
        <w:t>GNSS measurement trigger during the original GNSS validity duration + duration X (if any) when configured by eNB.</w:t>
      </w:r>
    </w:p>
    <w:p>
      <w:pPr>
        <w:spacing w:after="120" w:afterLines="50"/>
        <w:rPr>
          <w:rFonts w:ascii="Calibri" w:hAnsi="Calibri"/>
          <w:b/>
          <w:bCs/>
          <w:i/>
          <w:iCs/>
        </w:rPr>
      </w:pPr>
      <w:r>
        <w:rPr>
          <w:rFonts w:ascii="Calibri" w:hAnsi="Calibri"/>
          <w:b/>
          <w:bCs/>
          <w:i/>
          <w:iCs/>
        </w:rPr>
        <w:t>The UE may re-acquire GNSS autonomously (when configured by the network) in the GNSS measurement timer, if</w:t>
      </w:r>
    </w:p>
    <w:p>
      <w:pPr>
        <w:pStyle w:val="115"/>
        <w:widowControl w:val="0"/>
        <w:numPr>
          <w:ilvl w:val="0"/>
          <w:numId w:val="21"/>
        </w:numPr>
        <w:spacing w:after="120" w:afterLines="50" w:line="252" w:lineRule="auto"/>
        <w:contextualSpacing/>
        <w:jc w:val="both"/>
        <w:rPr>
          <w:rFonts w:ascii="Calibri" w:hAnsi="Calibri" w:eastAsia="Times New Roman"/>
          <w:b/>
          <w:bCs/>
          <w:i/>
          <w:iCs/>
          <w:szCs w:val="20"/>
        </w:rPr>
      </w:pPr>
      <w:r>
        <w:rPr>
          <w:rFonts w:eastAsia="Times New Roman"/>
          <w:b/>
          <w:bCs/>
          <w:i/>
          <w:iCs/>
          <w:szCs w:val="20"/>
        </w:rPr>
        <w:t>the original GNSS validity duration expires,</w:t>
      </w:r>
    </w:p>
    <w:p>
      <w:pPr>
        <w:pStyle w:val="115"/>
        <w:widowControl w:val="0"/>
        <w:numPr>
          <w:ilvl w:val="0"/>
          <w:numId w:val="21"/>
        </w:numPr>
        <w:spacing w:after="120" w:afterLines="50" w:line="252" w:lineRule="auto"/>
        <w:contextualSpacing/>
        <w:jc w:val="both"/>
        <w:rPr>
          <w:rFonts w:eastAsia="Times New Roman"/>
          <w:b/>
          <w:bCs/>
          <w:i/>
          <w:iCs/>
          <w:szCs w:val="20"/>
        </w:rPr>
      </w:pPr>
      <w:r>
        <w:rPr>
          <w:rFonts w:eastAsia="Times New Roman"/>
          <w:b/>
          <w:bCs/>
          <w:i/>
          <w:iCs/>
          <w:szCs w:val="20"/>
        </w:rPr>
        <w:t xml:space="preserve">the duration X (if any) expires, and </w:t>
      </w:r>
    </w:p>
    <w:p>
      <w:pPr>
        <w:pStyle w:val="115"/>
        <w:widowControl w:val="0"/>
        <w:numPr>
          <w:ilvl w:val="0"/>
          <w:numId w:val="21"/>
        </w:numPr>
        <w:spacing w:after="120" w:afterLines="50" w:line="252" w:lineRule="auto"/>
        <w:contextualSpacing/>
        <w:jc w:val="both"/>
        <w:rPr>
          <w:rFonts w:eastAsia="Times New Roman"/>
          <w:b/>
          <w:bCs/>
          <w:i/>
          <w:iCs/>
          <w:szCs w:val="20"/>
        </w:rPr>
      </w:pPr>
      <w:r>
        <w:rPr>
          <w:rFonts w:eastAsia="Times New Roman"/>
          <w:b/>
          <w:bCs/>
          <w:i/>
          <w:iCs/>
          <w:szCs w:val="20"/>
        </w:rPr>
        <w:t xml:space="preserve">UE has not received any GNSS measurement trigger </w:t>
      </w:r>
      <w:r>
        <w:rPr>
          <w:rFonts w:eastAsia="Times New Roman"/>
          <w:b/>
          <w:bCs/>
          <w:i/>
          <w:iCs/>
          <w:color w:val="FF0000"/>
          <w:szCs w:val="20"/>
        </w:rPr>
        <w:t>during the original GNSS validity duration + duration X (if any).</w:t>
      </w:r>
    </w:p>
    <w:bookmarkEnd w:id="3"/>
    <w:tbl>
      <w:tblPr>
        <w:tblStyle w:val="54"/>
        <w:tblW w:w="4635"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370"/>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shd w:val="clear" w:color="auto" w:fill="75B91A"/>
          </w:tcPr>
          <w:p>
            <w:pPr>
              <w:jc w:val="center"/>
              <w:rPr>
                <w:rFonts w:eastAsia="Times New Roman"/>
                <w:b/>
                <w:bCs/>
                <w:color w:val="FFFFFF"/>
                <w:szCs w:val="20"/>
              </w:rPr>
            </w:pPr>
            <w:r>
              <w:rPr>
                <w:rFonts w:eastAsia="Times New Roman"/>
                <w:b/>
                <w:bCs/>
                <w:color w:val="FFFFFF"/>
                <w:szCs w:val="20"/>
              </w:rPr>
              <w:t>Companies</w:t>
            </w:r>
          </w:p>
        </w:tc>
        <w:tc>
          <w:tcPr>
            <w:tcW w:w="749" w:type="pct"/>
            <w:shd w:val="clear" w:color="auto" w:fill="75B91A"/>
          </w:tcPr>
          <w:p>
            <w:pPr>
              <w:jc w:val="center"/>
              <w:rPr>
                <w:rFonts w:eastAsia="Times New Roman"/>
                <w:b/>
                <w:bCs/>
                <w:color w:val="FFFFFF"/>
                <w:szCs w:val="20"/>
              </w:rPr>
            </w:pPr>
            <w:r>
              <w:rPr>
                <w:rFonts w:eastAsia="Times New Roman"/>
                <w:b/>
                <w:bCs/>
                <w:color w:val="FFFFFF"/>
                <w:szCs w:val="20"/>
              </w:rPr>
              <w:t>Support /Not support</w:t>
            </w:r>
          </w:p>
        </w:tc>
        <w:tc>
          <w:tcPr>
            <w:tcW w:w="3590" w:type="pct"/>
            <w:shd w:val="clear" w:color="auto" w:fill="75B91A"/>
          </w:tcPr>
          <w:p>
            <w:pPr>
              <w:jc w:val="center"/>
              <w:rPr>
                <w:rFonts w:eastAsia="Times New Roman"/>
                <w:b/>
                <w:bCs/>
                <w:color w:val="FFFFFF"/>
                <w:szCs w:val="20"/>
              </w:rPr>
            </w:pPr>
            <w:r>
              <w:rPr>
                <w:rFonts w:eastAsia="Times New Roman"/>
                <w:b/>
                <w:bCs/>
                <w:color w:val="FFFFFF"/>
                <w:szCs w:val="20"/>
              </w:rPr>
              <w:t xml:space="preserve">Comments and Views. </w:t>
            </w:r>
          </w:p>
          <w:p>
            <w:pPr>
              <w:jc w:val="center"/>
              <w:rPr>
                <w:rFonts w:eastAsia="Times New Roman"/>
                <w:b/>
                <w:bCs/>
                <w:color w:val="FFFFFF"/>
                <w:szCs w:val="20"/>
              </w:rPr>
            </w:pPr>
            <w:r>
              <w:rPr>
                <w:rFonts w:eastAsia="Times New Roman"/>
                <w:b/>
                <w:bCs/>
                <w:color w:val="FFFFFF"/>
                <w:szCs w:val="20"/>
              </w:rPr>
              <w:t>Please companies not support to provide how to avoid UL interference and useless overhead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 xml:space="preserve">Nordic </w:t>
            </w:r>
          </w:p>
        </w:tc>
        <w:tc>
          <w:tcPr>
            <w:tcW w:w="749" w:type="pct"/>
          </w:tcPr>
          <w:p>
            <w:pPr>
              <w:jc w:val="both"/>
              <w:rPr>
                <w:rFonts w:eastAsiaTheme="minorEastAsia"/>
                <w:lang w:eastAsia="zh-CN"/>
              </w:rPr>
            </w:pPr>
            <w:r>
              <w:rPr>
                <w:rFonts w:eastAsiaTheme="minorEastAsia"/>
                <w:lang w:eastAsia="zh-CN"/>
              </w:rPr>
              <w:t>Ok, with further clarification</w:t>
            </w:r>
          </w:p>
        </w:tc>
        <w:tc>
          <w:tcPr>
            <w:tcW w:w="3590" w:type="pct"/>
          </w:tcPr>
          <w:p>
            <w:pPr>
              <w:jc w:val="both"/>
              <w:rPr>
                <w:rFonts w:eastAsiaTheme="minorEastAsia"/>
                <w:lang w:eastAsia="zh-CN"/>
              </w:rPr>
            </w:pPr>
            <w:r>
              <w:rPr>
                <w:rFonts w:ascii="Calibri" w:hAnsi="Calibri"/>
                <w:b/>
                <w:bCs/>
                <w:i/>
                <w:iCs/>
                <w:color w:val="FF0000"/>
              </w:rPr>
              <w:t>If UE support</w:t>
            </w:r>
            <w:r>
              <w:rPr>
                <w:rFonts w:ascii="Calibri" w:hAnsi="Calibri"/>
                <w:b/>
                <w:i/>
                <w:color w:val="FF0000"/>
              </w:rPr>
              <w:t>s to</w:t>
            </w:r>
            <w:r>
              <w:rPr>
                <w:rFonts w:ascii="Calibri" w:hAnsi="Calibri"/>
                <w:b/>
                <w:bCs/>
                <w:i/>
                <w:iCs/>
                <w:color w:val="FF0000"/>
              </w:rPr>
              <w:t xml:space="preserve"> re-acquire GNSS </w:t>
            </w:r>
            <w:r>
              <w:rPr>
                <w:rFonts w:ascii="Calibri" w:hAnsi="Calibri"/>
                <w:b/>
                <w:bCs/>
                <w:i/>
                <w:iCs/>
                <w:color w:val="376092" w:themeColor="accent1" w:themeShade="BF"/>
              </w:rPr>
              <w:t>over the aperiodic trigger FG 3a/3b</w:t>
            </w:r>
            <w:r>
              <w:rPr>
                <w:rFonts w:ascii="Calibri" w:hAnsi="Calibri"/>
                <w:b/>
                <w:bCs/>
                <w:i/>
                <w:iCs/>
                <w:color w:val="FF0000"/>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r>
              <w:rPr>
                <w:rFonts w:eastAsiaTheme="minorEastAsia"/>
                <w:bCs/>
                <w:lang w:eastAsia="zh-CN"/>
              </w:rPr>
              <w:t>Nokia, NSB</w:t>
            </w:r>
          </w:p>
        </w:tc>
        <w:tc>
          <w:tcPr>
            <w:tcW w:w="749" w:type="pct"/>
          </w:tcPr>
          <w:p>
            <w:pPr>
              <w:rPr>
                <w:rFonts w:eastAsia="MS Mincho"/>
                <w:lang w:eastAsia="ja-JP"/>
              </w:rPr>
            </w:pPr>
            <w:r>
              <w:rPr>
                <w:rFonts w:eastAsia="MS Mincho"/>
                <w:lang w:eastAsia="ja-JP"/>
              </w:rPr>
              <w:t>Support</w:t>
            </w:r>
          </w:p>
        </w:tc>
        <w:tc>
          <w:tcPr>
            <w:tcW w:w="3590" w:type="pct"/>
          </w:tcPr>
          <w:p>
            <w:pPr>
              <w:rPr>
                <w:rFonts w:eastAsiaTheme="minorEastAsia"/>
                <w:lang w:eastAsia="zh-CN"/>
              </w:rPr>
            </w:pPr>
            <w:r>
              <w:rPr>
                <w:rFonts w:eastAsiaTheme="minorEastAsia"/>
                <w:lang w:eastAsia="zh-CN"/>
              </w:rPr>
              <w:t xml:space="preserve">As UL interference issue and huge overhead observed in </w:t>
            </w:r>
            <w:r>
              <w:rPr>
                <w:b/>
                <w:bCs/>
                <w:highlight w:val="yellow"/>
                <w:lang w:eastAsia="zh-CN"/>
              </w:rPr>
              <w:t>Proposed observation 3-2</w:t>
            </w:r>
            <w:r>
              <w:rPr>
                <w:b/>
                <w:bCs/>
                <w:lang w:eastAsia="zh-CN"/>
              </w:rPr>
              <w:t xml:space="preserve"> based on current spec</w:t>
            </w:r>
            <w:r>
              <w:rPr>
                <w:rFonts w:eastAsiaTheme="minorEastAsia"/>
                <w:lang w:eastAsia="zh-CN"/>
              </w:rPr>
              <w:t xml:space="preserve">, </w:t>
            </w:r>
            <w:r>
              <w:rPr>
                <w:rFonts w:eastAsiaTheme="minorEastAsia"/>
                <w:b/>
                <w:bCs/>
                <w:lang w:eastAsia="zh-CN"/>
              </w:rPr>
              <w:t xml:space="preserve">if UE support re-acquire GNSS, then UE should firstly support aperiodic GNSS measurement and support to do GNSS measurement based on eNB triggering.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lang w:eastAsia="zh-CN"/>
              </w:rPr>
            </w:pPr>
            <w:r>
              <w:rPr>
                <w:rFonts w:eastAsiaTheme="minorEastAsia"/>
                <w:lang w:eastAsia="zh-CN"/>
              </w:rPr>
              <w:t xml:space="preserve"> </w:t>
            </w:r>
            <w:r>
              <w:rPr>
                <w:rFonts w:hint="eastAsia" w:eastAsiaTheme="minorEastAsia"/>
                <w:lang w:eastAsia="zh-CN"/>
              </w:rPr>
              <w:t>Lenovo</w:t>
            </w:r>
          </w:p>
        </w:tc>
        <w:tc>
          <w:tcPr>
            <w:tcW w:w="749" w:type="pct"/>
          </w:tcPr>
          <w:p>
            <w:pPr>
              <w:rPr>
                <w:rFonts w:eastAsiaTheme="minorEastAsia"/>
                <w:lang w:eastAsia="zh-CN"/>
              </w:rPr>
            </w:pPr>
          </w:p>
        </w:tc>
        <w:tc>
          <w:tcPr>
            <w:tcW w:w="3590" w:type="pct"/>
          </w:tcPr>
          <w:p>
            <w:pPr>
              <w:rPr>
                <w:rFonts w:eastAsiaTheme="minorEastAsia"/>
                <w:lang w:eastAsia="zh-CN"/>
              </w:rPr>
            </w:pPr>
            <w:r>
              <w:rPr>
                <w:rFonts w:eastAsiaTheme="minorEastAsia"/>
                <w:lang w:eastAsia="zh-CN"/>
              </w:rPr>
              <w:t>C</w:t>
            </w:r>
            <w:r>
              <w:rPr>
                <w:rFonts w:hint="eastAsia" w:eastAsiaTheme="minorEastAsia"/>
                <w:lang w:eastAsia="zh-CN"/>
              </w:rPr>
              <w:t>an</w:t>
            </w:r>
            <w:r>
              <w:rPr>
                <w:rFonts w:eastAsiaTheme="minorEastAsia"/>
                <w:lang w:eastAsia="zh-CN"/>
              </w:rPr>
              <w:t xml:space="preserve"> </w:t>
            </w:r>
            <w:r>
              <w:rPr>
                <w:rFonts w:hint="eastAsia" w:eastAsiaTheme="minorEastAsia"/>
                <w:lang w:eastAsia="zh-CN"/>
              </w:rPr>
              <w:t>it</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up</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S Mincho"/>
                <w:bCs/>
                <w:lang w:eastAsia="ja-JP"/>
              </w:rPr>
              <w:t>MediaTek</w:t>
            </w:r>
          </w:p>
        </w:tc>
        <w:tc>
          <w:tcPr>
            <w:tcW w:w="749" w:type="pct"/>
          </w:tcPr>
          <w:p>
            <w:pPr>
              <w:rPr>
                <w:rFonts w:eastAsiaTheme="minorEastAsia"/>
                <w:lang w:eastAsia="zh-CN"/>
              </w:rPr>
            </w:pPr>
            <w:r>
              <w:rPr>
                <w:rFonts w:eastAsiaTheme="minorEastAsia"/>
                <w:lang w:eastAsia="zh-CN"/>
              </w:rPr>
              <w:t>Not support</w:t>
            </w:r>
          </w:p>
        </w:tc>
        <w:tc>
          <w:tcPr>
            <w:tcW w:w="3590" w:type="pct"/>
          </w:tcPr>
          <w:p>
            <w:pPr>
              <w:rPr>
                <w:rFonts w:eastAsia="MS Mincho"/>
                <w:lang w:eastAsia="ja-JP"/>
              </w:rPr>
            </w:pPr>
            <w:r>
              <w:rPr>
                <w:rFonts w:eastAsia="MS Mincho"/>
                <w:lang w:eastAsia="ja-JP"/>
              </w:rPr>
              <w:t>No need for clarification as second bullet is already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MS Mincho"/>
                <w:bCs/>
                <w:lang w:eastAsia="ja-JP"/>
              </w:rPr>
            </w:pPr>
            <w:r>
              <w:rPr>
                <w:rFonts w:eastAsia="Malgun Gothic"/>
                <w:bCs/>
                <w:lang w:eastAsia="ko-KR"/>
              </w:rPr>
              <w:t xml:space="preserve"> Ericsson</w:t>
            </w:r>
          </w:p>
        </w:tc>
        <w:tc>
          <w:tcPr>
            <w:tcW w:w="749" w:type="pct"/>
          </w:tcPr>
          <w:p>
            <w:pPr>
              <w:rPr>
                <w:rFonts w:eastAsia="MS Mincho"/>
                <w:lang w:eastAsia="ja-JP"/>
              </w:rPr>
            </w:pPr>
            <w:r>
              <w:rPr>
                <w:rFonts w:eastAsia="Malgun Gothic"/>
                <w:lang w:eastAsia="ko-KR"/>
              </w:rPr>
              <w:t>See comment</w:t>
            </w:r>
          </w:p>
        </w:tc>
        <w:tc>
          <w:tcPr>
            <w:tcW w:w="3590" w:type="pct"/>
          </w:tcPr>
          <w:p>
            <w:pPr>
              <w:rPr>
                <w:rFonts w:eastAsia="MS Mincho"/>
                <w:lang w:eastAsia="ja-JP"/>
              </w:rPr>
            </w:pPr>
            <w:r>
              <w:rPr>
                <w:rFonts w:eastAsia="MS Mincho"/>
                <w:lang w:eastAsia="ja-JP"/>
              </w:rPr>
              <w:t>This is already clear from existing agreements and we don’t think we need this proposal. Based on the UE feature discussion, we will come back in the next meeting to discuss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top"/>
          </w:tcPr>
          <w:p>
            <w:pPr>
              <w:rPr>
                <w:rFonts w:hint="default" w:ascii="Times New Roman" w:hAnsi="Times New Roman" w:cs="Times New Roman" w:eastAsiaTheme="minorEastAsia"/>
                <w:bCs/>
                <w:szCs w:val="24"/>
                <w:lang w:val="en-US" w:eastAsia="zh-CN" w:bidi="ar-SA"/>
              </w:rPr>
            </w:pPr>
            <w:r>
              <w:rPr>
                <w:rFonts w:hint="eastAsia" w:eastAsiaTheme="minorEastAsia"/>
                <w:bCs/>
                <w:lang w:val="en-US" w:eastAsia="zh-CN"/>
              </w:rPr>
              <w:t>ZTE</w:t>
            </w:r>
          </w:p>
        </w:tc>
        <w:tc>
          <w:tcPr>
            <w:tcW w:w="749"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Not support</w:t>
            </w:r>
          </w:p>
        </w:tc>
        <w:tc>
          <w:tcPr>
            <w:tcW w:w="3590" w:type="pct"/>
            <w:vAlign w:val="top"/>
          </w:tcPr>
          <w:p>
            <w:pPr>
              <w:rPr>
                <w:rFonts w:hint="default" w:ascii="Times New Roman" w:hAnsi="Times New Roman" w:cs="Times New Roman" w:eastAsiaTheme="minorEastAsia"/>
                <w:szCs w:val="24"/>
                <w:lang w:val="en-US" w:eastAsia="zh-CN" w:bidi="ar-SA"/>
              </w:rPr>
            </w:pPr>
            <w:r>
              <w:rPr>
                <w:rFonts w:hint="eastAsia" w:eastAsiaTheme="minorEastAsia"/>
                <w:lang w:val="en-US" w:eastAsia="zh-CN"/>
              </w:rPr>
              <w:t>This can be further discussed in UE feature discussion.</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tcPr>
          <w:p>
            <w:pPr>
              <w:rPr>
                <w:rFonts w:eastAsiaTheme="minorEastAsia"/>
                <w:bCs/>
                <w:lang w:eastAsia="zh-CN"/>
              </w:rPr>
            </w:pPr>
          </w:p>
        </w:tc>
        <w:tc>
          <w:tcPr>
            <w:tcW w:w="749" w:type="pct"/>
          </w:tcPr>
          <w:p>
            <w:pPr>
              <w:rPr>
                <w:rFonts w:eastAsiaTheme="minorEastAsia"/>
                <w:lang w:eastAsia="zh-CN"/>
              </w:rPr>
            </w:pPr>
          </w:p>
        </w:tc>
        <w:tc>
          <w:tcPr>
            <w:tcW w:w="3590" w:type="pct"/>
          </w:tcPr>
          <w:p>
            <w:pPr>
              <w:rPr>
                <w:rFonts w:eastAsiaTheme="minorEastAsia"/>
                <w:lang w:eastAsia="zh-CN"/>
              </w:rPr>
            </w:pPr>
          </w:p>
        </w:tc>
      </w:tr>
    </w:tbl>
    <w:p>
      <w:pPr>
        <w:pStyle w:val="205"/>
      </w:pPr>
    </w:p>
    <w:p>
      <w:pPr>
        <w:pStyle w:val="205"/>
        <w:rPr>
          <w:lang w:val="en-GB"/>
        </w:rPr>
      </w:pPr>
    </w:p>
    <w:p>
      <w:pPr>
        <w:pStyle w:val="2"/>
      </w:pPr>
      <w:r>
        <w:t>Summary</w:t>
      </w:r>
    </w:p>
    <w:p>
      <w:pPr>
        <w:rPr>
          <w:lang w:val="en-GB"/>
        </w:rPr>
      </w:pPr>
      <w:r>
        <w:rPr>
          <w:lang w:val="en-GB"/>
        </w:rPr>
        <w:t>To be filled with summary after discussions.</w:t>
      </w:r>
    </w:p>
    <w:p>
      <w:pPr>
        <w:rPr>
          <w:lang w:val="en-GB"/>
        </w:rPr>
      </w:pPr>
    </w:p>
    <w:p>
      <w:pPr>
        <w:rPr>
          <w:lang w:val="en-GB"/>
        </w:rPr>
      </w:pPr>
    </w:p>
    <w:p>
      <w:pPr>
        <w:rPr>
          <w:lang w:val="en-GB"/>
        </w:rPr>
      </w:pPr>
    </w:p>
    <w:bookmarkEnd w:id="2"/>
    <w:p>
      <w:pPr>
        <w:pStyle w:val="2"/>
        <w:jc w:val="both"/>
      </w:pPr>
      <w:r>
        <w:t>References</w:t>
      </w:r>
    </w:p>
    <w:p>
      <w:pPr>
        <w:pStyle w:val="115"/>
        <w:numPr>
          <w:ilvl w:val="0"/>
          <w:numId w:val="22"/>
        </w:numPr>
        <w:rPr>
          <w:szCs w:val="20"/>
        </w:rPr>
      </w:pPr>
      <w:r>
        <w:rPr>
          <w:szCs w:val="20"/>
        </w:rPr>
        <w:t>RAN1 Chairman’s notes, 3GPP TSG RAN WG1 #113, Incheon, Korea, May 22nd – May 26th, 2023.</w:t>
      </w:r>
    </w:p>
    <w:p>
      <w:pPr>
        <w:pStyle w:val="115"/>
        <w:numPr>
          <w:ilvl w:val="0"/>
          <w:numId w:val="22"/>
        </w:numPr>
        <w:rPr>
          <w:szCs w:val="20"/>
        </w:rPr>
      </w:pPr>
      <w:r>
        <w:rPr>
          <w:szCs w:val="20"/>
        </w:rPr>
        <w:t>RAN1 Chairman’s notes, 3GPP TSG RAN WG1 #114, Toulouse, France, 21-25 August, 2023.</w:t>
      </w:r>
    </w:p>
    <w:p>
      <w:pPr>
        <w:pStyle w:val="115"/>
        <w:numPr>
          <w:ilvl w:val="0"/>
          <w:numId w:val="22"/>
        </w:numPr>
        <w:rPr>
          <w:szCs w:val="20"/>
        </w:rPr>
      </w:pPr>
      <w:r>
        <w:rPr>
          <w:szCs w:val="20"/>
        </w:rPr>
        <w:t>RAN1 Chairman’s notes, 3GPP TSG RAN WG1 #111, Toulouse, France, November 14th – 18th, 2022.</w:t>
      </w:r>
    </w:p>
    <w:p>
      <w:pPr>
        <w:pStyle w:val="115"/>
        <w:numPr>
          <w:ilvl w:val="0"/>
          <w:numId w:val="22"/>
        </w:numPr>
        <w:ind w:left="782" w:hanging="357"/>
        <w:rPr>
          <w:szCs w:val="20"/>
        </w:rPr>
      </w:pPr>
      <w:r>
        <w:t>R1-2404741</w:t>
      </w:r>
      <w:r>
        <w:tab/>
      </w:r>
      <w:r>
        <w:t>Maintenance on IoT NTN enhancements</w:t>
      </w:r>
      <w:r>
        <w:tab/>
      </w:r>
      <w:r>
        <w:t>Nokia, Nokia Shanghai Bell, Fukuoka, Japan, 20 – 24 May, 2024</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KaiTi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pPr>
    <w:r>
      <w:tab/>
    </w:r>
    <w:r>
      <w:rPr>
        <w:rStyle w:val="58"/>
      </w:rPr>
      <w:fldChar w:fldCharType="begin"/>
    </w:r>
    <w:r>
      <w:rPr>
        <w:rStyle w:val="58"/>
      </w:rPr>
      <w:instrText xml:space="preserve"> PAGE </w:instrText>
    </w:r>
    <w:r>
      <w:rPr>
        <w:rStyle w:val="58"/>
      </w:rPr>
      <w:fldChar w:fldCharType="separate"/>
    </w:r>
    <w:r>
      <w:rPr>
        <w:rStyle w:val="58"/>
      </w:rPr>
      <w:t>8</w:t>
    </w:r>
    <w:r>
      <w:rPr>
        <w:rStyle w:val="58"/>
      </w:rPr>
      <w:fldChar w:fldCharType="end"/>
    </w:r>
    <w:r>
      <w:rPr>
        <w:rStyle w:val="58"/>
      </w:rPr>
      <w:t>/</w:t>
    </w:r>
    <w:r>
      <w:rPr>
        <w:rStyle w:val="58"/>
      </w:rPr>
      <w:fldChar w:fldCharType="begin"/>
    </w:r>
    <w:r>
      <w:rPr>
        <w:rStyle w:val="58"/>
      </w:rPr>
      <w:instrText xml:space="preserve"> NUMPAGES </w:instrText>
    </w:r>
    <w:r>
      <w:rPr>
        <w:rStyle w:val="58"/>
      </w:rPr>
      <w:fldChar w:fldCharType="separate"/>
    </w:r>
    <w:r>
      <w:rPr>
        <w:rStyle w:val="58"/>
      </w:rPr>
      <w:t>29</w:t>
    </w:r>
    <w:r>
      <w:rPr>
        <w:rStyle w:val="58"/>
      </w:rPr>
      <w:fldChar w:fldCharType="end"/>
    </w:r>
    <w:r>
      <w:rPr>
        <w:rStyle w:val="5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6D30A22"/>
    <w:multiLevelType w:val="multilevel"/>
    <w:tmpl w:val="06D30A2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84002C7"/>
    <w:multiLevelType w:val="multilevel"/>
    <w:tmpl w:val="184002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8854D78"/>
    <w:multiLevelType w:val="multilevel"/>
    <w:tmpl w:val="18854D78"/>
    <w:lvl w:ilvl="0" w:tentative="0">
      <w:start w:val="6"/>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701F8A"/>
    <w:multiLevelType w:val="multilevel"/>
    <w:tmpl w:val="1C701F8A"/>
    <w:lvl w:ilvl="0" w:tentative="0">
      <w:start w:val="1"/>
      <w:numFmt w:val="upp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D4535E"/>
    <w:multiLevelType w:val="multilevel"/>
    <w:tmpl w:val="1ED453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2DDF0E1C"/>
    <w:multiLevelType w:val="multilevel"/>
    <w:tmpl w:val="2DDF0E1C"/>
    <w:lvl w:ilvl="0" w:tentative="0">
      <w:start w:val="1"/>
      <w:numFmt w:val="bullet"/>
      <w:pStyle w:val="167"/>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7660336"/>
    <w:multiLevelType w:val="multilevel"/>
    <w:tmpl w:val="37660336"/>
    <w:lvl w:ilvl="0" w:tentative="0">
      <w:start w:val="1"/>
      <w:numFmt w:val="bullet"/>
      <w:pStyle w:val="198"/>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A877D64"/>
    <w:multiLevelType w:val="singleLevel"/>
    <w:tmpl w:val="3A877D64"/>
    <w:lvl w:ilvl="0" w:tentative="0">
      <w:start w:val="1"/>
      <w:numFmt w:val="decimal"/>
      <w:pStyle w:val="202"/>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132"/>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3411" w:hanging="576"/>
      </w:pPr>
      <w:rPr>
        <w:rFonts w:hint="eastAsia"/>
        <w:lang w:val="en-US"/>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5"/>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1"/>
      <w:suff w:val="space"/>
      <w:lvlText w:val="表%9"/>
      <w:lvlJc w:val="center"/>
      <w:pPr>
        <w:ind w:left="0" w:firstLine="0"/>
      </w:pPr>
      <w:rPr>
        <w:rFonts w:hint="default" w:ascii="Arial" w:hAnsi="Arial" w:eastAsia="黑体"/>
        <w:b w:val="0"/>
        <w:i w:val="0"/>
        <w:sz w:val="18"/>
        <w:szCs w:val="18"/>
      </w:rPr>
    </w:lvl>
  </w:abstractNum>
  <w:abstractNum w:abstractNumId="12">
    <w:nsid w:val="4B7C1E8E"/>
    <w:multiLevelType w:val="multilevel"/>
    <w:tmpl w:val="4B7C1E8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4BDF65F6"/>
    <w:multiLevelType w:val="multilevel"/>
    <w:tmpl w:val="4BDF65F6"/>
    <w:lvl w:ilvl="0" w:tentative="0">
      <w:start w:val="1"/>
      <w:numFmt w:val="decimal"/>
      <w:pStyle w:val="1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D6E3167"/>
    <w:multiLevelType w:val="multilevel"/>
    <w:tmpl w:val="4D6E3167"/>
    <w:lvl w:ilvl="0" w:tentative="0">
      <w:start w:val="1"/>
      <w:numFmt w:val="decimal"/>
      <w:pStyle w:val="258"/>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4D700A2C"/>
    <w:multiLevelType w:val="multilevel"/>
    <w:tmpl w:val="4D700A2C"/>
    <w:lvl w:ilvl="0" w:tentative="0">
      <w:start w:val="1"/>
      <w:numFmt w:val="decimal"/>
      <w:lvlText w:val="[%1]"/>
      <w:lvlJc w:val="left"/>
      <w:pPr>
        <w:ind w:left="785" w:hanging="360"/>
      </w:pPr>
      <w:rPr>
        <w:rFonts w:hint="default"/>
        <w:b w:val="0"/>
        <w:bCs w:val="0"/>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5101505E"/>
    <w:multiLevelType w:val="multilevel"/>
    <w:tmpl w:val="5101505E"/>
    <w:lvl w:ilvl="0" w:tentative="0">
      <w:start w:val="1"/>
      <w:numFmt w:val="decimal"/>
      <w:pStyle w:val="13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15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F1912B1"/>
    <w:multiLevelType w:val="multilevel"/>
    <w:tmpl w:val="5F1912B1"/>
    <w:lvl w:ilvl="0" w:tentative="0">
      <w:start w:val="1"/>
      <w:numFmt w:val="bullet"/>
      <w:pStyle w:val="234"/>
      <w:lvlText w:val=""/>
      <w:lvlJc w:val="left"/>
      <w:pPr>
        <w:ind w:left="720" w:hanging="360"/>
      </w:pPr>
      <w:rPr>
        <w:rFonts w:hint="default" w:ascii="Symbol" w:hAnsi="Symbol"/>
      </w:rPr>
    </w:lvl>
    <w:lvl w:ilvl="1" w:tentative="0">
      <w:start w:val="1"/>
      <w:numFmt w:val="bullet"/>
      <w:pStyle w:val="235"/>
      <w:lvlText w:val="o"/>
      <w:lvlJc w:val="left"/>
      <w:pPr>
        <w:ind w:left="1440" w:hanging="360"/>
      </w:pPr>
      <w:rPr>
        <w:rFonts w:hint="default" w:ascii="Courier New" w:hAnsi="Courier New" w:cs="Courier New"/>
      </w:rPr>
    </w:lvl>
    <w:lvl w:ilvl="2" w:tentative="0">
      <w:start w:val="1"/>
      <w:numFmt w:val="bullet"/>
      <w:pStyle w:val="237"/>
      <w:lvlText w:val=""/>
      <w:lvlJc w:val="left"/>
      <w:pPr>
        <w:ind w:left="2160" w:hanging="360"/>
      </w:pPr>
      <w:rPr>
        <w:rFonts w:hint="default" w:ascii="Wingdings" w:hAnsi="Wingdings"/>
      </w:rPr>
    </w:lvl>
    <w:lvl w:ilvl="3" w:tentative="0">
      <w:start w:val="1"/>
      <w:numFmt w:val="bullet"/>
      <w:pStyle w:val="23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8B663FC"/>
    <w:multiLevelType w:val="multilevel"/>
    <w:tmpl w:val="68B663FC"/>
    <w:lvl w:ilvl="0" w:tentative="0">
      <w:start w:val="1"/>
      <w:numFmt w:val="bullet"/>
      <w:pStyle w:val="23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0">
    <w:nsid w:val="6B97495F"/>
    <w:multiLevelType w:val="multilevel"/>
    <w:tmpl w:val="6B9749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55336FB"/>
    <w:multiLevelType w:val="multilevel"/>
    <w:tmpl w:val="755336FB"/>
    <w:lvl w:ilvl="0" w:tentative="0">
      <w:start w:val="150"/>
      <w:numFmt w:val="bullet"/>
      <w:lvlText w:val="-"/>
      <w:lvlJc w:val="left"/>
      <w:pPr>
        <w:ind w:left="440" w:hanging="440"/>
      </w:pPr>
      <w:rPr>
        <w:rFonts w:hint="default" w:ascii="Times" w:hAnsi="Times" w:eastAsia="Batang" w:cs="Time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0"/>
  </w:num>
  <w:num w:numId="2">
    <w:abstractNumId w:val="0"/>
  </w:num>
  <w:num w:numId="3">
    <w:abstractNumId w:val="9"/>
  </w:num>
  <w:num w:numId="4">
    <w:abstractNumId w:val="13"/>
  </w:num>
  <w:num w:numId="5">
    <w:abstractNumId w:val="16"/>
  </w:num>
  <w:num w:numId="6">
    <w:abstractNumId w:val="17"/>
  </w:num>
  <w:num w:numId="7">
    <w:abstractNumId w:val="6"/>
  </w:num>
  <w:num w:numId="8">
    <w:abstractNumId w:val="11"/>
  </w:num>
  <w:num w:numId="9">
    <w:abstractNumId w:val="7"/>
  </w:num>
  <w:num w:numId="10">
    <w:abstractNumId w:val="8"/>
  </w:num>
  <w:num w:numId="11">
    <w:abstractNumId w:val="19"/>
  </w:num>
  <w:num w:numId="12">
    <w:abstractNumId w:val="18"/>
  </w:num>
  <w:num w:numId="13">
    <w:abstractNumId w:val="14"/>
  </w:num>
  <w:num w:numId="14">
    <w:abstractNumId w:val="3"/>
  </w:num>
  <w:num w:numId="15">
    <w:abstractNumId w:val="20"/>
  </w:num>
  <w:num w:numId="16">
    <w:abstractNumId w:val="4"/>
  </w:num>
  <w:num w:numId="17">
    <w:abstractNumId w:val="12"/>
  </w:num>
  <w:num w:numId="18">
    <w:abstractNumId w:val="5"/>
  </w:num>
  <w:num w:numId="19">
    <w:abstractNumId w:val="2"/>
  </w:num>
  <w:num w:numId="20">
    <w:abstractNumId w:val="21"/>
  </w:num>
  <w:num w:numId="21">
    <w:abstractNumId w:val="1"/>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yuan Sun (NSB)">
    <w15:presenceInfo w15:providerId="AD" w15:userId="S::jingyuan.sun@nokia-sbell.com::8712d175-f14e-481c-8f93-61dc04b85989"/>
  </w15:person>
  <w15:person w15:author="Mads Lauridsen (Nokia)">
    <w15:presenceInfo w15:providerId="AD" w15:userId="S::mads.lauridsen@nokia.com::973eae77-5b03-406b-a6fd-b7b308652dea"/>
  </w15:person>
  <w15:person w15:author="Stefan Eriksson G">
    <w15:presenceInfo w15:providerId="AD" w15:userId="S::stefan.g.eriksson@ericsson.com::5554ba62-ab71-4261-bd2e-ea24679ba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91C"/>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35"/>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C82"/>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5EA"/>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0B"/>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DD2"/>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3F6C"/>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3A3"/>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6F"/>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2E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A91"/>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6B"/>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1F09"/>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4BC"/>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1D9"/>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7B5"/>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16E"/>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18"/>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3FAC"/>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56"/>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8DF"/>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7F2"/>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97F79"/>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7BC"/>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384"/>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2F26"/>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1A"/>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57"/>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506"/>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5C79"/>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15"/>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9B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BEC"/>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12"/>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12C"/>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E7F2C"/>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BE3"/>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8CF"/>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9BB"/>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355"/>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78F"/>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861"/>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B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82"/>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5D6E"/>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19D"/>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CF2"/>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28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01"/>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7C"/>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44B"/>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C18"/>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28"/>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9B0"/>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8E1"/>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6E80"/>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86"/>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3"/>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3DC"/>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5B1"/>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EC"/>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935"/>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32"/>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56E"/>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2D66"/>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4CE"/>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4F"/>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1F3"/>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881"/>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A1D"/>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AC2"/>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3B7"/>
    <w:rsid w:val="00F563C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3E2B"/>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2E656FC"/>
    <w:rsid w:val="431A4C5D"/>
    <w:rsid w:val="43A551D5"/>
    <w:rsid w:val="44C0587C"/>
    <w:rsid w:val="45316BF8"/>
    <w:rsid w:val="45425411"/>
    <w:rsid w:val="45801D19"/>
    <w:rsid w:val="49F571F9"/>
    <w:rsid w:val="4A814B17"/>
    <w:rsid w:val="4BE3146E"/>
    <w:rsid w:val="4BED71F8"/>
    <w:rsid w:val="4E9F10CB"/>
    <w:rsid w:val="50E029D3"/>
    <w:rsid w:val="51946359"/>
    <w:rsid w:val="56796C3B"/>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Cs w:val="24"/>
      <w:lang w:val="en-US" w:eastAsia="en-US" w:bidi="ar-SA"/>
    </w:rPr>
  </w:style>
  <w:style w:type="paragraph" w:styleId="2">
    <w:name w:val="heading 1"/>
    <w:next w:val="1"/>
    <w:link w:val="127"/>
    <w:qFormat/>
    <w:uiPriority w:val="0"/>
    <w:pPr>
      <w:keepNext/>
      <w:keepLines/>
      <w:numPr>
        <w:ilvl w:val="0"/>
        <w:numId w:val="1"/>
      </w:numPr>
      <w:pBdr>
        <w:top w:val="single" w:color="auto" w:sz="12" w:space="3"/>
      </w:pBdr>
      <w:tabs>
        <w:tab w:val="left" w:pos="432"/>
        <w:tab w:val="left" w:pos="1000"/>
      </w:tabs>
      <w:spacing w:before="240" w:after="180"/>
      <w:outlineLvl w:val="0"/>
    </w:pPr>
    <w:rPr>
      <w:rFonts w:ascii="Times New Roman" w:hAnsi="Times New Roman" w:eastAsia="PMingLiU" w:cs="Times New Roman"/>
      <w:sz w:val="32"/>
      <w:lang w:val="en-GB" w:eastAsia="en-US" w:bidi="ar-SA"/>
    </w:rPr>
  </w:style>
  <w:style w:type="paragraph" w:styleId="3">
    <w:name w:val="heading 2"/>
    <w:basedOn w:val="2"/>
    <w:next w:val="1"/>
    <w:link w:val="108"/>
    <w:qFormat/>
    <w:uiPriority w:val="0"/>
    <w:pPr>
      <w:numPr>
        <w:ilvl w:val="1"/>
      </w:numPr>
      <w:pBdr>
        <w:top w:val="none" w:color="auto" w:sz="0" w:space="0"/>
      </w:pBdr>
      <w:tabs>
        <w:tab w:val="left" w:pos="-417"/>
        <w:tab w:val="left" w:pos="151"/>
      </w:tabs>
      <w:spacing w:before="180"/>
      <w:ind w:left="576"/>
      <w:outlineLvl w:val="1"/>
    </w:pPr>
    <w:rPr>
      <w:sz w:val="28"/>
    </w:rPr>
  </w:style>
  <w:style w:type="paragraph" w:styleId="4">
    <w:name w:val="heading 3"/>
    <w:basedOn w:val="3"/>
    <w:next w:val="1"/>
    <w:link w:val="155"/>
    <w:qFormat/>
    <w:uiPriority w:val="0"/>
    <w:pPr>
      <w:numPr>
        <w:ilvl w:val="2"/>
      </w:numPr>
      <w:tabs>
        <w:tab w:val="left" w:pos="-840"/>
      </w:tabs>
      <w:spacing w:before="120"/>
      <w:outlineLvl w:val="2"/>
    </w:pPr>
  </w:style>
  <w:style w:type="paragraph" w:styleId="5">
    <w:name w:val="heading 4"/>
    <w:basedOn w:val="4"/>
    <w:next w:val="1"/>
    <w:link w:val="114"/>
    <w:qFormat/>
    <w:uiPriority w:val="0"/>
    <w:pPr>
      <w:numPr>
        <w:ilvl w:val="3"/>
      </w:numPr>
      <w:tabs>
        <w:tab w:val="left" w:pos="-696"/>
      </w:tabs>
      <w:outlineLvl w:val="3"/>
    </w:pPr>
    <w:rPr>
      <w:sz w:val="24"/>
    </w:rPr>
  </w:style>
  <w:style w:type="paragraph" w:styleId="6">
    <w:name w:val="heading 5"/>
    <w:basedOn w:val="5"/>
    <w:next w:val="1"/>
    <w:link w:val="156"/>
    <w:qFormat/>
    <w:uiPriority w:val="0"/>
    <w:pPr>
      <w:numPr>
        <w:ilvl w:val="4"/>
      </w:numPr>
      <w:tabs>
        <w:tab w:val="left" w:pos="1575"/>
      </w:tabs>
      <w:outlineLvl w:val="4"/>
    </w:pPr>
    <w:rPr>
      <w:sz w:val="22"/>
    </w:rPr>
  </w:style>
  <w:style w:type="paragraph" w:styleId="7">
    <w:name w:val="heading 6"/>
    <w:basedOn w:val="8"/>
    <w:next w:val="1"/>
    <w:link w:val="157"/>
    <w:qFormat/>
    <w:uiPriority w:val="0"/>
    <w:pPr>
      <w:numPr>
        <w:ilvl w:val="5"/>
      </w:numPr>
      <w:tabs>
        <w:tab w:val="left" w:pos="-840"/>
        <w:tab w:val="left" w:pos="-696"/>
        <w:tab w:val="left" w:pos="-408"/>
        <w:tab w:val="left" w:pos="151"/>
        <w:tab w:val="left" w:pos="432"/>
        <w:tab w:val="left" w:pos="1000"/>
        <w:tab w:val="left" w:pos="1575"/>
      </w:tabs>
      <w:outlineLvl w:val="5"/>
    </w:pPr>
  </w:style>
  <w:style w:type="paragraph" w:styleId="9">
    <w:name w:val="heading 7"/>
    <w:basedOn w:val="8"/>
    <w:next w:val="1"/>
    <w:link w:val="158"/>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9"/>
    <w:qFormat/>
    <w:uiPriority w:val="0"/>
    <w:pPr>
      <w:numPr>
        <w:ilvl w:val="7"/>
      </w:numPr>
      <w:tabs>
        <w:tab w:val="left" w:pos="-120"/>
      </w:tabs>
      <w:outlineLvl w:val="7"/>
    </w:pPr>
  </w:style>
  <w:style w:type="paragraph" w:styleId="11">
    <w:name w:val="heading 9"/>
    <w:basedOn w:val="10"/>
    <w:next w:val="1"/>
    <w:link w:val="160"/>
    <w:qFormat/>
    <w:uiPriority w:val="0"/>
    <w:pPr>
      <w:numPr>
        <w:ilvl w:val="8"/>
      </w:numPr>
      <w:tabs>
        <w:tab w:val="left" w:pos="24"/>
      </w:tabs>
      <w:outlineLvl w:val="8"/>
    </w:p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13"/>
    <w:qFormat/>
    <w:uiPriority w:val="35"/>
    <w:pPr>
      <w:spacing w:before="120" w:after="120"/>
    </w:pPr>
    <w:rPr>
      <w:b/>
    </w:rPr>
  </w:style>
  <w:style w:type="paragraph" w:styleId="29">
    <w:name w:val="Document Map"/>
    <w:basedOn w:val="1"/>
    <w:link w:val="150"/>
    <w:qFormat/>
    <w:uiPriority w:val="0"/>
    <w:pPr>
      <w:shd w:val="clear" w:color="auto" w:fill="000080"/>
    </w:pPr>
    <w:rPr>
      <w:rFonts w:ascii="Tahoma" w:hAnsi="Tahoma"/>
    </w:rPr>
  </w:style>
  <w:style w:type="paragraph" w:styleId="30">
    <w:name w:val="annotation text"/>
    <w:basedOn w:val="1"/>
    <w:link w:val="120"/>
    <w:qFormat/>
    <w:uiPriority w:val="0"/>
  </w:style>
  <w:style w:type="paragraph" w:styleId="31">
    <w:name w:val="Body Text"/>
    <w:basedOn w:val="1"/>
    <w:link w:val="119"/>
    <w:qFormat/>
    <w:uiPriority w:val="99"/>
  </w:style>
  <w:style w:type="paragraph" w:styleId="32">
    <w:name w:val="List Number 3"/>
    <w:basedOn w:val="22"/>
    <w:qFormat/>
    <w:uiPriority w:val="0"/>
    <w:pPr>
      <w:numPr>
        <w:ilvl w:val="0"/>
        <w:numId w:val="2"/>
      </w:numPr>
      <w:spacing w:after="200" w:line="276" w:lineRule="auto"/>
      <w:contextualSpacing/>
    </w:pPr>
    <w:rPr>
      <w:rFonts w:ascii="Arial" w:hAnsi="Arial" w:cstheme="minorBidi"/>
    </w:rPr>
  </w:style>
  <w:style w:type="paragraph" w:styleId="33">
    <w:name w:val="List Continue"/>
    <w:basedOn w:val="1"/>
    <w:qFormat/>
    <w:uiPriority w:val="0"/>
    <w:pPr>
      <w:spacing w:after="200" w:line="276" w:lineRule="auto"/>
      <w:ind w:left="283"/>
      <w:contextualSpacing/>
    </w:pPr>
    <w:rPr>
      <w:rFonts w:ascii="Arial" w:hAnsi="Arial" w:cstheme="minorBidi"/>
    </w:rPr>
  </w:style>
  <w:style w:type="paragraph" w:styleId="34">
    <w:name w:val="Plain Text"/>
    <w:basedOn w:val="1"/>
    <w:link w:val="162"/>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next w:val="1"/>
    <w:qFormat/>
    <w:uiPriority w:val="39"/>
    <w:pPr>
      <w:spacing w:before="180"/>
      <w:ind w:left="2693" w:hanging="2693"/>
    </w:pPr>
    <w:rPr>
      <w:b/>
    </w:rPr>
  </w:style>
  <w:style w:type="paragraph" w:styleId="37">
    <w:name w:val="endnote text"/>
    <w:basedOn w:val="1"/>
    <w:link w:val="223"/>
    <w:semiHidden/>
    <w:unhideWhenUsed/>
    <w:qFormat/>
    <w:uiPriority w:val="0"/>
  </w:style>
  <w:style w:type="paragraph" w:styleId="38">
    <w:name w:val="Balloon Text"/>
    <w:basedOn w:val="1"/>
    <w:link w:val="65"/>
    <w:qFormat/>
    <w:uiPriority w:val="0"/>
    <w:rPr>
      <w:rFonts w:ascii="Tahoma" w:hAnsi="Tahoma"/>
      <w:sz w:val="16"/>
      <w:szCs w:val="16"/>
    </w:rPr>
  </w:style>
  <w:style w:type="paragraph" w:styleId="39">
    <w:name w:val="footer"/>
    <w:basedOn w:val="40"/>
    <w:link w:val="154"/>
    <w:qFormat/>
    <w:uiPriority w:val="99"/>
    <w:pPr>
      <w:jc w:val="center"/>
    </w:pPr>
    <w:rPr>
      <w:i/>
    </w:rPr>
  </w:style>
  <w:style w:type="paragraph" w:styleId="40">
    <w:name w:val="header"/>
    <w:link w:val="112"/>
    <w:qFormat/>
    <w:uiPriority w:val="0"/>
    <w:pPr>
      <w:widowControl w:val="0"/>
    </w:pPr>
    <w:rPr>
      <w:rFonts w:ascii="Arial" w:hAnsi="Arial" w:eastAsia="PMingLiU" w:cs="Times New Roman"/>
      <w:b/>
      <w:sz w:val="18"/>
      <w:lang w:val="en-GB" w:eastAsia="en-US" w:bidi="ar-SA"/>
    </w:rPr>
  </w:style>
  <w:style w:type="paragraph" w:styleId="41">
    <w:name w:val="index heading"/>
    <w:basedOn w:val="1"/>
    <w:next w:val="1"/>
    <w:qFormat/>
    <w:uiPriority w:val="0"/>
    <w:pPr>
      <w:pBdr>
        <w:top w:val="single" w:color="auto" w:sz="12" w:space="0"/>
      </w:pBdr>
      <w:spacing w:before="360" w:after="240"/>
    </w:pPr>
    <w:rPr>
      <w:b/>
      <w:i/>
      <w:sz w:val="26"/>
    </w:rPr>
  </w:style>
  <w:style w:type="paragraph" w:styleId="42">
    <w:name w:val="footnote text"/>
    <w:basedOn w:val="1"/>
    <w:link w:val="116"/>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1"/>
    <w:next w:val="1"/>
    <w:qFormat/>
    <w:uiPriority w:val="99"/>
    <w:pPr>
      <w:spacing w:after="200" w:line="276" w:lineRule="auto"/>
      <w:ind w:left="1701" w:hanging="1701"/>
    </w:pPr>
    <w:rPr>
      <w:rFonts w:ascii="Arial" w:hAnsi="Arial" w:cstheme="minorBidi"/>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200" w:line="276" w:lineRule="auto"/>
      <w:ind w:left="566"/>
      <w:contextualSpacing/>
    </w:pPr>
    <w:rPr>
      <w:rFonts w:ascii="Arial" w:hAnsi="Arial" w:cstheme="minorBidi"/>
    </w:rPr>
  </w:style>
  <w:style w:type="paragraph" w:styleId="48">
    <w:name w:val="Normal (Web)"/>
    <w:basedOn w:val="1"/>
    <w:unhideWhenUsed/>
    <w:qFormat/>
    <w:uiPriority w:val="99"/>
    <w:pPr>
      <w:spacing w:before="120" w:after="120"/>
    </w:pPr>
    <w:rPr>
      <w:bCs/>
      <w:szCs w:val="20"/>
      <w:lang w:eastAsia="zh-CN"/>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Title"/>
    <w:basedOn w:val="1"/>
    <w:next w:val="1"/>
    <w:link w:val="250"/>
    <w:qFormat/>
    <w:uiPriority w:val="10"/>
    <w:pPr>
      <w:spacing w:before="240" w:after="60" w:line="259" w:lineRule="auto"/>
      <w:ind w:left="1701" w:hanging="1701"/>
      <w:outlineLvl w:val="0"/>
    </w:pPr>
    <w:rPr>
      <w:rFonts w:ascii="Arial" w:hAnsi="Arial" w:cs="Arial" w:eastAsiaTheme="minorEastAsia"/>
      <w:b/>
      <w:bCs/>
      <w:kern w:val="28"/>
      <w:szCs w:val="20"/>
      <w:lang w:val="en-GB"/>
    </w:rPr>
  </w:style>
  <w:style w:type="paragraph" w:styleId="52">
    <w:name w:val="annotation subject"/>
    <w:basedOn w:val="30"/>
    <w:next w:val="30"/>
    <w:link w:val="121"/>
    <w:qFormat/>
    <w:uiPriority w:val="0"/>
    <w:rPr>
      <w:b/>
      <w:bCs/>
    </w:r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endnote reference"/>
    <w:basedOn w:val="55"/>
    <w:semiHidden/>
    <w:unhideWhenUsed/>
    <w:qFormat/>
    <w:uiPriority w:val="0"/>
    <w:rPr>
      <w:vertAlign w:val="superscript"/>
    </w:rPr>
  </w:style>
  <w:style w:type="character" w:styleId="58">
    <w:name w:val="page number"/>
    <w:basedOn w:val="55"/>
    <w:qFormat/>
    <w:uiPriority w:val="0"/>
  </w:style>
  <w:style w:type="character" w:styleId="59">
    <w:name w:val="FollowedHyperlink"/>
    <w:qFormat/>
    <w:uiPriority w:val="0"/>
    <w:rPr>
      <w:color w:val="800080"/>
      <w:u w:val="single"/>
    </w:rPr>
  </w:style>
  <w:style w:type="character" w:styleId="60">
    <w:name w:val="Emphasis"/>
    <w:basedOn w:val="55"/>
    <w:qFormat/>
    <w:uiPriority w:val="0"/>
    <w:rPr>
      <w:i/>
      <w:iCs/>
    </w:rPr>
  </w:style>
  <w:style w:type="character" w:styleId="61">
    <w:name w:val="Hyperlink"/>
    <w:qFormat/>
    <w:uiPriority w:val="99"/>
    <w:rPr>
      <w:color w:val="0000FF"/>
      <w:u w:val="single"/>
    </w:rPr>
  </w:style>
  <w:style w:type="character" w:styleId="62">
    <w:name w:val="HTML Code"/>
    <w:unhideWhenUsed/>
    <w:qFormat/>
    <w:uiPriority w:val="99"/>
    <w:rPr>
      <w:rFonts w:ascii="Courier New" w:hAnsi="Courier New" w:eastAsia="Times New Roman" w:cs="Courier New"/>
      <w:sz w:val="20"/>
      <w:szCs w:val="20"/>
    </w:rPr>
  </w:style>
  <w:style w:type="character" w:styleId="63">
    <w:name w:val="annotation reference"/>
    <w:qFormat/>
    <w:uiPriority w:val="0"/>
    <w:rPr>
      <w:sz w:val="16"/>
    </w:rPr>
  </w:style>
  <w:style w:type="character" w:styleId="64">
    <w:name w:val="footnote reference"/>
    <w:qFormat/>
    <w:uiPriority w:val="0"/>
    <w:rPr>
      <w:b/>
      <w:position w:val="6"/>
      <w:sz w:val="16"/>
    </w:rPr>
  </w:style>
  <w:style w:type="character" w:customStyle="1" w:styleId="65">
    <w:name w:val="Balloon Text Char"/>
    <w:link w:val="38"/>
    <w:qFormat/>
    <w:uiPriority w:val="0"/>
    <w:rPr>
      <w:rFonts w:ascii="Tahoma" w:hAnsi="Tahoma" w:cs="Tahoma"/>
      <w:sz w:val="16"/>
      <w:szCs w:val="16"/>
      <w:lang w:val="en-GB" w:eastAsia="en-US"/>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paragraph" w:customStyle="1" w:styleId="68">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9">
    <w:name w:val="TT"/>
    <w:basedOn w:val="2"/>
    <w:next w:val="1"/>
    <w:qFormat/>
    <w:uiPriority w:val="0"/>
    <w:pPr>
      <w:outlineLvl w:val="9"/>
    </w:pPr>
  </w:style>
  <w:style w:type="paragraph" w:customStyle="1" w:styleId="70">
    <w:name w:val="NF"/>
    <w:basedOn w:val="71"/>
    <w:qFormat/>
    <w:uiPriority w:val="0"/>
    <w:pPr>
      <w:keepNext/>
    </w:pPr>
    <w:rPr>
      <w:rFonts w:ascii="Arial" w:hAnsi="Arial"/>
      <w:sz w:val="18"/>
    </w:rPr>
  </w:style>
  <w:style w:type="paragraph" w:customStyle="1" w:styleId="71">
    <w:name w:val="NO"/>
    <w:basedOn w:val="1"/>
    <w:link w:val="151"/>
    <w:qFormat/>
    <w:uiPriority w:val="0"/>
    <w:pPr>
      <w:keepLines/>
      <w:ind w:left="1135" w:hanging="851"/>
    </w:pPr>
  </w:style>
  <w:style w:type="paragraph" w:customStyle="1" w:styleId="72">
    <w:name w:val="PL"/>
    <w:link w:val="1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3">
    <w:name w:val="TAR"/>
    <w:basedOn w:val="74"/>
    <w:qFormat/>
    <w:uiPriority w:val="0"/>
    <w:pPr>
      <w:jc w:val="right"/>
    </w:pPr>
  </w:style>
  <w:style w:type="paragraph" w:customStyle="1" w:styleId="74">
    <w:name w:val="TAL"/>
    <w:basedOn w:val="1"/>
    <w:link w:val="109"/>
    <w:qFormat/>
    <w:uiPriority w:val="0"/>
    <w:pPr>
      <w:keepNext/>
      <w:keepLines/>
    </w:pPr>
    <w:rPr>
      <w:rFonts w:ascii="Arial" w:hAnsi="Arial"/>
      <w:sz w:val="18"/>
    </w:rPr>
  </w:style>
  <w:style w:type="paragraph" w:customStyle="1" w:styleId="75">
    <w:name w:val="TAH"/>
    <w:basedOn w:val="76"/>
    <w:link w:val="129"/>
    <w:qFormat/>
    <w:uiPriority w:val="0"/>
    <w:rPr>
      <w:b/>
    </w:rPr>
  </w:style>
  <w:style w:type="paragraph" w:customStyle="1" w:styleId="76">
    <w:name w:val="TAC"/>
    <w:basedOn w:val="74"/>
    <w:link w:val="130"/>
    <w:qFormat/>
    <w:uiPriority w:val="0"/>
    <w:pPr>
      <w:jc w:val="center"/>
    </w:pPr>
  </w:style>
  <w:style w:type="paragraph" w:customStyle="1" w:styleId="77">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8">
    <w:name w:val="EX"/>
    <w:basedOn w:val="1"/>
    <w:link w:val="263"/>
    <w:qFormat/>
    <w:uiPriority w:val="0"/>
    <w:pPr>
      <w:keepLines/>
      <w:ind w:left="1702" w:hanging="1418"/>
    </w:pPr>
  </w:style>
  <w:style w:type="paragraph" w:customStyle="1" w:styleId="79">
    <w:name w:val="FP"/>
    <w:basedOn w:val="1"/>
    <w:qFormat/>
    <w:uiPriority w:val="0"/>
  </w:style>
  <w:style w:type="paragraph" w:customStyle="1" w:styleId="80">
    <w:name w:val="NW"/>
    <w:basedOn w:val="71"/>
    <w:qFormat/>
    <w:uiPriority w:val="0"/>
  </w:style>
  <w:style w:type="paragraph" w:customStyle="1" w:styleId="81">
    <w:name w:val="EW"/>
    <w:basedOn w:val="78"/>
    <w:qFormat/>
    <w:uiPriority w:val="0"/>
  </w:style>
  <w:style w:type="paragraph" w:customStyle="1" w:styleId="82">
    <w:name w:val="B1"/>
    <w:basedOn w:val="14"/>
    <w:link w:val="111"/>
    <w:qFormat/>
    <w:uiPriority w:val="0"/>
  </w:style>
  <w:style w:type="paragraph" w:customStyle="1" w:styleId="83">
    <w:name w:val="Editor's Note"/>
    <w:basedOn w:val="71"/>
    <w:link w:val="152"/>
    <w:qFormat/>
    <w:uiPriority w:val="0"/>
    <w:rPr>
      <w:color w:val="FF0000"/>
    </w:rPr>
  </w:style>
  <w:style w:type="paragraph" w:customStyle="1" w:styleId="84">
    <w:name w:val="TH"/>
    <w:basedOn w:val="1"/>
    <w:link w:val="110"/>
    <w:qFormat/>
    <w:uiPriority w:val="0"/>
    <w:pPr>
      <w:keepNext/>
      <w:keepLines/>
      <w:spacing w:before="60"/>
      <w:jc w:val="center"/>
    </w:pPr>
    <w:rPr>
      <w:rFonts w:ascii="Arial" w:hAnsi="Arial"/>
      <w:b/>
    </w:rPr>
  </w:style>
  <w:style w:type="paragraph" w:customStyle="1" w:styleId="85">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6">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7">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8">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9">
    <w:name w:val="TAN"/>
    <w:basedOn w:val="74"/>
    <w:link w:val="222"/>
    <w:qFormat/>
    <w:uiPriority w:val="0"/>
    <w:pPr>
      <w:ind w:left="851" w:hanging="851"/>
    </w:pPr>
  </w:style>
  <w:style w:type="paragraph" w:customStyle="1" w:styleId="90">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91">
    <w:name w:val="TF"/>
    <w:basedOn w:val="84"/>
    <w:link w:val="128"/>
    <w:qFormat/>
    <w:uiPriority w:val="0"/>
    <w:pPr>
      <w:keepNext w:val="0"/>
      <w:spacing w:before="0" w:after="240"/>
    </w:pPr>
  </w:style>
  <w:style w:type="paragraph" w:customStyle="1" w:styleId="92">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3">
    <w:name w:val="B2"/>
    <w:basedOn w:val="13"/>
    <w:link w:val="125"/>
    <w:qFormat/>
    <w:uiPriority w:val="0"/>
  </w:style>
  <w:style w:type="paragraph" w:customStyle="1" w:styleId="94">
    <w:name w:val="B3"/>
    <w:basedOn w:val="12"/>
    <w:link w:val="138"/>
    <w:qFormat/>
    <w:uiPriority w:val="0"/>
  </w:style>
  <w:style w:type="paragraph" w:customStyle="1" w:styleId="95">
    <w:name w:val="B4"/>
    <w:basedOn w:val="44"/>
    <w:link w:val="139"/>
    <w:qFormat/>
    <w:uiPriority w:val="0"/>
  </w:style>
  <w:style w:type="paragraph" w:customStyle="1" w:styleId="96">
    <w:name w:val="B5"/>
    <w:basedOn w:val="43"/>
    <w:link w:val="140"/>
    <w:qFormat/>
    <w:uiPriority w:val="0"/>
  </w:style>
  <w:style w:type="paragraph" w:customStyle="1" w:styleId="97">
    <w:name w:val="ZTD"/>
    <w:basedOn w:val="86"/>
    <w:qFormat/>
    <w:uiPriority w:val="0"/>
    <w:pPr>
      <w:framePr w:hRule="auto" w:y="852"/>
    </w:pPr>
    <w:rPr>
      <w:i w:val="0"/>
      <w:sz w:val="40"/>
    </w:rPr>
  </w:style>
  <w:style w:type="paragraph" w:customStyle="1" w:styleId="98">
    <w:name w:val="ZV"/>
    <w:basedOn w:val="88"/>
    <w:qFormat/>
    <w:uiPriority w:val="0"/>
    <w:pPr>
      <w:framePr w:y="16161"/>
    </w:pPr>
  </w:style>
  <w:style w:type="paragraph" w:customStyle="1" w:styleId="99">
    <w:name w:val="INDENT1"/>
    <w:basedOn w:val="1"/>
    <w:qFormat/>
    <w:uiPriority w:val="0"/>
    <w:pPr>
      <w:ind w:left="851"/>
    </w:pPr>
  </w:style>
  <w:style w:type="paragraph" w:customStyle="1" w:styleId="100">
    <w:name w:val="INDENT2"/>
    <w:basedOn w:val="1"/>
    <w:qFormat/>
    <w:uiPriority w:val="0"/>
    <w:pPr>
      <w:ind w:left="1135" w:hanging="284"/>
    </w:pPr>
  </w:style>
  <w:style w:type="paragraph" w:customStyle="1" w:styleId="101">
    <w:name w:val="INDENT3"/>
    <w:basedOn w:val="1"/>
    <w:qFormat/>
    <w:uiPriority w:val="0"/>
    <w:pPr>
      <w:ind w:left="1701" w:hanging="567"/>
    </w:pPr>
  </w:style>
  <w:style w:type="paragraph" w:customStyle="1" w:styleId="102">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3">
    <w:name w:val="Rec_CCITT_#"/>
    <w:basedOn w:val="1"/>
    <w:qFormat/>
    <w:uiPriority w:val="0"/>
    <w:pPr>
      <w:keepNext/>
      <w:keepLines/>
    </w:pPr>
    <w:rPr>
      <w:b/>
    </w:rPr>
  </w:style>
  <w:style w:type="paragraph" w:customStyle="1" w:styleId="104">
    <w:name w:val="enumlev2"/>
    <w:basedOn w:val="1"/>
    <w:qFormat/>
    <w:uiPriority w:val="0"/>
    <w:pPr>
      <w:tabs>
        <w:tab w:val="left" w:pos="794"/>
        <w:tab w:val="left" w:pos="1191"/>
        <w:tab w:val="left" w:pos="1588"/>
        <w:tab w:val="left" w:pos="1985"/>
      </w:tabs>
      <w:spacing w:before="86"/>
      <w:ind w:left="1588" w:hanging="397"/>
    </w:pPr>
  </w:style>
  <w:style w:type="paragraph" w:customStyle="1" w:styleId="105">
    <w:name w:val="Couv Rec Title"/>
    <w:basedOn w:val="1"/>
    <w:qFormat/>
    <w:uiPriority w:val="0"/>
    <w:pPr>
      <w:keepNext/>
      <w:keepLines/>
      <w:spacing w:before="240"/>
      <w:ind w:left="1418"/>
    </w:pPr>
    <w:rPr>
      <w:rFonts w:ascii="Arial" w:hAnsi="Arial"/>
      <w:b/>
      <w:sz w:val="36"/>
    </w:rPr>
  </w:style>
  <w:style w:type="paragraph" w:customStyle="1" w:styleId="106">
    <w:name w:val="TAJ"/>
    <w:basedOn w:val="84"/>
    <w:qFormat/>
    <w:uiPriority w:val="0"/>
  </w:style>
  <w:style w:type="paragraph" w:customStyle="1" w:styleId="107">
    <w:name w:val="Guidance"/>
    <w:basedOn w:val="1"/>
    <w:qFormat/>
    <w:uiPriority w:val="0"/>
    <w:rPr>
      <w:i/>
      <w:color w:val="0000FF"/>
    </w:rPr>
  </w:style>
  <w:style w:type="character" w:customStyle="1" w:styleId="108">
    <w:name w:val="Heading 2 Char"/>
    <w:link w:val="3"/>
    <w:qFormat/>
    <w:uiPriority w:val="0"/>
    <w:rPr>
      <w:sz w:val="28"/>
      <w:lang w:val="en-GB" w:eastAsia="en-US"/>
    </w:rPr>
  </w:style>
  <w:style w:type="character" w:customStyle="1" w:styleId="109">
    <w:name w:val="TAL Char"/>
    <w:link w:val="74"/>
    <w:qFormat/>
    <w:uiPriority w:val="0"/>
    <w:rPr>
      <w:rFonts w:ascii="Arial" w:hAnsi="Arial"/>
      <w:sz w:val="18"/>
      <w:lang w:val="en-GB" w:eastAsia="en-US"/>
    </w:rPr>
  </w:style>
  <w:style w:type="character" w:customStyle="1" w:styleId="110">
    <w:name w:val="TH Char"/>
    <w:link w:val="84"/>
    <w:qFormat/>
    <w:uiPriority w:val="0"/>
    <w:rPr>
      <w:rFonts w:ascii="Arial" w:hAnsi="Arial"/>
      <w:b/>
      <w:lang w:val="en-GB" w:eastAsia="en-US"/>
    </w:rPr>
  </w:style>
  <w:style w:type="character" w:customStyle="1" w:styleId="111">
    <w:name w:val="B1 (文字)"/>
    <w:link w:val="82"/>
    <w:qFormat/>
    <w:locked/>
    <w:uiPriority w:val="99"/>
    <w:rPr>
      <w:lang w:val="en-GB" w:eastAsia="en-US"/>
    </w:rPr>
  </w:style>
  <w:style w:type="character" w:customStyle="1" w:styleId="112">
    <w:name w:val="Header Char"/>
    <w:link w:val="40"/>
    <w:qFormat/>
    <w:uiPriority w:val="0"/>
    <w:rPr>
      <w:rFonts w:ascii="Arial" w:hAnsi="Arial"/>
      <w:b/>
      <w:sz w:val="18"/>
      <w:lang w:val="en-GB" w:eastAsia="en-US" w:bidi="ar-SA"/>
    </w:rPr>
  </w:style>
  <w:style w:type="character" w:customStyle="1" w:styleId="113">
    <w:name w:val="Caption Char"/>
    <w:link w:val="28"/>
    <w:qFormat/>
    <w:uiPriority w:val="35"/>
    <w:rPr>
      <w:b/>
      <w:lang w:val="en-GB" w:eastAsia="en-US"/>
    </w:rPr>
  </w:style>
  <w:style w:type="character" w:customStyle="1" w:styleId="114">
    <w:name w:val="Heading 4 Char"/>
    <w:link w:val="5"/>
    <w:qFormat/>
    <w:uiPriority w:val="0"/>
    <w:rPr>
      <w:sz w:val="24"/>
      <w:lang w:val="en-GB" w:eastAsia="en-US"/>
    </w:rPr>
  </w:style>
  <w:style w:type="paragraph" w:styleId="115">
    <w:name w:val="List Paragraph"/>
    <w:basedOn w:val="1"/>
    <w:link w:val="117"/>
    <w:qFormat/>
    <w:uiPriority w:val="34"/>
    <w:pPr>
      <w:ind w:left="720"/>
    </w:pPr>
  </w:style>
  <w:style w:type="character" w:customStyle="1" w:styleId="116">
    <w:name w:val="Footnote Text Char"/>
    <w:link w:val="42"/>
    <w:qFormat/>
    <w:uiPriority w:val="0"/>
    <w:rPr>
      <w:sz w:val="16"/>
      <w:lang w:val="en-GB" w:eastAsia="en-US"/>
    </w:rPr>
  </w:style>
  <w:style w:type="character" w:customStyle="1" w:styleId="117">
    <w:name w:val="List Paragraph Char1"/>
    <w:link w:val="115"/>
    <w:qFormat/>
    <w:locked/>
    <w:uiPriority w:val="34"/>
    <w:rPr>
      <w:lang w:val="en-GB" w:eastAsia="en-US"/>
    </w:rPr>
  </w:style>
  <w:style w:type="character" w:customStyle="1" w:styleId="118">
    <w:name w:val="st1"/>
    <w:qFormat/>
    <w:uiPriority w:val="0"/>
  </w:style>
  <w:style w:type="character" w:customStyle="1" w:styleId="119">
    <w:name w:val="Body Text Char"/>
    <w:link w:val="31"/>
    <w:qFormat/>
    <w:uiPriority w:val="0"/>
    <w:rPr>
      <w:lang w:val="en-GB"/>
    </w:rPr>
  </w:style>
  <w:style w:type="character" w:customStyle="1" w:styleId="120">
    <w:name w:val="Comment Text Char"/>
    <w:link w:val="30"/>
    <w:qFormat/>
    <w:uiPriority w:val="0"/>
    <w:rPr>
      <w:lang w:val="en-GB"/>
    </w:rPr>
  </w:style>
  <w:style w:type="character" w:customStyle="1" w:styleId="121">
    <w:name w:val="Comment Subject Char"/>
    <w:link w:val="52"/>
    <w:qFormat/>
    <w:uiPriority w:val="0"/>
    <w:rPr>
      <w:b/>
      <w:bCs/>
      <w:lang w:val="en-GB"/>
    </w:rPr>
  </w:style>
  <w:style w:type="character" w:customStyle="1" w:styleId="122">
    <w:name w:val="B1 Zchn"/>
    <w:basedOn w:val="55"/>
    <w:qFormat/>
    <w:uiPriority w:val="0"/>
    <w:rPr>
      <w:rFonts w:eastAsia="Times New Roman"/>
    </w:rPr>
  </w:style>
  <w:style w:type="paragraph" w:customStyle="1" w:styleId="123">
    <w:name w:val="LGTdoc_제목1"/>
    <w:basedOn w:val="1"/>
    <w:link w:val="256"/>
    <w:qFormat/>
    <w:uiPriority w:val="0"/>
    <w:pPr>
      <w:adjustRightInd w:val="0"/>
      <w:snapToGrid w:val="0"/>
      <w:spacing w:beforeLines="50" w:after="100" w:afterAutospacing="1"/>
    </w:pPr>
    <w:rPr>
      <w:rFonts w:eastAsia="Batang"/>
      <w:b/>
      <w:snapToGrid w:val="0"/>
      <w:sz w:val="28"/>
      <w:lang w:eastAsia="ko-KR"/>
    </w:rPr>
  </w:style>
  <w:style w:type="table" w:customStyle="1" w:styleId="124">
    <w:name w:val="Grid Table 4 - Accent 41"/>
    <w:basedOn w:val="5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5">
    <w:name w:val="B2 Char"/>
    <w:link w:val="93"/>
    <w:qFormat/>
    <w:uiPriority w:val="0"/>
    <w:rPr>
      <w:lang w:val="en-GB"/>
    </w:rPr>
  </w:style>
  <w:style w:type="character" w:customStyle="1" w:styleId="126">
    <w:name w:val="B1 Char"/>
    <w:qFormat/>
    <w:uiPriority w:val="0"/>
    <w:rPr>
      <w:rFonts w:eastAsia="MS Mincho"/>
      <w:lang w:val="en-GB" w:eastAsia="en-US" w:bidi="ar-SA"/>
    </w:rPr>
  </w:style>
  <w:style w:type="character" w:customStyle="1" w:styleId="127">
    <w:name w:val="Heading 1 Char"/>
    <w:basedOn w:val="55"/>
    <w:link w:val="2"/>
    <w:qFormat/>
    <w:uiPriority w:val="0"/>
    <w:rPr>
      <w:sz w:val="32"/>
      <w:lang w:val="en-GB" w:eastAsia="en-US"/>
    </w:rPr>
  </w:style>
  <w:style w:type="character" w:customStyle="1" w:styleId="128">
    <w:name w:val="TF Char"/>
    <w:link w:val="91"/>
    <w:qFormat/>
    <w:locked/>
    <w:uiPriority w:val="0"/>
    <w:rPr>
      <w:rFonts w:ascii="Arial" w:hAnsi="Arial"/>
      <w:b/>
      <w:lang w:val="en-GB"/>
    </w:rPr>
  </w:style>
  <w:style w:type="character" w:customStyle="1" w:styleId="129">
    <w:name w:val="TAH Car"/>
    <w:link w:val="75"/>
    <w:qFormat/>
    <w:locked/>
    <w:uiPriority w:val="0"/>
    <w:rPr>
      <w:rFonts w:ascii="Arial" w:hAnsi="Arial"/>
      <w:b/>
      <w:sz w:val="18"/>
      <w:lang w:val="en-GB"/>
    </w:rPr>
  </w:style>
  <w:style w:type="character" w:customStyle="1" w:styleId="130">
    <w:name w:val="TAC Char"/>
    <w:link w:val="76"/>
    <w:qFormat/>
    <w:locked/>
    <w:uiPriority w:val="0"/>
    <w:rPr>
      <w:rFonts w:ascii="Arial" w:hAnsi="Arial"/>
      <w:sz w:val="18"/>
      <w:lang w:val="en-GB"/>
    </w:rPr>
  </w:style>
  <w:style w:type="table" w:customStyle="1" w:styleId="131">
    <w:name w:val="Table Grid1"/>
    <w:basedOn w:val="53"/>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2">
    <w:name w:val="Draft Proposal"/>
    <w:basedOn w:val="31"/>
    <w:next w:val="1"/>
    <w:qFormat/>
    <w:uiPriority w:val="99"/>
    <w:pPr>
      <w:numPr>
        <w:ilvl w:val="0"/>
        <w:numId w:val="3"/>
      </w:numPr>
      <w:tabs>
        <w:tab w:val="left" w:pos="1701"/>
      </w:tabs>
      <w:spacing w:after="160" w:line="259" w:lineRule="auto"/>
    </w:pPr>
    <w:rPr>
      <w:rFonts w:asciiTheme="minorHAnsi" w:hAnsiTheme="minorHAnsi" w:cstheme="minorBidi"/>
      <w:b/>
      <w:bCs/>
    </w:rPr>
  </w:style>
  <w:style w:type="paragraph" w:customStyle="1" w:styleId="133">
    <w:name w:val="Figure"/>
    <w:basedOn w:val="1"/>
    <w:next w:val="28"/>
    <w:qFormat/>
    <w:uiPriority w:val="0"/>
    <w:pPr>
      <w:keepNext/>
      <w:keepLines/>
      <w:spacing w:before="180" w:after="200" w:line="276" w:lineRule="auto"/>
      <w:jc w:val="center"/>
    </w:pPr>
    <w:rPr>
      <w:rFonts w:asciiTheme="minorHAnsi" w:hAnsiTheme="minorHAnsi" w:cstheme="minorBidi"/>
    </w:rPr>
  </w:style>
  <w:style w:type="paragraph" w:customStyle="1" w:styleId="134">
    <w:name w:val="3GPP_Header"/>
    <w:basedOn w:val="31"/>
    <w:qFormat/>
    <w:uiPriority w:val="0"/>
    <w:pPr>
      <w:tabs>
        <w:tab w:val="left" w:pos="1701"/>
        <w:tab w:val="right" w:pos="9639"/>
      </w:tabs>
      <w:spacing w:after="240" w:line="276" w:lineRule="auto"/>
    </w:pPr>
    <w:rPr>
      <w:rFonts w:ascii="Arial" w:hAnsi="Arial" w:cstheme="minorBidi"/>
      <w:b/>
    </w:rPr>
  </w:style>
  <w:style w:type="paragraph" w:customStyle="1" w:styleId="135">
    <w:name w:val="Reference"/>
    <w:basedOn w:val="31"/>
    <w:qFormat/>
    <w:uiPriority w:val="0"/>
    <w:pPr>
      <w:numPr>
        <w:ilvl w:val="0"/>
        <w:numId w:val="4"/>
      </w:numPr>
      <w:spacing w:after="200" w:line="276" w:lineRule="auto"/>
    </w:pPr>
    <w:rPr>
      <w:rFonts w:ascii="Arial" w:hAnsi="Arial" w:cstheme="minorBidi"/>
    </w:rPr>
  </w:style>
  <w:style w:type="paragraph" w:customStyle="1" w:styleId="136">
    <w:name w:val="Observation"/>
    <w:basedOn w:val="132"/>
    <w:link w:val="221"/>
    <w:qFormat/>
    <w:uiPriority w:val="0"/>
    <w:pPr>
      <w:numPr>
        <w:numId w:val="5"/>
      </w:numPr>
      <w:spacing w:after="200" w:line="276" w:lineRule="auto"/>
      <w:ind w:left="1701" w:hanging="1701"/>
    </w:pPr>
  </w:style>
  <w:style w:type="character" w:customStyle="1" w:styleId="137">
    <w:name w:val="B1 Char1"/>
    <w:qFormat/>
    <w:uiPriority w:val="0"/>
    <w:rPr>
      <w:rFonts w:ascii="Times New Roman" w:hAnsi="Times New Roman"/>
      <w:lang w:eastAsia="zh-CN"/>
    </w:rPr>
  </w:style>
  <w:style w:type="character" w:customStyle="1" w:styleId="138">
    <w:name w:val="B3 Char2"/>
    <w:link w:val="94"/>
    <w:qFormat/>
    <w:uiPriority w:val="0"/>
    <w:rPr>
      <w:lang w:val="en-GB"/>
    </w:rPr>
  </w:style>
  <w:style w:type="character" w:customStyle="1" w:styleId="139">
    <w:name w:val="B4 Char"/>
    <w:link w:val="95"/>
    <w:qFormat/>
    <w:uiPriority w:val="0"/>
    <w:rPr>
      <w:lang w:val="en-GB"/>
    </w:rPr>
  </w:style>
  <w:style w:type="character" w:customStyle="1" w:styleId="140">
    <w:name w:val="B5 Char"/>
    <w:link w:val="96"/>
    <w:qFormat/>
    <w:uiPriority w:val="0"/>
    <w:rPr>
      <w:lang w:val="en-GB"/>
    </w:rPr>
  </w:style>
  <w:style w:type="paragraph" w:customStyle="1" w:styleId="141">
    <w:name w:val="B6"/>
    <w:basedOn w:val="96"/>
    <w:link w:val="142"/>
    <w:qFormat/>
    <w:uiPriority w:val="0"/>
    <w:pPr>
      <w:spacing w:after="200" w:line="276" w:lineRule="auto"/>
      <w:ind w:left="1985"/>
    </w:pPr>
    <w:rPr>
      <w:rFonts w:cstheme="minorBidi"/>
    </w:rPr>
  </w:style>
  <w:style w:type="character" w:customStyle="1" w:styleId="142">
    <w:name w:val="B6 Char"/>
    <w:link w:val="141"/>
    <w:qFormat/>
    <w:uiPriority w:val="0"/>
    <w:rPr>
      <w:rFonts w:eastAsiaTheme="minorHAnsi" w:cstheme="minorBidi"/>
      <w:sz w:val="22"/>
      <w:szCs w:val="22"/>
    </w:rPr>
  </w:style>
  <w:style w:type="paragraph" w:customStyle="1" w:styleId="143">
    <w:name w:val="B7"/>
    <w:basedOn w:val="141"/>
    <w:link w:val="144"/>
    <w:qFormat/>
    <w:uiPriority w:val="0"/>
    <w:pPr>
      <w:ind w:left="2269"/>
    </w:pPr>
  </w:style>
  <w:style w:type="character" w:customStyle="1" w:styleId="144">
    <w:name w:val="B7 Char"/>
    <w:basedOn w:val="142"/>
    <w:link w:val="143"/>
    <w:qFormat/>
    <w:uiPriority w:val="0"/>
    <w:rPr>
      <w:rFonts w:eastAsiaTheme="minorHAnsi" w:cstheme="minorBidi"/>
      <w:sz w:val="22"/>
      <w:szCs w:val="22"/>
    </w:rPr>
  </w:style>
  <w:style w:type="paragraph" w:customStyle="1" w:styleId="145">
    <w:name w:val="B8"/>
    <w:basedOn w:val="143"/>
    <w:qFormat/>
    <w:uiPriority w:val="0"/>
    <w:pPr>
      <w:ind w:left="2552"/>
    </w:pPr>
  </w:style>
  <w:style w:type="paragraph" w:customStyle="1" w:styleId="146">
    <w:name w:val="CR Cover Page"/>
    <w:link w:val="147"/>
    <w:qFormat/>
    <w:uiPriority w:val="0"/>
    <w:pPr>
      <w:spacing w:after="120"/>
    </w:pPr>
    <w:rPr>
      <w:rFonts w:ascii="Arial" w:hAnsi="Arial" w:eastAsia="宋体" w:cs="Times New Roman"/>
      <w:lang w:val="en-GB" w:eastAsia="ko-KR" w:bidi="ar-SA"/>
    </w:rPr>
  </w:style>
  <w:style w:type="character" w:customStyle="1" w:styleId="147">
    <w:name w:val="CR Cover Page Zchn"/>
    <w:link w:val="146"/>
    <w:qFormat/>
    <w:uiPriority w:val="0"/>
    <w:rPr>
      <w:rFonts w:ascii="Arial" w:hAnsi="Arial" w:eastAsia="宋体"/>
      <w:lang w:val="en-GB" w:eastAsia="ko-KR"/>
    </w:rPr>
  </w:style>
  <w:style w:type="paragraph" w:customStyle="1" w:styleId="148">
    <w:name w:val="Doc-text2"/>
    <w:basedOn w:val="1"/>
    <w:link w:val="149"/>
    <w:qFormat/>
    <w:uiPriority w:val="0"/>
    <w:pPr>
      <w:tabs>
        <w:tab w:val="left" w:pos="1622"/>
      </w:tabs>
      <w:spacing w:after="200" w:line="276" w:lineRule="auto"/>
      <w:ind w:left="1622" w:hanging="363"/>
    </w:pPr>
    <w:rPr>
      <w:rFonts w:ascii="Arial" w:hAnsi="Arial" w:eastAsia="MS Mincho" w:cstheme="minorBidi"/>
      <w:lang w:val="zh-CN" w:eastAsia="zh-CN"/>
    </w:rPr>
  </w:style>
  <w:style w:type="character" w:customStyle="1" w:styleId="149">
    <w:name w:val="Doc-text2 Char"/>
    <w:link w:val="148"/>
    <w:qFormat/>
    <w:locked/>
    <w:uiPriority w:val="0"/>
    <w:rPr>
      <w:rFonts w:ascii="Arial" w:hAnsi="Arial" w:eastAsia="MS Mincho" w:cstheme="minorBidi"/>
      <w:sz w:val="22"/>
      <w:szCs w:val="22"/>
      <w:lang w:val="zh-CN" w:eastAsia="zh-CN"/>
    </w:rPr>
  </w:style>
  <w:style w:type="character" w:customStyle="1" w:styleId="150">
    <w:name w:val="Document Map Char"/>
    <w:link w:val="29"/>
    <w:qFormat/>
    <w:uiPriority w:val="0"/>
    <w:rPr>
      <w:rFonts w:ascii="Tahoma" w:hAnsi="Tahoma"/>
      <w:shd w:val="clear" w:color="auto" w:fill="000080"/>
      <w:lang w:val="en-GB"/>
    </w:rPr>
  </w:style>
  <w:style w:type="character" w:customStyle="1" w:styleId="151">
    <w:name w:val="NO Char"/>
    <w:link w:val="71"/>
    <w:qFormat/>
    <w:uiPriority w:val="0"/>
    <w:rPr>
      <w:lang w:val="en-GB"/>
    </w:rPr>
  </w:style>
  <w:style w:type="character" w:customStyle="1" w:styleId="152">
    <w:name w:val="Editor's Note Char"/>
    <w:link w:val="83"/>
    <w:qFormat/>
    <w:uiPriority w:val="0"/>
    <w:rPr>
      <w:color w:val="FF0000"/>
      <w:lang w:val="en-GB"/>
    </w:rPr>
  </w:style>
  <w:style w:type="paragraph" w:customStyle="1" w:styleId="153">
    <w:name w:val="EmailDiscussion"/>
    <w:basedOn w:val="1"/>
    <w:next w:val="1"/>
    <w:qFormat/>
    <w:uiPriority w:val="0"/>
    <w:pPr>
      <w:numPr>
        <w:ilvl w:val="0"/>
        <w:numId w:val="6"/>
      </w:numPr>
      <w:spacing w:before="40" w:after="200" w:line="276" w:lineRule="auto"/>
    </w:pPr>
    <w:rPr>
      <w:rFonts w:ascii="Arial" w:hAnsi="Arial" w:eastAsia="MS Mincho" w:cstheme="minorBidi"/>
      <w:b/>
      <w:lang w:eastAsia="en-GB"/>
    </w:rPr>
  </w:style>
  <w:style w:type="character" w:customStyle="1" w:styleId="154">
    <w:name w:val="Footer Char"/>
    <w:link w:val="39"/>
    <w:qFormat/>
    <w:uiPriority w:val="99"/>
    <w:rPr>
      <w:rFonts w:ascii="Arial" w:hAnsi="Arial"/>
      <w:b/>
      <w:i/>
      <w:sz w:val="18"/>
      <w:lang w:val="en-GB"/>
    </w:rPr>
  </w:style>
  <w:style w:type="character" w:customStyle="1" w:styleId="155">
    <w:name w:val="Heading 3 Char"/>
    <w:link w:val="4"/>
    <w:qFormat/>
    <w:uiPriority w:val="0"/>
    <w:rPr>
      <w:sz w:val="28"/>
      <w:lang w:val="en-GB" w:eastAsia="en-US"/>
    </w:rPr>
  </w:style>
  <w:style w:type="character" w:customStyle="1" w:styleId="156">
    <w:name w:val="Heading 5 Char"/>
    <w:link w:val="6"/>
    <w:qFormat/>
    <w:uiPriority w:val="0"/>
    <w:rPr>
      <w:sz w:val="22"/>
      <w:lang w:val="en-GB" w:eastAsia="en-US"/>
    </w:rPr>
  </w:style>
  <w:style w:type="character" w:customStyle="1" w:styleId="157">
    <w:name w:val="Heading 6 Char"/>
    <w:link w:val="7"/>
    <w:qFormat/>
    <w:uiPriority w:val="0"/>
    <w:rPr>
      <w:lang w:val="en-GB" w:eastAsia="en-US"/>
    </w:rPr>
  </w:style>
  <w:style w:type="character" w:customStyle="1" w:styleId="158">
    <w:name w:val="Heading 7 Char"/>
    <w:link w:val="9"/>
    <w:qFormat/>
    <w:uiPriority w:val="0"/>
    <w:rPr>
      <w:lang w:val="en-GB" w:eastAsia="en-US"/>
    </w:rPr>
  </w:style>
  <w:style w:type="character" w:customStyle="1" w:styleId="159">
    <w:name w:val="Heading 8 Char"/>
    <w:link w:val="10"/>
    <w:qFormat/>
    <w:uiPriority w:val="0"/>
    <w:rPr>
      <w:sz w:val="32"/>
      <w:lang w:val="en-GB" w:eastAsia="en-US"/>
    </w:rPr>
  </w:style>
  <w:style w:type="character" w:customStyle="1" w:styleId="160">
    <w:name w:val="Heading 9 Char"/>
    <w:link w:val="11"/>
    <w:qFormat/>
    <w:uiPriority w:val="0"/>
    <w:rPr>
      <w:sz w:val="32"/>
      <w:lang w:val="en-GB" w:eastAsia="en-US"/>
    </w:rPr>
  </w:style>
  <w:style w:type="character" w:customStyle="1" w:styleId="161">
    <w:name w:val="PL Char"/>
    <w:link w:val="72"/>
    <w:qFormat/>
    <w:uiPriority w:val="0"/>
    <w:rPr>
      <w:rFonts w:ascii="Courier New" w:hAnsi="Courier New"/>
      <w:sz w:val="16"/>
      <w:lang w:val="en-GB"/>
    </w:rPr>
  </w:style>
  <w:style w:type="character" w:customStyle="1" w:styleId="162">
    <w:name w:val="Plain Text Char"/>
    <w:link w:val="34"/>
    <w:qFormat/>
    <w:uiPriority w:val="0"/>
    <w:rPr>
      <w:rFonts w:ascii="Courier New" w:hAnsi="Courier New"/>
      <w:lang w:val="nb-NO"/>
    </w:rPr>
  </w:style>
  <w:style w:type="character" w:customStyle="1" w:styleId="163">
    <w:name w:val="TAL Car"/>
    <w:qFormat/>
    <w:uiPriority w:val="0"/>
    <w:rPr>
      <w:rFonts w:ascii="Arial" w:hAnsi="Arial"/>
      <w:sz w:val="18"/>
      <w:lang w:val="zh-CN" w:eastAsia="zh-CN"/>
    </w:rPr>
  </w:style>
  <w:style w:type="paragraph" w:customStyle="1" w:styleId="164">
    <w:name w:val="TAL Char Char"/>
    <w:basedOn w:val="1"/>
    <w:link w:val="165"/>
    <w:qFormat/>
    <w:uiPriority w:val="0"/>
    <w:pPr>
      <w:keepNext/>
      <w:keepLines/>
      <w:spacing w:after="200" w:line="276" w:lineRule="auto"/>
    </w:pPr>
    <w:rPr>
      <w:rFonts w:ascii="Arial" w:hAnsi="Arial" w:eastAsia="Malgun Gothic" w:cstheme="minorBidi"/>
      <w:sz w:val="18"/>
      <w:lang w:val="zh-CN" w:eastAsia="zh-CN"/>
    </w:rPr>
  </w:style>
  <w:style w:type="character" w:customStyle="1" w:styleId="165">
    <w:name w:val="TAL Char Char Char"/>
    <w:link w:val="164"/>
    <w:qFormat/>
    <w:uiPriority w:val="0"/>
    <w:rPr>
      <w:rFonts w:ascii="Arial" w:hAnsi="Arial" w:eastAsia="Malgun Gothic" w:cstheme="minorBidi"/>
      <w:sz w:val="18"/>
      <w:szCs w:val="22"/>
      <w:lang w:val="zh-CN" w:eastAsia="zh-CN"/>
    </w:rPr>
  </w:style>
  <w:style w:type="character" w:customStyle="1" w:styleId="166">
    <w:name w:val="bullet Char"/>
    <w:basedOn w:val="55"/>
    <w:link w:val="167"/>
    <w:qFormat/>
    <w:locked/>
    <w:uiPriority w:val="0"/>
    <w:rPr>
      <w:rFonts w:eastAsia="Times New Roman" w:asciiTheme="minorHAnsi" w:hAnsiTheme="minorHAnsi"/>
      <w:szCs w:val="24"/>
      <w:lang w:eastAsia="en-US"/>
    </w:rPr>
  </w:style>
  <w:style w:type="paragraph" w:customStyle="1" w:styleId="167">
    <w:name w:val="bullet"/>
    <w:basedOn w:val="115"/>
    <w:link w:val="166"/>
    <w:qFormat/>
    <w:uiPriority w:val="0"/>
    <w:pPr>
      <w:numPr>
        <w:ilvl w:val="0"/>
        <w:numId w:val="7"/>
      </w:numPr>
      <w:spacing w:after="200" w:line="256" w:lineRule="auto"/>
      <w:ind w:left="720"/>
      <w:contextualSpacing/>
    </w:pPr>
    <w:rPr>
      <w:rFonts w:eastAsia="Times New Roman" w:asciiTheme="minorHAnsi" w:hAnsiTheme="minorHAnsi"/>
    </w:rPr>
  </w:style>
  <w:style w:type="paragraph" w:customStyle="1" w:styleId="168">
    <w:name w:val="IvD bodytext"/>
    <w:basedOn w:val="31"/>
    <w:link w:val="169"/>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169">
    <w:name w:val="IvD bodytext Char"/>
    <w:basedOn w:val="55"/>
    <w:link w:val="168"/>
    <w:qFormat/>
    <w:uiPriority w:val="0"/>
    <w:rPr>
      <w:rFonts w:ascii="Arial" w:hAnsi="Arial" w:eastAsiaTheme="minorHAnsi" w:cstheme="minorBidi"/>
      <w:spacing w:val="2"/>
      <w:sz w:val="22"/>
      <w:szCs w:val="22"/>
    </w:rPr>
  </w:style>
  <w:style w:type="character" w:styleId="170">
    <w:name w:val="Placeholder Text"/>
    <w:basedOn w:val="55"/>
    <w:semiHidden/>
    <w:qFormat/>
    <w:uiPriority w:val="99"/>
    <w:rPr>
      <w:color w:val="808080"/>
    </w:rPr>
  </w:style>
  <w:style w:type="paragraph" w:customStyle="1" w:styleId="171">
    <w:name w:val="表格题注"/>
    <w:next w:val="1"/>
    <w:qFormat/>
    <w:uiPriority w:val="0"/>
    <w:pPr>
      <w:keepLines/>
      <w:numPr>
        <w:ilvl w:val="8"/>
        <w:numId w:val="8"/>
      </w:numPr>
      <w:spacing w:beforeLines="100"/>
      <w:ind w:left="1089" w:hanging="369"/>
      <w:jc w:val="center"/>
    </w:pPr>
    <w:rPr>
      <w:rFonts w:ascii="Arial" w:hAnsi="Arial" w:eastAsia="宋体" w:cs="Times New Roman"/>
      <w:sz w:val="18"/>
      <w:szCs w:val="18"/>
      <w:lang w:val="en-US" w:eastAsia="zh-CN" w:bidi="ar-SA"/>
    </w:rPr>
  </w:style>
  <w:style w:type="paragraph" w:customStyle="1" w:styleId="17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3">
    <w:name w:val="表头文本"/>
    <w:qFormat/>
    <w:uiPriority w:val="0"/>
    <w:pPr>
      <w:jc w:val="center"/>
    </w:pPr>
    <w:rPr>
      <w:rFonts w:ascii="Arial" w:hAnsi="Arial" w:eastAsia="宋体" w:cs="Times New Roman"/>
      <w:b/>
      <w:sz w:val="21"/>
      <w:szCs w:val="21"/>
      <w:lang w:val="en-US" w:eastAsia="zh-CN" w:bidi="ar-SA"/>
    </w:rPr>
  </w:style>
  <w:style w:type="table" w:customStyle="1" w:styleId="174">
    <w:name w:val="表样式"/>
    <w:basedOn w:val="53"/>
    <w:qFormat/>
    <w:uiPriority w:val="0"/>
    <w:pPr>
      <w:jc w:val="both"/>
    </w:pPr>
    <w:rPr>
      <w:rFonts w:eastAsia="宋体"/>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5">
    <w:name w:val="插图题注"/>
    <w:next w:val="1"/>
    <w:qFormat/>
    <w:uiPriority w:val="0"/>
    <w:pPr>
      <w:numPr>
        <w:ilvl w:val="7"/>
        <w:numId w:val="8"/>
      </w:numPr>
      <w:spacing w:afterLines="100"/>
      <w:ind w:left="1089" w:hanging="369"/>
      <w:jc w:val="center"/>
    </w:pPr>
    <w:rPr>
      <w:rFonts w:ascii="Arial" w:hAnsi="Arial" w:eastAsia="宋体" w:cs="Times New Roman"/>
      <w:sz w:val="18"/>
      <w:szCs w:val="18"/>
      <w:lang w:val="en-US" w:eastAsia="zh-CN" w:bidi="ar-SA"/>
    </w:rPr>
  </w:style>
  <w:style w:type="paragraph" w:customStyle="1" w:styleId="176">
    <w:name w:val="图样式"/>
    <w:basedOn w:val="1"/>
    <w:qFormat/>
    <w:uiPriority w:val="0"/>
    <w:pPr>
      <w:keepNext/>
      <w:spacing w:before="80" w:after="80" w:line="276" w:lineRule="auto"/>
      <w:jc w:val="center"/>
    </w:pPr>
    <w:rPr>
      <w:rFonts w:asciiTheme="minorHAnsi" w:hAnsiTheme="minorHAnsi" w:cstheme="minorBidi"/>
    </w:rPr>
  </w:style>
  <w:style w:type="paragraph" w:customStyle="1" w:styleId="177">
    <w:name w:val="文档标题"/>
    <w:basedOn w:val="1"/>
    <w:qFormat/>
    <w:uiPriority w:val="0"/>
    <w:pPr>
      <w:tabs>
        <w:tab w:val="left" w:pos="0"/>
      </w:tabs>
      <w:spacing w:before="300" w:after="300" w:line="276" w:lineRule="auto"/>
      <w:jc w:val="center"/>
    </w:pPr>
    <w:rPr>
      <w:rFonts w:ascii="Arial" w:hAnsi="Arial" w:eastAsia="黑体" w:cstheme="minorBidi"/>
      <w:sz w:val="36"/>
      <w:szCs w:val="36"/>
    </w:rPr>
  </w:style>
  <w:style w:type="paragraph" w:customStyle="1" w:styleId="178">
    <w:name w:val="正文（首行不缩进）"/>
    <w:basedOn w:val="1"/>
    <w:qFormat/>
    <w:uiPriority w:val="0"/>
    <w:pPr>
      <w:spacing w:after="200" w:line="276" w:lineRule="auto"/>
    </w:pPr>
    <w:rPr>
      <w:rFonts w:asciiTheme="minorHAnsi" w:hAnsiTheme="minorHAnsi" w:cstheme="minorBidi"/>
    </w:rPr>
  </w:style>
  <w:style w:type="paragraph" w:customStyle="1" w:styleId="179">
    <w:name w:val="注示头"/>
    <w:basedOn w:val="1"/>
    <w:qFormat/>
    <w:uiPriority w:val="0"/>
    <w:pPr>
      <w:pBdr>
        <w:top w:val="single" w:color="000000" w:sz="4" w:space="1"/>
      </w:pBdr>
      <w:spacing w:after="200" w:line="276" w:lineRule="auto"/>
    </w:pPr>
    <w:rPr>
      <w:rFonts w:ascii="Arial" w:hAnsi="Arial" w:eastAsia="黑体" w:cstheme="minorBidi"/>
      <w:sz w:val="18"/>
    </w:rPr>
  </w:style>
  <w:style w:type="paragraph" w:customStyle="1" w:styleId="180">
    <w:name w:val="注示文本"/>
    <w:basedOn w:val="1"/>
    <w:qFormat/>
    <w:uiPriority w:val="0"/>
    <w:pPr>
      <w:pBdr>
        <w:bottom w:val="single" w:color="000000" w:sz="4" w:space="1"/>
      </w:pBdr>
      <w:spacing w:after="200" w:line="276" w:lineRule="auto"/>
      <w:ind w:firstLine="360"/>
    </w:pPr>
    <w:rPr>
      <w:rFonts w:ascii="Arial" w:hAnsi="Arial" w:eastAsia="KaiTi_GB2312" w:cstheme="minorBidi"/>
      <w:sz w:val="18"/>
      <w:szCs w:val="18"/>
    </w:rPr>
  </w:style>
  <w:style w:type="paragraph" w:customStyle="1" w:styleId="181">
    <w:name w:val="编写建议"/>
    <w:basedOn w:val="1"/>
    <w:qFormat/>
    <w:uiPriority w:val="0"/>
    <w:pPr>
      <w:spacing w:after="200" w:line="276" w:lineRule="auto"/>
      <w:ind w:firstLine="420"/>
    </w:pPr>
    <w:rPr>
      <w:rFonts w:ascii="Arial" w:hAnsi="Arial" w:cs="Arial"/>
      <w:i/>
      <w:color w:val="0000FF"/>
    </w:rPr>
  </w:style>
  <w:style w:type="character" w:customStyle="1" w:styleId="182">
    <w:name w:val="样式一"/>
    <w:basedOn w:val="55"/>
    <w:qFormat/>
    <w:uiPriority w:val="0"/>
    <w:rPr>
      <w:rFonts w:ascii="宋体" w:hAnsi="宋体"/>
      <w:b/>
      <w:bCs/>
      <w:color w:val="000000"/>
      <w:sz w:val="36"/>
    </w:rPr>
  </w:style>
  <w:style w:type="character" w:customStyle="1" w:styleId="183">
    <w:name w:val="样式二"/>
    <w:basedOn w:val="182"/>
    <w:qFormat/>
    <w:uiPriority w:val="0"/>
    <w:rPr>
      <w:rFonts w:ascii="宋体" w:hAnsi="宋体"/>
      <w:color w:val="000000"/>
      <w:sz w:val="36"/>
    </w:rPr>
  </w:style>
  <w:style w:type="table" w:customStyle="1" w:styleId="184">
    <w:name w:val="Grille du tableau1"/>
    <w:basedOn w:val="53"/>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5">
    <w:name w:val="No Spacing"/>
    <w:qFormat/>
    <w:uiPriority w:val="1"/>
    <w:rPr>
      <w:rFonts w:asciiTheme="minorHAnsi" w:hAnsiTheme="minorHAnsi" w:eastAsiaTheme="minorHAnsi" w:cstheme="minorBidi"/>
      <w:sz w:val="22"/>
      <w:szCs w:val="22"/>
      <w:lang w:val="en-US" w:eastAsia="en-US" w:bidi="ar-SA"/>
    </w:rPr>
  </w:style>
  <w:style w:type="table" w:customStyle="1" w:styleId="186">
    <w:name w:val="Grille du tableau2"/>
    <w:basedOn w:val="53"/>
    <w:qFormat/>
    <w:uiPriority w:val="0"/>
    <w:pPr>
      <w:widowControl w:val="0"/>
      <w:autoSpaceDE w:val="0"/>
      <w:autoSpaceDN w:val="0"/>
      <w:adjustRightInd w:val="0"/>
      <w:spacing w:line="36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7">
    <w:name w:val="书目1"/>
    <w:basedOn w:val="1"/>
    <w:next w:val="1"/>
    <w:unhideWhenUsed/>
    <w:qFormat/>
    <w:uiPriority w:val="37"/>
    <w:pPr>
      <w:spacing w:after="200" w:line="276" w:lineRule="auto"/>
    </w:pPr>
    <w:rPr>
      <w:rFonts w:asciiTheme="minorHAnsi" w:hAnsiTheme="minorHAnsi" w:cstheme="minorBidi"/>
    </w:rPr>
  </w:style>
  <w:style w:type="paragraph" w:customStyle="1" w:styleId="188">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9">
    <w:name w:val="Grille du tableau3"/>
    <w:basedOn w:val="53"/>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Proposal"/>
    <w:basedOn w:val="31"/>
    <w:link w:val="242"/>
    <w:qFormat/>
    <w:uiPriority w:val="99"/>
    <w:pPr>
      <w:tabs>
        <w:tab w:val="left" w:pos="1701"/>
      </w:tabs>
      <w:spacing w:after="120" w:line="259" w:lineRule="auto"/>
      <w:ind w:left="1701" w:hanging="1701"/>
    </w:pPr>
    <w:rPr>
      <w:rFonts w:ascii="Arial" w:hAnsi="Arial" w:eastAsiaTheme="minorEastAsia" w:cstheme="minorBidi"/>
      <w:b/>
      <w:bCs/>
      <w:lang w:eastAsia="zh-CN"/>
    </w:rPr>
  </w:style>
  <w:style w:type="table" w:customStyle="1" w:styleId="191">
    <w:name w:val="Grille du tableau4"/>
    <w:basedOn w:val="5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Prop1"/>
    <w:basedOn w:val="115"/>
    <w:qFormat/>
    <w:uiPriority w:val="99"/>
    <w:pPr>
      <w:ind w:left="0"/>
    </w:pPr>
    <w:rPr>
      <w:rFonts w:eastAsiaTheme="minorEastAsia"/>
      <w:b/>
      <w:szCs w:val="21"/>
      <w:lang w:eastAsia="zh-CN"/>
    </w:rPr>
  </w:style>
  <w:style w:type="paragraph" w:customStyle="1" w:styleId="193">
    <w:name w:val="3GPP Text"/>
    <w:basedOn w:val="1"/>
    <w:link w:val="194"/>
    <w:qFormat/>
    <w:uiPriority w:val="0"/>
    <w:pPr>
      <w:overflowPunct w:val="0"/>
      <w:autoSpaceDE w:val="0"/>
      <w:autoSpaceDN w:val="0"/>
      <w:adjustRightInd w:val="0"/>
      <w:spacing w:before="120" w:after="120"/>
      <w:textAlignment w:val="baseline"/>
    </w:pPr>
  </w:style>
  <w:style w:type="character" w:customStyle="1" w:styleId="194">
    <w:name w:val="3GPP Text Char"/>
    <w:link w:val="193"/>
    <w:qFormat/>
    <w:uiPriority w:val="0"/>
    <w:rPr>
      <w:rFonts w:eastAsia="宋体"/>
      <w:sz w:val="22"/>
    </w:rPr>
  </w:style>
  <w:style w:type="table" w:customStyle="1" w:styleId="195">
    <w:name w:val="Grille du tableau5"/>
    <w:basedOn w:val="5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6">
    <w:name w:val="修订1"/>
    <w:hidden/>
    <w:semiHidden/>
    <w:qFormat/>
    <w:uiPriority w:val="99"/>
    <w:rPr>
      <w:rFonts w:ascii="Times New Roman" w:hAnsi="Times New Roman" w:eastAsia="PMingLiU" w:cs="Times New Roman"/>
      <w:lang w:val="en-GB" w:eastAsia="en-US" w:bidi="ar-SA"/>
    </w:rPr>
  </w:style>
  <w:style w:type="paragraph" w:customStyle="1" w:styleId="197">
    <w:name w:val="draftproposal"/>
    <w:basedOn w:val="1"/>
    <w:qFormat/>
    <w:uiPriority w:val="99"/>
    <w:rPr>
      <w:sz w:val="24"/>
      <w:lang w:val="fr-FR" w:eastAsia="fr-FR"/>
    </w:rPr>
  </w:style>
  <w:style w:type="paragraph" w:customStyle="1" w:styleId="198">
    <w:name w:val="bullet list"/>
    <w:basedOn w:val="31"/>
    <w:qFormat/>
    <w:uiPriority w:val="0"/>
    <w:pPr>
      <w:numPr>
        <w:ilvl w:val="0"/>
        <w:numId w:val="9"/>
      </w:numPr>
      <w:tabs>
        <w:tab w:val="left" w:pos="288"/>
        <w:tab w:val="clear" w:pos="648"/>
      </w:tabs>
      <w:spacing w:after="120" w:line="228" w:lineRule="auto"/>
      <w:ind w:left="576" w:hanging="288"/>
    </w:pPr>
    <w:rPr>
      <w:spacing w:val="-1"/>
      <w:lang w:val="zh-CN" w:eastAsia="zh-CN"/>
    </w:rPr>
  </w:style>
  <w:style w:type="paragraph" w:customStyle="1" w:styleId="199">
    <w:name w:val="Default"/>
    <w:qFormat/>
    <w:uiPriority w:val="0"/>
    <w:pPr>
      <w:widowControl w:val="0"/>
      <w:autoSpaceDE w:val="0"/>
      <w:autoSpaceDN w:val="0"/>
      <w:adjustRightInd w:val="0"/>
    </w:pPr>
    <w:rPr>
      <w:rFonts w:ascii="Cambria Math" w:hAnsi="Cambria Math" w:eastAsia="宋体" w:cs="Cambria Math"/>
      <w:color w:val="000000"/>
      <w:sz w:val="24"/>
      <w:szCs w:val="24"/>
      <w:lang w:val="en-US" w:eastAsia="zh-CN" w:bidi="ar-SA"/>
    </w:rPr>
  </w:style>
  <w:style w:type="paragraph" w:styleId="200">
    <w:name w:val="Quote"/>
    <w:basedOn w:val="1"/>
    <w:next w:val="1"/>
    <w:link w:val="201"/>
    <w:qFormat/>
    <w:uiPriority w:val="29"/>
    <w:pPr>
      <w:spacing w:after="200" w:line="276" w:lineRule="auto"/>
    </w:pPr>
    <w:rPr>
      <w:rFonts w:asciiTheme="minorHAnsi" w:hAnsiTheme="minorHAnsi" w:eastAsiaTheme="minorEastAsia" w:cstheme="minorBidi"/>
      <w:i/>
      <w:iCs/>
      <w:color w:val="000000" w:themeColor="text1"/>
      <w:lang w:val="fr-FR" w:eastAsia="fr-FR"/>
      <w14:textFill>
        <w14:solidFill>
          <w14:schemeClr w14:val="tx1"/>
        </w14:solidFill>
      </w14:textFill>
    </w:rPr>
  </w:style>
  <w:style w:type="character" w:customStyle="1" w:styleId="201">
    <w:name w:val="Quote Char"/>
    <w:basedOn w:val="55"/>
    <w:link w:val="200"/>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2">
    <w:name w:val="References"/>
    <w:basedOn w:val="1"/>
    <w:qFormat/>
    <w:uiPriority w:val="0"/>
    <w:pPr>
      <w:numPr>
        <w:ilvl w:val="0"/>
        <w:numId w:val="10"/>
      </w:numPr>
      <w:autoSpaceDE w:val="0"/>
      <w:autoSpaceDN w:val="0"/>
      <w:snapToGrid w:val="0"/>
      <w:spacing w:after="60"/>
    </w:pPr>
    <w:rPr>
      <w:rFonts w:eastAsiaTheme="minorEastAsia"/>
      <w:szCs w:val="16"/>
    </w:rPr>
  </w:style>
  <w:style w:type="character" w:customStyle="1" w:styleId="203">
    <w:name w:val="Mention1"/>
    <w:basedOn w:val="55"/>
    <w:unhideWhenUsed/>
    <w:qFormat/>
    <w:uiPriority w:val="99"/>
    <w:rPr>
      <w:color w:val="2B579A"/>
      <w:shd w:val="clear" w:color="auto" w:fill="E1DFDD"/>
    </w:rPr>
  </w:style>
  <w:style w:type="character" w:customStyle="1" w:styleId="204">
    <w:name w:val="apple-converted-space"/>
    <w:basedOn w:val="55"/>
    <w:qFormat/>
    <w:uiPriority w:val="0"/>
  </w:style>
  <w:style w:type="paragraph" w:customStyle="1" w:styleId="205">
    <w:name w:val="3GPP Normal Text"/>
    <w:basedOn w:val="31"/>
    <w:link w:val="206"/>
    <w:qFormat/>
    <w:uiPriority w:val="0"/>
    <w:pPr>
      <w:spacing w:before="60" w:after="60"/>
      <w:jc w:val="both"/>
    </w:pPr>
    <w:rPr>
      <w:rFonts w:eastAsia="MS Mincho"/>
      <w:lang w:eastAsia="zh-TW"/>
    </w:rPr>
  </w:style>
  <w:style w:type="character" w:customStyle="1" w:styleId="206">
    <w:name w:val="3GPP Normal Text Char"/>
    <w:link w:val="205"/>
    <w:qFormat/>
    <w:uiPriority w:val="0"/>
    <w:rPr>
      <w:rFonts w:eastAsia="MS Mincho" w:cs="Calibri"/>
      <w:sz w:val="22"/>
      <w:szCs w:val="24"/>
      <w:lang w:eastAsia="zh-TW"/>
    </w:rPr>
  </w:style>
  <w:style w:type="character" w:customStyle="1" w:styleId="207">
    <w:name w:val="Paragraphe de liste Car1"/>
    <w:qFormat/>
    <w:uiPriority w:val="34"/>
    <w:rPr>
      <w:rFonts w:ascii="Times" w:hAnsi="Times"/>
      <w:szCs w:val="24"/>
      <w:lang w:val="en-GB"/>
    </w:rPr>
  </w:style>
  <w:style w:type="character" w:customStyle="1" w:styleId="208">
    <w:name w:val="normaltextrun"/>
    <w:basedOn w:val="55"/>
    <w:qFormat/>
    <w:uiPriority w:val="0"/>
  </w:style>
  <w:style w:type="paragraph" w:customStyle="1" w:styleId="209">
    <w:name w:val="Revision1"/>
    <w:hidden/>
    <w:semiHidden/>
    <w:qFormat/>
    <w:uiPriority w:val="99"/>
    <w:rPr>
      <w:rFonts w:ascii="Times New Roman" w:hAnsi="Times New Roman" w:eastAsia="PMingLiU" w:cs="Times New Roman"/>
      <w:lang w:val="en-GB" w:eastAsia="en-US" w:bidi="ar-SA"/>
    </w:rPr>
  </w:style>
  <w:style w:type="paragraph" w:customStyle="1" w:styleId="210">
    <w:name w:val="paragraphedeliste"/>
    <w:basedOn w:val="1"/>
    <w:qFormat/>
    <w:uiPriority w:val="99"/>
    <w:pPr>
      <w:spacing w:before="100" w:beforeAutospacing="1" w:after="100" w:afterAutospacing="1"/>
    </w:pPr>
    <w:rPr>
      <w:sz w:val="24"/>
      <w:lang w:val="fr-FR" w:eastAsia="fr-FR"/>
    </w:rPr>
  </w:style>
  <w:style w:type="table" w:customStyle="1" w:styleId="211">
    <w:name w:val="Grid Table 4 - Accent 411"/>
    <w:basedOn w:val="5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2">
    <w:name w:val="书目2"/>
    <w:basedOn w:val="1"/>
    <w:next w:val="1"/>
    <w:unhideWhenUsed/>
    <w:qFormat/>
    <w:uiPriority w:val="37"/>
    <w:pPr>
      <w:spacing w:after="200" w:line="276" w:lineRule="auto"/>
    </w:pPr>
    <w:rPr>
      <w:rFonts w:asciiTheme="minorHAnsi" w:hAnsiTheme="minorHAnsi" w:cstheme="minorBidi"/>
    </w:rPr>
  </w:style>
  <w:style w:type="paragraph" w:customStyle="1" w:styleId="213">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4">
    <w:name w:val="修订2"/>
    <w:hidden/>
    <w:semiHidden/>
    <w:qFormat/>
    <w:uiPriority w:val="99"/>
    <w:rPr>
      <w:rFonts w:ascii="Times New Roman" w:hAnsi="Times New Roman" w:eastAsia="PMingLiU" w:cs="Times New Roman"/>
      <w:lang w:val="en-GB" w:eastAsia="en-US" w:bidi="ar-SA"/>
    </w:rPr>
  </w:style>
  <w:style w:type="character" w:customStyle="1" w:styleId="215">
    <w:name w:val="List Paragraph Char"/>
    <w:basedOn w:val="55"/>
    <w:qFormat/>
    <w:locked/>
    <w:uiPriority w:val="34"/>
  </w:style>
  <w:style w:type="character" w:customStyle="1" w:styleId="216">
    <w:name w:val="Mention2"/>
    <w:basedOn w:val="55"/>
    <w:unhideWhenUsed/>
    <w:qFormat/>
    <w:uiPriority w:val="99"/>
    <w:rPr>
      <w:color w:val="2B579A"/>
      <w:shd w:val="clear" w:color="auto" w:fill="E1DFDD"/>
    </w:rPr>
  </w:style>
  <w:style w:type="character" w:customStyle="1" w:styleId="217">
    <w:name w:val="findhit"/>
    <w:basedOn w:val="55"/>
    <w:qFormat/>
    <w:uiPriority w:val="0"/>
  </w:style>
  <w:style w:type="character" w:customStyle="1" w:styleId="218">
    <w:name w:val="eop"/>
    <w:basedOn w:val="55"/>
    <w:qFormat/>
    <w:uiPriority w:val="0"/>
  </w:style>
  <w:style w:type="paragraph" w:customStyle="1" w:styleId="219">
    <w:name w:val="修订3"/>
    <w:hidden/>
    <w:semiHidden/>
    <w:qFormat/>
    <w:uiPriority w:val="99"/>
    <w:rPr>
      <w:rFonts w:ascii="Times New Roman" w:hAnsi="Times New Roman" w:eastAsia="PMingLiU" w:cs="Times New Roman"/>
      <w:lang w:val="en-US" w:eastAsia="en-US" w:bidi="ar-SA"/>
    </w:rPr>
  </w:style>
  <w:style w:type="paragraph" w:customStyle="1" w:styleId="220">
    <w:name w:val="修订4"/>
    <w:hidden/>
    <w:semiHidden/>
    <w:qFormat/>
    <w:uiPriority w:val="99"/>
    <w:rPr>
      <w:rFonts w:ascii="Times New Roman" w:hAnsi="Times New Roman" w:eastAsia="PMingLiU" w:cs="Times New Roman"/>
      <w:lang w:val="en-US" w:eastAsia="en-US" w:bidi="ar-SA"/>
    </w:rPr>
  </w:style>
  <w:style w:type="character" w:customStyle="1" w:styleId="221">
    <w:name w:val="Observation Car"/>
    <w:basedOn w:val="55"/>
    <w:link w:val="136"/>
    <w:qFormat/>
    <w:uiPriority w:val="0"/>
    <w:rPr>
      <w:rFonts w:eastAsia="宋体" w:asciiTheme="minorHAnsi" w:hAnsiTheme="minorHAnsi" w:cstheme="minorBidi"/>
      <w:b/>
      <w:bCs/>
      <w:szCs w:val="24"/>
      <w:lang w:eastAsia="en-US"/>
    </w:rPr>
  </w:style>
  <w:style w:type="character" w:customStyle="1" w:styleId="222">
    <w:name w:val="TAN Char"/>
    <w:link w:val="89"/>
    <w:qFormat/>
    <w:uiPriority w:val="0"/>
    <w:rPr>
      <w:rFonts w:ascii="Arial" w:hAnsi="Arial"/>
      <w:sz w:val="18"/>
      <w:lang w:eastAsia="en-US"/>
    </w:rPr>
  </w:style>
  <w:style w:type="character" w:customStyle="1" w:styleId="223">
    <w:name w:val="Endnote Text Char"/>
    <w:basedOn w:val="55"/>
    <w:link w:val="37"/>
    <w:semiHidden/>
    <w:qFormat/>
    <w:uiPriority w:val="0"/>
    <w:rPr>
      <w:lang w:val="en-US" w:eastAsia="en-US"/>
    </w:rPr>
  </w:style>
  <w:style w:type="paragraph" w:customStyle="1" w:styleId="224">
    <w:name w:val="Revision2"/>
    <w:hidden/>
    <w:semiHidden/>
    <w:qFormat/>
    <w:uiPriority w:val="99"/>
    <w:rPr>
      <w:rFonts w:ascii="Times New Roman" w:hAnsi="Times New Roman" w:eastAsia="PMingLiU" w:cs="Times New Roman"/>
      <w:lang w:val="en-US" w:eastAsia="en-US" w:bidi="ar-SA"/>
    </w:rPr>
  </w:style>
  <w:style w:type="paragraph" w:customStyle="1" w:styleId="225">
    <w:name w:val="paragraph"/>
    <w:basedOn w:val="1"/>
    <w:qFormat/>
    <w:uiPriority w:val="0"/>
    <w:pPr>
      <w:spacing w:before="100" w:beforeAutospacing="1" w:after="100" w:afterAutospacing="1" w:line="259" w:lineRule="auto"/>
    </w:pPr>
    <w:rPr>
      <w:rFonts w:eastAsia="Times New Roman" w:asciiTheme="minorHAnsi" w:hAnsiTheme="minorHAnsi" w:cstheme="minorBidi"/>
      <w:sz w:val="24"/>
    </w:rPr>
  </w:style>
  <w:style w:type="character" w:customStyle="1" w:styleId="226">
    <w:name w:val="0 Main text Char"/>
    <w:basedOn w:val="55"/>
    <w:link w:val="227"/>
    <w:qFormat/>
    <w:locked/>
    <w:uiPriority w:val="0"/>
    <w:rPr>
      <w:rFonts w:ascii="Malgun Gothic" w:hAnsi="Malgun Gothic" w:eastAsia="Malgun Gothic" w:cs="Batang"/>
      <w:lang w:eastAsia="en-US"/>
    </w:rPr>
  </w:style>
  <w:style w:type="paragraph" w:customStyle="1" w:styleId="227">
    <w:name w:val="0 Main text"/>
    <w:basedOn w:val="1"/>
    <w:link w:val="226"/>
    <w:qFormat/>
    <w:uiPriority w:val="0"/>
    <w:pPr>
      <w:spacing w:after="100" w:afterAutospacing="1" w:line="288" w:lineRule="auto"/>
      <w:ind w:firstLine="360"/>
    </w:pPr>
    <w:rPr>
      <w:rFonts w:ascii="Malgun Gothic" w:hAnsi="Malgun Gothic" w:eastAsia="Malgun Gothic" w:cs="Batang"/>
      <w:lang w:val="sv-SE"/>
    </w:rPr>
  </w:style>
  <w:style w:type="table" w:customStyle="1" w:styleId="228">
    <w:name w:val="清单表 3 - 着色 11"/>
    <w:basedOn w:val="53"/>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9">
    <w:name w:val="@他1"/>
    <w:basedOn w:val="55"/>
    <w:unhideWhenUsed/>
    <w:qFormat/>
    <w:uiPriority w:val="99"/>
    <w:rPr>
      <w:color w:val="2B579A"/>
      <w:shd w:val="clear" w:color="auto" w:fill="E1DFDD"/>
    </w:rPr>
  </w:style>
  <w:style w:type="paragraph" w:customStyle="1" w:styleId="230">
    <w:name w:val="Revision3"/>
    <w:hidden/>
    <w:semiHidden/>
    <w:qFormat/>
    <w:uiPriority w:val="99"/>
    <w:rPr>
      <w:rFonts w:ascii="Times New Roman" w:hAnsi="Times New Roman" w:eastAsia="PMingLiU" w:cs="Times New Roman"/>
      <w:lang w:val="en-US" w:eastAsia="en-US" w:bidi="ar-SA"/>
    </w:rPr>
  </w:style>
  <w:style w:type="paragraph" w:customStyle="1" w:styleId="231">
    <w:name w:val="Überschrift 1.H1"/>
    <w:basedOn w:val="1"/>
    <w:next w:val="1"/>
    <w:qFormat/>
    <w:uiPriority w:val="0"/>
    <w:pPr>
      <w:keepNext/>
      <w:keepLines/>
      <w:numPr>
        <w:ilvl w:val="0"/>
        <w:numId w:val="11"/>
      </w:numPr>
      <w:pBdr>
        <w:top w:val="single" w:color="auto" w:sz="12" w:space="3"/>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232">
    <w:name w:val="TF Zchn"/>
    <w:qFormat/>
    <w:locked/>
    <w:uiPriority w:val="0"/>
    <w:rPr>
      <w:rFonts w:ascii="Arial" w:hAnsi="Arial"/>
      <w:b/>
      <w:lang w:val="en-GB"/>
    </w:rPr>
  </w:style>
  <w:style w:type="character" w:customStyle="1" w:styleId="233">
    <w:name w:val="B3 Char"/>
    <w:qFormat/>
    <w:uiPriority w:val="0"/>
    <w:rPr>
      <w:rFonts w:ascii="Times New Roman" w:hAnsi="Times New Roman"/>
      <w:sz w:val="24"/>
      <w:szCs w:val="24"/>
      <w:lang w:eastAsia="en-US"/>
    </w:rPr>
  </w:style>
  <w:style w:type="paragraph" w:customStyle="1" w:styleId="234">
    <w:name w:val="bullet1"/>
    <w:basedOn w:val="1"/>
    <w:link w:val="236"/>
    <w:qFormat/>
    <w:uiPriority w:val="0"/>
    <w:pPr>
      <w:numPr>
        <w:ilvl w:val="0"/>
        <w:numId w:val="12"/>
      </w:numPr>
    </w:pPr>
    <w:rPr>
      <w:rFonts w:ascii="Calibri" w:hAnsi="Calibri"/>
      <w:kern w:val="2"/>
      <w:sz w:val="24"/>
      <w:lang w:val="zh-CN" w:eastAsia="zh-CN"/>
    </w:rPr>
  </w:style>
  <w:style w:type="paragraph" w:customStyle="1" w:styleId="235">
    <w:name w:val="bullet2"/>
    <w:basedOn w:val="1"/>
    <w:qFormat/>
    <w:uiPriority w:val="0"/>
    <w:pPr>
      <w:numPr>
        <w:ilvl w:val="1"/>
        <w:numId w:val="12"/>
      </w:numPr>
    </w:pPr>
    <w:rPr>
      <w:rFonts w:ascii="Times" w:hAnsi="Times"/>
      <w:kern w:val="2"/>
      <w:sz w:val="24"/>
      <w:lang w:val="zh-CN" w:eastAsia="zh-CN"/>
    </w:rPr>
  </w:style>
  <w:style w:type="character" w:customStyle="1" w:styleId="236">
    <w:name w:val="bullet1 Char"/>
    <w:link w:val="234"/>
    <w:qFormat/>
    <w:uiPriority w:val="0"/>
    <w:rPr>
      <w:rFonts w:ascii="Calibri" w:hAnsi="Calibri" w:eastAsia="宋体"/>
      <w:kern w:val="2"/>
      <w:sz w:val="24"/>
      <w:szCs w:val="24"/>
      <w:lang w:val="zh-CN" w:eastAsia="zh-CN"/>
    </w:rPr>
  </w:style>
  <w:style w:type="paragraph" w:customStyle="1" w:styleId="237">
    <w:name w:val="bullet3"/>
    <w:basedOn w:val="1"/>
    <w:qFormat/>
    <w:uiPriority w:val="0"/>
    <w:pPr>
      <w:numPr>
        <w:ilvl w:val="2"/>
        <w:numId w:val="12"/>
      </w:numPr>
    </w:pPr>
    <w:rPr>
      <w:rFonts w:ascii="Times" w:hAnsi="Times" w:eastAsia="Batang"/>
      <w:lang w:val="zh-CN"/>
    </w:rPr>
  </w:style>
  <w:style w:type="paragraph" w:customStyle="1" w:styleId="238">
    <w:name w:val="bullet4"/>
    <w:basedOn w:val="1"/>
    <w:qFormat/>
    <w:uiPriority w:val="0"/>
    <w:pPr>
      <w:numPr>
        <w:ilvl w:val="3"/>
        <w:numId w:val="12"/>
      </w:numPr>
    </w:pPr>
    <w:rPr>
      <w:rFonts w:ascii="Times" w:hAnsi="Times" w:eastAsia="Batang"/>
      <w:lang w:val="zh-CN"/>
    </w:rPr>
  </w:style>
  <w:style w:type="paragraph" w:customStyle="1" w:styleId="239">
    <w:name w:val="Revision4"/>
    <w:hidden/>
    <w:semiHidden/>
    <w:qFormat/>
    <w:uiPriority w:val="99"/>
    <w:rPr>
      <w:rFonts w:ascii="Times New Roman" w:hAnsi="Times New Roman" w:eastAsia="PMingLiU" w:cs="Times New Roman"/>
      <w:lang w:val="en-US" w:eastAsia="en-US" w:bidi="ar-SA"/>
    </w:rPr>
  </w:style>
  <w:style w:type="character" w:customStyle="1" w:styleId="240">
    <w:name w:val="Comments Char"/>
    <w:basedOn w:val="55"/>
    <w:link w:val="241"/>
    <w:qFormat/>
    <w:locked/>
    <w:uiPriority w:val="0"/>
    <w:rPr>
      <w:rFonts w:ascii="Arial" w:hAnsi="Arial" w:cs="Arial"/>
      <w:i/>
      <w:iCs/>
    </w:rPr>
  </w:style>
  <w:style w:type="paragraph" w:customStyle="1" w:styleId="241">
    <w:name w:val="Comments"/>
    <w:basedOn w:val="1"/>
    <w:link w:val="240"/>
    <w:qFormat/>
    <w:uiPriority w:val="0"/>
    <w:pPr>
      <w:spacing w:before="40"/>
    </w:pPr>
    <w:rPr>
      <w:rFonts w:ascii="Arial" w:hAnsi="Arial" w:cs="Arial"/>
      <w:i/>
      <w:iCs/>
      <w:lang w:val="de-DE" w:eastAsia="de-DE"/>
    </w:rPr>
  </w:style>
  <w:style w:type="character" w:customStyle="1" w:styleId="242">
    <w:name w:val="Proposal Char"/>
    <w:link w:val="190"/>
    <w:qFormat/>
    <w:uiPriority w:val="0"/>
    <w:rPr>
      <w:rFonts w:ascii="Arial" w:hAnsi="Arial" w:eastAsiaTheme="minorEastAsia" w:cstheme="minorBidi"/>
      <w:b/>
      <w:bCs/>
      <w:sz w:val="22"/>
      <w:szCs w:val="22"/>
      <w:lang w:val="en-US" w:eastAsia="zh-CN"/>
    </w:rPr>
  </w:style>
  <w:style w:type="table" w:customStyle="1" w:styleId="243">
    <w:name w:val="清单表 3 - 着色 12"/>
    <w:basedOn w:val="53"/>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244">
    <w:name w:val="网格表 1 浅色1"/>
    <w:basedOn w:val="5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245">
    <w:name w:val="@他2"/>
    <w:basedOn w:val="55"/>
    <w:unhideWhenUsed/>
    <w:qFormat/>
    <w:uiPriority w:val="99"/>
    <w:rPr>
      <w:color w:val="2B579A"/>
      <w:shd w:val="clear" w:color="auto" w:fill="E1DFDD"/>
    </w:rPr>
  </w:style>
  <w:style w:type="paragraph" w:customStyle="1" w:styleId="246">
    <w:name w:val="xmsonormal"/>
    <w:basedOn w:val="1"/>
    <w:qFormat/>
    <w:uiPriority w:val="99"/>
  </w:style>
  <w:style w:type="character" w:customStyle="1" w:styleId="247">
    <w:name w:val="Doc-title Char"/>
    <w:basedOn w:val="55"/>
    <w:link w:val="248"/>
    <w:qFormat/>
    <w:locked/>
    <w:uiPriority w:val="0"/>
    <w:rPr>
      <w:rFonts w:ascii="Arial" w:hAnsi="Arial" w:cs="Arial"/>
    </w:rPr>
  </w:style>
  <w:style w:type="paragraph" w:customStyle="1" w:styleId="248">
    <w:name w:val="Doc-title"/>
    <w:basedOn w:val="1"/>
    <w:link w:val="247"/>
    <w:qFormat/>
    <w:uiPriority w:val="0"/>
    <w:pPr>
      <w:spacing w:before="60"/>
      <w:ind w:left="1259" w:hanging="1259"/>
    </w:pPr>
    <w:rPr>
      <w:rFonts w:ascii="Arial" w:hAnsi="Arial" w:eastAsia="PMingLiU" w:cs="Arial"/>
      <w:szCs w:val="20"/>
      <w:lang w:val="en-IE" w:eastAsia="en-IE"/>
    </w:rPr>
  </w:style>
  <w:style w:type="paragraph" w:customStyle="1" w:styleId="249">
    <w:name w:val="Source"/>
    <w:basedOn w:val="1"/>
    <w:qFormat/>
    <w:uiPriority w:val="0"/>
    <w:pPr>
      <w:spacing w:after="60" w:line="259" w:lineRule="auto"/>
      <w:ind w:left="1985" w:hanging="1985"/>
    </w:pPr>
    <w:rPr>
      <w:rFonts w:ascii="Arial" w:hAnsi="Arial" w:cs="Arial" w:eastAsiaTheme="minorEastAsia"/>
      <w:b/>
      <w:szCs w:val="20"/>
      <w:lang w:val="en-GB"/>
    </w:rPr>
  </w:style>
  <w:style w:type="character" w:customStyle="1" w:styleId="250">
    <w:name w:val="Title Char"/>
    <w:basedOn w:val="55"/>
    <w:link w:val="51"/>
    <w:qFormat/>
    <w:uiPriority w:val="10"/>
    <w:rPr>
      <w:rFonts w:ascii="Arial" w:hAnsi="Arial" w:cs="Arial" w:eastAsiaTheme="minorEastAsia"/>
      <w:b/>
      <w:bCs/>
      <w:kern w:val="28"/>
      <w:lang w:val="en-GB" w:eastAsia="en-US"/>
    </w:rPr>
  </w:style>
  <w:style w:type="paragraph" w:customStyle="1" w:styleId="251">
    <w:name w:val="Style Justified"/>
    <w:basedOn w:val="1"/>
    <w:qFormat/>
    <w:uiPriority w:val="0"/>
    <w:pPr>
      <w:jc w:val="both"/>
    </w:pPr>
    <w:rPr>
      <w:rFonts w:eastAsia="Times New Roman"/>
      <w:szCs w:val="20"/>
    </w:rPr>
  </w:style>
  <w:style w:type="character" w:customStyle="1" w:styleId="252">
    <w:name w:val="Caption Char1"/>
    <w:basedOn w:val="55"/>
    <w:qFormat/>
    <w:uiPriority w:val="0"/>
    <w:rPr>
      <w:b/>
      <w:bCs/>
      <w:lang w:eastAsia="en-US"/>
    </w:rPr>
  </w:style>
  <w:style w:type="character" w:customStyle="1" w:styleId="253">
    <w:name w:val="mathtext"/>
    <w:basedOn w:val="55"/>
    <w:qFormat/>
    <w:uiPriority w:val="0"/>
  </w:style>
  <w:style w:type="character" w:customStyle="1" w:styleId="254">
    <w:name w:val="ui-provider"/>
    <w:basedOn w:val="55"/>
    <w:qFormat/>
    <w:uiPriority w:val="0"/>
  </w:style>
  <w:style w:type="character" w:customStyle="1" w:styleId="255">
    <w:name w:val="Unresolved Mention1"/>
    <w:basedOn w:val="55"/>
    <w:semiHidden/>
    <w:unhideWhenUsed/>
    <w:qFormat/>
    <w:uiPriority w:val="99"/>
    <w:rPr>
      <w:color w:val="605E5C"/>
      <w:shd w:val="clear" w:color="auto" w:fill="E1DFDD"/>
    </w:rPr>
  </w:style>
  <w:style w:type="character" w:customStyle="1" w:styleId="256">
    <w:name w:val="LGTdoc_제목1 Char"/>
    <w:basedOn w:val="55"/>
    <w:link w:val="123"/>
    <w:qFormat/>
    <w:uiPriority w:val="0"/>
    <w:rPr>
      <w:rFonts w:eastAsia="Batang"/>
      <w:b/>
      <w:snapToGrid w:val="0"/>
      <w:sz w:val="28"/>
      <w:szCs w:val="24"/>
    </w:rPr>
  </w:style>
  <w:style w:type="character" w:customStyle="1" w:styleId="257">
    <w:name w:val="未处理的提及1"/>
    <w:basedOn w:val="55"/>
    <w:semiHidden/>
    <w:unhideWhenUsed/>
    <w:qFormat/>
    <w:uiPriority w:val="99"/>
    <w:rPr>
      <w:color w:val="605E5C"/>
      <w:shd w:val="clear" w:color="auto" w:fill="E1DFDD"/>
    </w:rPr>
  </w:style>
  <w:style w:type="paragraph" w:customStyle="1" w:styleId="258">
    <w:name w:val="RAN4 proposal"/>
    <w:basedOn w:val="28"/>
    <w:next w:val="1"/>
    <w:link w:val="259"/>
    <w:qFormat/>
    <w:uiPriority w:val="0"/>
    <w:pPr>
      <w:numPr>
        <w:ilvl w:val="0"/>
        <w:numId w:val="13"/>
      </w:numPr>
      <w:spacing w:before="0" w:after="200"/>
      <w:ind w:left="0" w:firstLine="0"/>
    </w:pPr>
    <w:rPr>
      <w:rFonts w:eastAsiaTheme="minorHAnsi" w:cstheme="minorBidi"/>
      <w:iCs/>
      <w:kern w:val="2"/>
      <w:szCs w:val="18"/>
    </w:rPr>
  </w:style>
  <w:style w:type="character" w:customStyle="1" w:styleId="259">
    <w:name w:val="RAN4 proposal Char"/>
    <w:link w:val="258"/>
    <w:uiPriority w:val="0"/>
    <w:rPr>
      <w:rFonts w:eastAsiaTheme="minorHAnsi" w:cstheme="minorBidi"/>
      <w:b/>
      <w:iCs/>
      <w:kern w:val="2"/>
      <w:szCs w:val="18"/>
      <w:lang w:eastAsia="en-US"/>
    </w:rPr>
  </w:style>
  <w:style w:type="table" w:customStyle="1" w:styleId="260">
    <w:name w:val="网格表 4 - 着色 11"/>
    <w:basedOn w:val="53"/>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61">
    <w:name w:val="Unresolved Mention2"/>
    <w:basedOn w:val="55"/>
    <w:semiHidden/>
    <w:unhideWhenUsed/>
    <w:uiPriority w:val="99"/>
    <w:rPr>
      <w:color w:val="605E5C"/>
      <w:shd w:val="clear" w:color="auto" w:fill="E1DFDD"/>
    </w:rPr>
  </w:style>
  <w:style w:type="paragraph" w:customStyle="1" w:styleId="262">
    <w:name w:val="Revision"/>
    <w:hidden/>
    <w:semiHidden/>
    <w:uiPriority w:val="99"/>
    <w:rPr>
      <w:rFonts w:ascii="Times New Roman" w:hAnsi="Times New Roman" w:eastAsia="宋体" w:cs="Times New Roman"/>
      <w:szCs w:val="24"/>
      <w:lang w:val="en-US" w:eastAsia="en-US" w:bidi="ar-SA"/>
    </w:rPr>
  </w:style>
  <w:style w:type="character" w:customStyle="1" w:styleId="263">
    <w:name w:val="EX Char"/>
    <w:link w:val="78"/>
    <w:qFormat/>
    <w:locked/>
    <w:uiPriority w:val="0"/>
    <w:rPr>
      <w:rFonts w:eastAsia="宋体"/>
      <w:szCs w:val="24"/>
      <w:lang w:eastAsia="en-US"/>
    </w:rPr>
  </w:style>
  <w:style w:type="character" w:customStyle="1" w:styleId="264">
    <w:name w:val="Unresolved Mention"/>
    <w:basedOn w:val="55"/>
    <w:semiHidden/>
    <w:unhideWhenUsed/>
    <w:qFormat/>
    <w:uiPriority w:val="99"/>
    <w:rPr>
      <w:color w:val="605E5C"/>
      <w:shd w:val="clear" w:color="auto" w:fill="E1DFDD"/>
    </w:rPr>
  </w:style>
  <w:style w:type="character" w:customStyle="1" w:styleId="265">
    <w:name w:val="列表段落 字符1"/>
    <w:qFormat/>
    <w:uiPriority w:val="34"/>
    <w:rPr>
      <w:rFonts w:ascii="Times" w:hAnsi="Times" w:eastAsia="Batang"/>
      <w:szCs w:val="24"/>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0" ma:contentTypeDescription="Create a new document." ma:contentTypeScope="" ma:versionID="b986e8c06467c7b6e31741e7d0f88f2d">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c3debf428eb385a1e48b838164b46500"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C46A06-8DA8-4F23-BD20-3BD1051A4009}">
  <ds:schemaRefs/>
</ds:datastoreItem>
</file>

<file path=customXml/itemProps2.xml><?xml version="1.0" encoding="utf-8"?>
<ds:datastoreItem xmlns:ds="http://schemas.openxmlformats.org/officeDocument/2006/customXml" ds:itemID="{85A1D5E0-A103-4722-8599-3F6DEDD51183}">
  <ds:schemaRefs/>
</ds:datastoreItem>
</file>

<file path=customXml/itemProps3.xml><?xml version="1.0" encoding="utf-8"?>
<ds:datastoreItem xmlns:ds="http://schemas.openxmlformats.org/officeDocument/2006/customXml" ds:itemID="{FF137673-4A5D-49C2-B2F1-06CB85FDC2EF}">
  <ds:schemaRefs/>
</ds:datastoreItem>
</file>

<file path=customXml/itemProps4.xml><?xml version="1.0" encoding="utf-8"?>
<ds:datastoreItem xmlns:ds="http://schemas.openxmlformats.org/officeDocument/2006/customXml" ds:itemID="{79FFCA8C-CF1A-4020-BC7C-91A843E830E7}">
  <ds:schemaRefs/>
</ds:datastoreItem>
</file>

<file path=customXml/itemProps5.xml><?xml version="1.0" encoding="utf-8"?>
<ds:datastoreItem xmlns:ds="http://schemas.openxmlformats.org/officeDocument/2006/customXml" ds:itemID="{CC7A3333-26C7-4FFE-958A-AF63BE2CD147}">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10</Pages>
  <Words>4137</Words>
  <Characters>23586</Characters>
  <Lines>196</Lines>
  <Paragraphs>55</Paragraphs>
  <TotalTime>4</TotalTime>
  <ScaleCrop>false</ScaleCrop>
  <LinksUpToDate>false</LinksUpToDate>
  <CharactersWithSpaces>27668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2024-05-21T02:04:00Z</dcterms:created>
  <dc:creator>mohamed.el-jaafari@thalesaleniaspace.com</dc:creator>
  <cp:keywords>Unrestricted &lt;keyword[, keyword]&gt;, CTPClassification=CTP_NT</cp:keywords>
  <cp:lastModifiedBy>CFY2</cp:lastModifiedBy>
  <cp:lastPrinted>2017-11-03T22:53:00Z</cp:lastPrinted>
  <dcterms:modified xsi:type="dcterms:W3CDTF">2024-05-21T09:32:40Z</dcterms:modified>
  <dc:subject>&lt;Title 1; Title 2&gt; (Release 15 |14 | 13 |12)</dc:subject>
  <dc:title>3GPP TR ab.cde</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TitusGUID">
    <vt:lpwstr>96878a18-4314-4986-a767-c6371d05c370</vt:lpwstr>
  </property>
  <property fmtid="{D5CDD505-2E9C-101B-9397-08002B2CF9AE}" pid="9" name="CTP_TimeStamp">
    <vt:lpwstr>2020-08-24 12:48:38Z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5"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6" name="_2015_ms_pID_7253432">
    <vt:lpwstr>Wg==</vt:lpwstr>
  </property>
  <property fmtid="{D5CDD505-2E9C-101B-9397-08002B2CF9AE}" pid="17" name="CWMd314b31f6ffc45978519329a5784d6e4">
    <vt:lpwstr>CWM6ugH5GuWi6PPYGjBbnAsQ5O2L4uMkZOWNzH6hG3D3gWYYpy1gULoNr58Ypj+tnOiri0bdYO6mxv10iI8I8s1Sg==</vt:lpwstr>
  </property>
  <property fmtid="{D5CDD505-2E9C-101B-9397-08002B2CF9AE}" pid="18" name="KSOProductBuildVer">
    <vt:lpwstr>2052-11.8.2.12085</vt:lpwstr>
  </property>
  <property fmtid="{D5CDD505-2E9C-101B-9397-08002B2CF9AE}" pid="19" name="ICV">
    <vt:lpwstr>8F711754F254482E8E2F961CB886E948</vt:lpwstr>
  </property>
  <property fmtid="{D5CDD505-2E9C-101B-9397-08002B2CF9AE}" pid="20" name="CWM4f154f697fad4a83b5508d2b4aded02f">
    <vt:lpwstr>CWM6oxsPXMVPJlj7PWOU9FJsPnU3Pix4xGIQuuVLblnSEmBFz7zgWelngydFfUHy6XG/CP0joj/Repy90wjql+yig==</vt:lpwstr>
  </property>
  <property fmtid="{D5CDD505-2E9C-101B-9397-08002B2CF9AE}" pid="21" name="LM SIP Document Sensitivity">
    <vt:lpwstr/>
  </property>
  <property fmtid="{D5CDD505-2E9C-101B-9397-08002B2CF9AE}" pid="22" name="Document Author">
    <vt:lpwstr>US\e370351</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vt:lpwstr>
  </property>
  <property fmtid="{D5CDD505-2E9C-101B-9397-08002B2CF9AE}" pid="31" name="ExpCountry">
    <vt:lpwstr/>
  </property>
  <property fmtid="{D5CDD505-2E9C-101B-9397-08002B2CF9AE}" pid="32" name="TextBoxAndDropdownValues">
    <vt:lpwstr/>
  </property>
  <property fmtid="{D5CDD505-2E9C-101B-9397-08002B2CF9AE}" pid="33" name="MediaServiceImageTags">
    <vt:lpwstr/>
  </property>
  <property fmtid="{D5CDD505-2E9C-101B-9397-08002B2CF9AE}" pid="34" name="MSIP_Label_83bcef13-7cac-433f-ba1d-47a323951816_Enabled">
    <vt:lpwstr>true</vt:lpwstr>
  </property>
  <property fmtid="{D5CDD505-2E9C-101B-9397-08002B2CF9AE}" pid="35" name="MSIP_Label_83bcef13-7cac-433f-ba1d-47a323951816_SetDate">
    <vt:lpwstr>2022-11-14T18:25:40Z</vt:lpwstr>
  </property>
  <property fmtid="{D5CDD505-2E9C-101B-9397-08002B2CF9AE}" pid="36" name="MSIP_Label_83bcef13-7cac-433f-ba1d-47a323951816_Method">
    <vt:lpwstr>Privileged</vt:lpwstr>
  </property>
  <property fmtid="{D5CDD505-2E9C-101B-9397-08002B2CF9AE}" pid="37" name="MSIP_Label_83bcef13-7cac-433f-ba1d-47a323951816_Name">
    <vt:lpwstr>MTK_Unclassified</vt:lpwstr>
  </property>
  <property fmtid="{D5CDD505-2E9C-101B-9397-08002B2CF9AE}" pid="38" name="MSIP_Label_83bcef13-7cac-433f-ba1d-47a323951816_SiteId">
    <vt:lpwstr>a7687ede-7a6b-4ef6-bace-642f677fbe31</vt:lpwstr>
  </property>
  <property fmtid="{D5CDD505-2E9C-101B-9397-08002B2CF9AE}" pid="39" name="MSIP_Label_83bcef13-7cac-433f-ba1d-47a323951816_ActionId">
    <vt:lpwstr>8c4f6001-2b96-42dc-a978-316daaad609e</vt:lpwstr>
  </property>
  <property fmtid="{D5CDD505-2E9C-101B-9397-08002B2CF9AE}" pid="40" name="MSIP_Label_83bcef13-7cac-433f-ba1d-47a323951816_ContentBits">
    <vt:lpwstr>0</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1681694503</vt:lpwstr>
  </property>
  <property fmtid="{D5CDD505-2E9C-101B-9397-08002B2CF9AE}" pid="45" name="CWM19c5a6c0400211ee800065d1000065d1">
    <vt:lpwstr>CWMtO8qbnas+SjSD2I00SiwXOdiBlBVzODmt0pD9rChfoRXqZ7MiYSb3AeC8mwi5JZDVlsUcjpQKMOVdl+NqOLjCA==</vt:lpwstr>
  </property>
  <property fmtid="{D5CDD505-2E9C-101B-9397-08002B2CF9AE}" pid="46" name="_dlc_DocIdItemGuid">
    <vt:lpwstr>ce50c813-d3ab-4b08-aed3-5a2be781aa4c</vt:lpwstr>
  </property>
  <property fmtid="{D5CDD505-2E9C-101B-9397-08002B2CF9AE}" pid="47" name="ContentTypeId">
    <vt:lpwstr>0x0101008A5A7F3514465E458D5F5D15A7097C37</vt:lpwstr>
  </property>
</Properties>
</file>