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ListParagraph"/>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ListParagraph"/>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r>
              <w:rPr>
                <w:lang w:val="en-US"/>
              </w:rPr>
              <w:t>Hispasat</w:t>
            </w:r>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r w:rsidR="007134D2" w14:paraId="525FCE01" w14:textId="77777777" w:rsidTr="00A47300">
        <w:tc>
          <w:tcPr>
            <w:tcW w:w="1661" w:type="dxa"/>
          </w:tcPr>
          <w:p w14:paraId="35D19568" w14:textId="54650DD2" w:rsidR="007134D2" w:rsidRDefault="007134D2" w:rsidP="007134D2">
            <w:pPr>
              <w:rPr>
                <w:lang w:val="en-US"/>
              </w:rPr>
            </w:pPr>
            <w:r>
              <w:rPr>
                <w:lang w:val="en-US"/>
              </w:rPr>
              <w:t>Eutelsat Group</w:t>
            </w:r>
          </w:p>
        </w:tc>
        <w:tc>
          <w:tcPr>
            <w:tcW w:w="7960" w:type="dxa"/>
          </w:tcPr>
          <w:p w14:paraId="445D8262" w14:textId="43D00CED" w:rsidR="007134D2" w:rsidRDefault="007134D2" w:rsidP="007134D2">
            <w:pPr>
              <w:rPr>
                <w:lang w:val="en-US"/>
              </w:rPr>
            </w:pPr>
            <w:r>
              <w:rPr>
                <w:lang w:val="en-US" w:eastAsia="zh-CN"/>
              </w:rPr>
              <w:t>Due to the frequency difference from Ka, some additional co-existence work is necessary. This can proceed in phase 1 for all regions excluding the US.</w:t>
            </w:r>
          </w:p>
        </w:tc>
      </w:tr>
      <w:tr w:rsidR="00465258" w14:paraId="16DD5367" w14:textId="77777777" w:rsidTr="00A47300">
        <w:trPr>
          <w:ins w:id="0" w:author="Bo-Han Hsieh" w:date="2024-06-18T11:26:00Z"/>
        </w:trPr>
        <w:tc>
          <w:tcPr>
            <w:tcW w:w="1661" w:type="dxa"/>
          </w:tcPr>
          <w:p w14:paraId="5C605E56" w14:textId="04A9454C" w:rsidR="00465258" w:rsidRDefault="00465258" w:rsidP="007134D2">
            <w:pPr>
              <w:rPr>
                <w:ins w:id="1" w:author="Bo-Han Hsieh" w:date="2024-06-18T11:26:00Z"/>
                <w:lang w:val="en-US"/>
              </w:rPr>
            </w:pPr>
            <w:ins w:id="2" w:author="Bo-Han Hsieh" w:date="2024-06-18T11:26:00Z">
              <w:r>
                <w:rPr>
                  <w:lang w:val="en-US"/>
                </w:rPr>
                <w:t>CHTTL</w:t>
              </w:r>
            </w:ins>
          </w:p>
        </w:tc>
        <w:tc>
          <w:tcPr>
            <w:tcW w:w="7960" w:type="dxa"/>
          </w:tcPr>
          <w:p w14:paraId="780FF2AA" w14:textId="3FD3C3BF" w:rsidR="00465258" w:rsidRDefault="00465258" w:rsidP="00465258">
            <w:pPr>
              <w:rPr>
                <w:ins w:id="3" w:author="Bo-Han Hsieh" w:date="2024-06-18T11:26:00Z"/>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sidRPr="00465258">
                <w:rPr>
                  <w:lang w:val="en-US" w:eastAsia="zh-TW"/>
                </w:rPr>
                <w:t>coexistence studies</w:t>
              </w:r>
              <w:r>
                <w:rPr>
                  <w:rFonts w:hint="eastAsia"/>
                  <w:lang w:val="en-US" w:eastAsia="zh-TW"/>
                </w:rPr>
                <w:t xml:space="preserve">, since there is no </w:t>
              </w:r>
              <w:r w:rsidRPr="00465258">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en-US" w:eastAsia="zh-TW"/>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en-US" w:eastAsia="zh-TW"/>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r>
              <w:rPr>
                <w:lang w:val="en-US"/>
              </w:rPr>
              <w:t>Hispasat</w:t>
            </w:r>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r w:rsidR="00B4258A" w14:paraId="3B2E1683" w14:textId="77777777" w:rsidTr="00F513CD">
        <w:tc>
          <w:tcPr>
            <w:tcW w:w="1661" w:type="dxa"/>
          </w:tcPr>
          <w:p w14:paraId="03FAF2B1" w14:textId="123E0B91" w:rsidR="00B4258A" w:rsidRDefault="00B4258A" w:rsidP="00B4258A">
            <w:pPr>
              <w:rPr>
                <w:lang w:val="en-US"/>
              </w:rPr>
            </w:pPr>
            <w:r>
              <w:rPr>
                <w:lang w:val="en-US"/>
              </w:rPr>
              <w:t>Eutelsat Group</w:t>
            </w:r>
          </w:p>
        </w:tc>
        <w:tc>
          <w:tcPr>
            <w:tcW w:w="7960" w:type="dxa"/>
          </w:tcPr>
          <w:p w14:paraId="4D3D13D1" w14:textId="714E7DC8" w:rsidR="00B4258A" w:rsidRDefault="00B4258A" w:rsidP="00B4258A">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465258" w14:paraId="0FEF4930" w14:textId="77777777" w:rsidTr="00F513CD">
        <w:trPr>
          <w:ins w:id="8" w:author="Bo-Han Hsieh" w:date="2024-06-18T11:29:00Z"/>
        </w:trPr>
        <w:tc>
          <w:tcPr>
            <w:tcW w:w="1661" w:type="dxa"/>
          </w:tcPr>
          <w:p w14:paraId="4C40ECAB" w14:textId="468ECCD3" w:rsidR="00465258" w:rsidRDefault="00465258" w:rsidP="00B4258A">
            <w:pPr>
              <w:rPr>
                <w:ins w:id="9" w:author="Bo-Han Hsieh" w:date="2024-06-18T11:29:00Z"/>
                <w:lang w:val="en-US" w:eastAsia="zh-TW"/>
              </w:rPr>
            </w:pPr>
            <w:ins w:id="10" w:author="Bo-Han Hsieh" w:date="2024-06-18T11:29:00Z">
              <w:r>
                <w:rPr>
                  <w:rFonts w:hint="eastAsia"/>
                  <w:lang w:val="en-US" w:eastAsia="zh-TW"/>
                </w:rPr>
                <w:t>CHTTL</w:t>
              </w:r>
            </w:ins>
          </w:p>
        </w:tc>
        <w:tc>
          <w:tcPr>
            <w:tcW w:w="7960" w:type="dxa"/>
          </w:tcPr>
          <w:p w14:paraId="71C439EE" w14:textId="64AEC91A" w:rsidR="00465258" w:rsidRDefault="00465258" w:rsidP="00465258">
            <w:pPr>
              <w:rPr>
                <w:ins w:id="11" w:author="Bo-Han Hsieh" w:date="2024-06-18T11:29:00Z"/>
                <w:lang w:val="en-US" w:eastAsia="zh-TW"/>
              </w:rPr>
            </w:pPr>
            <w:ins w:id="12" w:author="Bo-Han Hsieh" w:date="2024-06-18T11:31:00Z">
              <w:r>
                <w:rPr>
                  <w:rFonts w:hint="eastAsia"/>
                  <w:lang w:val="en-US" w:eastAsia="zh-TW"/>
                </w:rPr>
                <w:t>We think</w:t>
              </w:r>
            </w:ins>
            <w:ins w:id="13" w:author="Bo-Han Hsieh" w:date="2024-06-18T11:30:00Z">
              <w:r>
                <w:rPr>
                  <w:rFonts w:hint="eastAsia"/>
                  <w:lang w:val="en-US" w:eastAsia="zh-TW"/>
                </w:rPr>
                <w:t xml:space="preserve"> the work for region 1 &amp; 3 </w:t>
              </w:r>
            </w:ins>
            <w:ins w:id="14" w:author="Bo-Han Hsieh" w:date="2024-06-18T11:31:00Z">
              <w:r>
                <w:rPr>
                  <w:rFonts w:hint="eastAsia"/>
                  <w:lang w:val="en-US" w:eastAsia="zh-TW"/>
                </w:rPr>
                <w:t>can be started first</w:t>
              </w:r>
            </w:ins>
            <w:ins w:id="15" w:author="Bo-Han Hsieh" w:date="2024-06-18T11:33:00Z">
              <w:r>
                <w:rPr>
                  <w:rFonts w:hint="eastAsia"/>
                  <w:lang w:val="en-US" w:eastAsia="zh-TW"/>
                </w:rPr>
                <w:t xml:space="preserve">, we are </w:t>
              </w:r>
            </w:ins>
            <w:ins w:id="16" w:author="Bo-Han Hsieh" w:date="2024-06-18T11:35:00Z">
              <w:r>
                <w:rPr>
                  <w:rFonts w:hint="eastAsia"/>
                  <w:lang w:val="en-US" w:eastAsia="zh-TW"/>
                </w:rPr>
                <w:t>ok to</w:t>
              </w:r>
            </w:ins>
            <w:ins w:id="17" w:author="Bo-Han Hsieh" w:date="2024-06-18T11:33:00Z">
              <w:r>
                <w:rPr>
                  <w:rFonts w:hint="eastAsia"/>
                  <w:lang w:val="en-US" w:eastAsia="zh-TW"/>
                </w:rPr>
                <w:t xml:space="preserve"> </w:t>
              </w:r>
              <w:r w:rsidRPr="00465258">
                <w:rPr>
                  <w:lang w:val="en-US" w:eastAsia="zh-TW"/>
                </w:rPr>
                <w:t>focus on common frequency ranges across all regions and countries i.e. DL 10.7-12.7 GHz and UL 13.75 -14.5 GHz</w:t>
              </w:r>
              <w:r>
                <w:rPr>
                  <w:rFonts w:hint="eastAsia"/>
                  <w:lang w:val="en-US" w:eastAsia="zh-TW"/>
                </w:rPr>
                <w:t>.</w:t>
              </w:r>
            </w:ins>
          </w:p>
        </w:tc>
      </w:tr>
      <w:tr w:rsidR="004A7114" w14:paraId="1C31EBDE" w14:textId="77777777" w:rsidTr="00F513CD">
        <w:trPr>
          <w:ins w:id="18" w:author="Chervyakov, Andrey" w:date="2024-06-18T11:44:00Z"/>
        </w:trPr>
        <w:tc>
          <w:tcPr>
            <w:tcW w:w="1661" w:type="dxa"/>
          </w:tcPr>
          <w:p w14:paraId="7FAC0471" w14:textId="7D6E8BC5" w:rsidR="004A7114" w:rsidRDefault="004A7114" w:rsidP="004A7114">
            <w:pPr>
              <w:rPr>
                <w:ins w:id="19" w:author="Chervyakov, Andrey" w:date="2024-06-18T11:44:00Z" w16du:dateUtc="2024-06-18T03:44:00Z"/>
                <w:lang w:val="en-US" w:eastAsia="zh-TW"/>
              </w:rPr>
            </w:pPr>
            <w:ins w:id="20" w:author="Chervyakov, Andrey" w:date="2024-06-18T11:44:00Z" w16du:dateUtc="2024-06-18T03:44:00Z">
              <w:r>
                <w:rPr>
                  <w:lang w:val="en-US"/>
                </w:rPr>
                <w:t>Intel</w:t>
              </w:r>
            </w:ins>
          </w:p>
        </w:tc>
        <w:tc>
          <w:tcPr>
            <w:tcW w:w="7960" w:type="dxa"/>
          </w:tcPr>
          <w:p w14:paraId="33CBCE10" w14:textId="77777777" w:rsidR="004A7114" w:rsidRDefault="004A7114" w:rsidP="004A7114">
            <w:pPr>
              <w:rPr>
                <w:ins w:id="21" w:author="Chervyakov, Andrey" w:date="2024-06-18T11:46:00Z" w16du:dateUtc="2024-06-18T03:46:00Z"/>
                <w:lang w:val="en-US"/>
              </w:rPr>
            </w:pPr>
            <w:ins w:id="22" w:author="Chervyakov, Andrey" w:date="2024-06-18T11:44:00Z" w16du:dateUtc="2024-06-18T03:44:00Z">
              <w:r>
                <w:rPr>
                  <w:lang w:val="en-US"/>
                </w:rPr>
                <w:t xml:space="preserve">Prefer to exclude the frequency range 12.70 – 13.25 GHz for consideration at least for </w:t>
              </w:r>
              <w:proofErr w:type="gramStart"/>
              <w:r>
                <w:rPr>
                  <w:lang w:val="en-US"/>
                </w:rPr>
                <w:t>Region</w:t>
              </w:r>
              <w:proofErr w:type="gramEnd"/>
              <w:r>
                <w:rPr>
                  <w:lang w:val="en-US"/>
                </w:rPr>
                <w:t xml:space="preserve"> 2 (or US only). Additional updates can be made at a later stage once </w:t>
              </w:r>
            </w:ins>
            <w:ins w:id="23" w:author="Chervyakov, Andrey" w:date="2024-06-18T11:45:00Z" w16du:dateUtc="2024-06-18T03:45:00Z">
              <w:r w:rsidR="00A008B9">
                <w:rPr>
                  <w:lang w:val="en-US"/>
                </w:rPr>
                <w:t>regulatory</w:t>
              </w:r>
            </w:ins>
            <w:ins w:id="24" w:author="Chervyakov, Andrey" w:date="2024-06-18T11:44:00Z" w16du:dateUtc="2024-06-18T03:44:00Z">
              <w:r>
                <w:rPr>
                  <w:lang w:val="en-US"/>
                </w:rPr>
                <w:t xml:space="preserve"> decisions are </w:t>
              </w:r>
              <w:proofErr w:type="gramStart"/>
              <w:r>
                <w:rPr>
                  <w:lang w:val="en-US"/>
                </w:rPr>
                <w:t>clear</w:t>
              </w:r>
            </w:ins>
            <w:proofErr w:type="gramEnd"/>
            <w:ins w:id="25" w:author="Chervyakov, Andrey" w:date="2024-06-18T11:45:00Z" w16du:dateUtc="2024-06-18T03:45:00Z">
              <w:r w:rsidR="00A008B9">
                <w:rPr>
                  <w:lang w:val="en-US"/>
                </w:rPr>
                <w:t xml:space="preserve"> and we don’t think that Phase 2 needs to be included f</w:t>
              </w:r>
              <w:r w:rsidR="00335F20">
                <w:rPr>
                  <w:lang w:val="en-US"/>
                </w:rPr>
                <w:t>rom the very beginning</w:t>
              </w:r>
            </w:ins>
            <w:ins w:id="26" w:author="Chervyakov, Andrey" w:date="2024-06-18T11:44:00Z" w16du:dateUtc="2024-06-18T03:44:00Z">
              <w:r>
                <w:rPr>
                  <w:lang w:val="en-US"/>
                </w:rPr>
                <w:t>.</w:t>
              </w:r>
            </w:ins>
          </w:p>
          <w:p w14:paraId="05334D87" w14:textId="5AE0C5B0" w:rsidR="00335F20" w:rsidRDefault="00335F20" w:rsidP="004A7114">
            <w:pPr>
              <w:rPr>
                <w:ins w:id="27" w:author="Chervyakov, Andrey" w:date="2024-06-18T11:44:00Z" w16du:dateUtc="2024-06-18T03:44:00Z"/>
                <w:lang w:val="en-US" w:eastAsia="zh-TW"/>
              </w:rPr>
            </w:pPr>
            <w:ins w:id="28" w:author="Chervyakov, Andrey" w:date="2024-06-18T11:46:00Z" w16du:dateUtc="2024-06-18T03:46:00Z">
              <w:r>
                <w:rPr>
                  <w:lang w:val="en-US"/>
                </w:rPr>
                <w:t>Also, agree with Ericsson and Samsung comments that one possible approach is to work on DL and UL B first across all regions.</w:t>
              </w:r>
            </w:ins>
          </w:p>
        </w:tc>
      </w:tr>
      <w:tr w:rsidR="00C36EBB" w14:paraId="7DBD318D" w14:textId="77777777" w:rsidTr="00F513CD">
        <w:trPr>
          <w:ins w:id="29" w:author="Luca Lodigiani" w:date="2024-06-18T05:07:00Z" w16du:dateUtc="2024-06-18T04:07:00Z"/>
        </w:trPr>
        <w:tc>
          <w:tcPr>
            <w:tcW w:w="1661" w:type="dxa"/>
          </w:tcPr>
          <w:p w14:paraId="4C8DDCA3" w14:textId="2428BF16" w:rsidR="00C36EBB" w:rsidRDefault="00C36EBB" w:rsidP="004A7114">
            <w:pPr>
              <w:rPr>
                <w:ins w:id="30" w:author="Luca Lodigiani" w:date="2024-06-18T05:07:00Z" w16du:dateUtc="2024-06-18T04:07:00Z"/>
                <w:lang w:val="en-US"/>
              </w:rPr>
            </w:pPr>
            <w:ins w:id="31" w:author="Luca Lodigiani" w:date="2024-06-18T05:07:00Z" w16du:dateUtc="2024-06-18T04:07:00Z">
              <w:r>
                <w:rPr>
                  <w:lang w:val="en-US"/>
                </w:rPr>
                <w:t>Inmarsat</w:t>
              </w:r>
            </w:ins>
          </w:p>
        </w:tc>
        <w:tc>
          <w:tcPr>
            <w:tcW w:w="7960" w:type="dxa"/>
          </w:tcPr>
          <w:p w14:paraId="795645B5" w14:textId="2539279B" w:rsidR="00C36EBB" w:rsidRDefault="00C36EBB" w:rsidP="004A7114">
            <w:pPr>
              <w:rPr>
                <w:ins w:id="32" w:author="Luca Lodigiani" w:date="2024-06-18T05:07:00Z" w16du:dateUtc="2024-06-18T04:07:00Z"/>
                <w:lang w:val="en-US"/>
              </w:rPr>
            </w:pPr>
            <w:ins w:id="33" w:author="Luca Lodigiani" w:date="2024-06-18T05:07:00Z" w16du:dateUtc="2024-06-18T04:07:00Z">
              <w:r>
                <w:rPr>
                  <w:lang w:val="en-US"/>
                </w:rPr>
                <w:t xml:space="preserve">Irrespective of the frequency band or range of applicability, the notion of removing the entirety of </w:t>
              </w:r>
              <w:proofErr w:type="gramStart"/>
              <w:r>
                <w:rPr>
                  <w:lang w:val="en-US"/>
                </w:rPr>
                <w:t>Region</w:t>
              </w:r>
              <w:proofErr w:type="gramEnd"/>
              <w:r>
                <w:rPr>
                  <w:lang w:val="en-US"/>
                </w:rPr>
                <w:t xml:space="preserve"> 2 from a new band WI just on the basis of uncertainties with the </w:t>
              </w:r>
            </w:ins>
            <w:ins w:id="34" w:author="Luca Lodigiani" w:date="2024-06-18T05:08:00Z" w16du:dateUtc="2024-06-18T04:08:00Z">
              <w:r>
                <w:rPr>
                  <w:lang w:val="en-US"/>
                </w:rPr>
                <w:t>US/</w:t>
              </w:r>
            </w:ins>
            <w:ins w:id="35" w:author="Luca Lodigiani" w:date="2024-06-18T05:07:00Z" w16du:dateUtc="2024-06-18T04:07:00Z">
              <w:r>
                <w:rPr>
                  <w:lang w:val="en-US"/>
                </w:rPr>
                <w:t xml:space="preserve">FCC is very bad practice and should be avoided.  </w:t>
              </w:r>
            </w:ins>
            <w:ins w:id="36" w:author="Luca Lodigiani" w:date="2024-06-18T05:08:00Z" w16du:dateUtc="2024-06-18T04:08:00Z">
              <w:r>
                <w:rPr>
                  <w:lang w:val="en-US"/>
                </w:rPr>
                <w:t>This has already been attempted in the past with other bands but i</w:t>
              </w:r>
            </w:ins>
            <w:ins w:id="37" w:author="Luca Lodigiani" w:date="2024-06-18T05:09:00Z" w16du:dateUtc="2024-06-18T04:09:00Z">
              <w:r>
                <w:rPr>
                  <w:lang w:val="en-US"/>
                </w:rPr>
                <w:t>t’s a very bad approach.</w:t>
              </w:r>
            </w:ins>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w:t>
            </w:r>
            <w:r w:rsidRPr="00F3659C">
              <w:rPr>
                <w:lang w:val="en-US"/>
              </w:rPr>
              <w:lastRenderedPageBreak/>
              <w:t>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lastRenderedPageBreak/>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w:t>
            </w:r>
            <w:proofErr w:type="gramStart"/>
            <w:r>
              <w:rPr>
                <w:lang w:val="en-US"/>
              </w:rPr>
              <w:t>to follow</w:t>
            </w:r>
            <w:proofErr w:type="gramEnd"/>
            <w:r>
              <w:rPr>
                <w:lang w:val="en-US"/>
              </w:rPr>
              <w:t xml:space="preserve">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ListParagraph"/>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ListParagraph"/>
              <w:numPr>
                <w:ilvl w:val="0"/>
                <w:numId w:val="19"/>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1E16F1" w14:paraId="14A08464" w14:textId="77777777" w:rsidTr="00072B25">
        <w:tc>
          <w:tcPr>
            <w:tcW w:w="1661" w:type="dxa"/>
          </w:tcPr>
          <w:p w14:paraId="7C0D2A65" w14:textId="1B3DEF8C" w:rsidR="001E16F1" w:rsidRDefault="001E16F1" w:rsidP="001E16F1">
            <w:pPr>
              <w:rPr>
                <w:lang w:val="en-US"/>
              </w:rPr>
            </w:pPr>
            <w:r>
              <w:rPr>
                <w:lang w:val="en-US"/>
              </w:rPr>
              <w:t>Eutelsat Group</w:t>
            </w:r>
          </w:p>
        </w:tc>
        <w:tc>
          <w:tcPr>
            <w:tcW w:w="7960" w:type="dxa"/>
          </w:tcPr>
          <w:p w14:paraId="20205D1A" w14:textId="321B99C3" w:rsidR="001E16F1" w:rsidRDefault="001E16F1" w:rsidP="001E16F1">
            <w:pPr>
              <w:rPr>
                <w:lang w:val="en-US"/>
              </w:rPr>
            </w:pPr>
            <w:r>
              <w:rPr>
                <w:lang w:val="en-US"/>
              </w:rPr>
              <w:t xml:space="preserve">The key legacy satellite bandwidths are 250 MHz for DL and 125 MHz for UL. These can be implemented using 120 kHz SCS for 250 MHz and 60 KHz SCS for 125 </w:t>
            </w:r>
            <w:proofErr w:type="spellStart"/>
            <w:r>
              <w:rPr>
                <w:lang w:val="en-US"/>
              </w:rPr>
              <w:t>MHz.</w:t>
            </w:r>
            <w:proofErr w:type="spellEnd"/>
            <w:r>
              <w:rPr>
                <w:lang w:val="en-US"/>
              </w:rPr>
              <w:t xml:space="preserve"> </w:t>
            </w:r>
            <w:proofErr w:type="gramStart"/>
            <w:r>
              <w:rPr>
                <w:lang w:val="en-US"/>
              </w:rPr>
              <w:t>Existing  SSB</w:t>
            </w:r>
            <w:proofErr w:type="gramEnd"/>
            <w:r>
              <w:rPr>
                <w:lang w:val="en-US"/>
              </w:rPr>
              <w:t xml:space="preserve"> and PRACH will be used so the work can be </w:t>
            </w:r>
            <w:proofErr w:type="spellStart"/>
            <w:r>
              <w:rPr>
                <w:lang w:val="en-US"/>
              </w:rPr>
              <w:t>completd</w:t>
            </w:r>
            <w:proofErr w:type="spellEnd"/>
            <w:r>
              <w:rPr>
                <w:lang w:val="en-US"/>
              </w:rPr>
              <w:t xml:space="preserve"> within RAN4 without RAN1 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6F266F" w14:paraId="28014E8C" w14:textId="77777777" w:rsidTr="00072B25">
        <w:trPr>
          <w:ins w:id="38" w:author="Bo-Han Hsieh" w:date="2024-06-18T11:39:00Z"/>
        </w:trPr>
        <w:tc>
          <w:tcPr>
            <w:tcW w:w="1661" w:type="dxa"/>
          </w:tcPr>
          <w:p w14:paraId="6E0D411B" w14:textId="1FF433D3" w:rsidR="006F266F" w:rsidRDefault="006F266F" w:rsidP="001E16F1">
            <w:pPr>
              <w:rPr>
                <w:ins w:id="39" w:author="Bo-Han Hsieh" w:date="2024-06-18T11:39:00Z"/>
                <w:lang w:val="en-US" w:eastAsia="zh-TW"/>
              </w:rPr>
            </w:pPr>
            <w:ins w:id="40" w:author="Bo-Han Hsieh" w:date="2024-06-18T11:39:00Z">
              <w:r>
                <w:rPr>
                  <w:rFonts w:hint="eastAsia"/>
                  <w:lang w:val="en-US" w:eastAsia="zh-TW"/>
                </w:rPr>
                <w:t>CHTTL</w:t>
              </w:r>
            </w:ins>
          </w:p>
        </w:tc>
        <w:tc>
          <w:tcPr>
            <w:tcW w:w="7960" w:type="dxa"/>
          </w:tcPr>
          <w:p w14:paraId="0D87A63E" w14:textId="0B739FC6" w:rsidR="006F266F" w:rsidRDefault="006F266F" w:rsidP="006F266F">
            <w:pPr>
              <w:rPr>
                <w:ins w:id="41" w:author="Bo-Han Hsieh" w:date="2024-06-18T11:39:00Z"/>
                <w:lang w:val="en-US" w:eastAsia="zh-TW"/>
              </w:rPr>
            </w:pPr>
            <w:ins w:id="42" w:author="Bo-Han Hsieh" w:date="2024-06-18T11:39:00Z">
              <w:r>
                <w:rPr>
                  <w:rFonts w:hint="eastAsia"/>
                  <w:lang w:val="en-US" w:eastAsia="zh-TW"/>
                </w:rPr>
                <w:t xml:space="preserve">Maybe </w:t>
              </w:r>
            </w:ins>
            <w:ins w:id="43" w:author="Bo-Han Hsieh" w:date="2024-06-18T11:40:00Z">
              <w:r>
                <w:rPr>
                  <w:rFonts w:hint="eastAsia"/>
                  <w:lang w:val="en-US" w:eastAsia="zh-TW"/>
                </w:rPr>
                <w:t>we</w:t>
              </w:r>
            </w:ins>
            <w:ins w:id="44" w:author="Bo-Han Hsieh" w:date="2024-06-18T11:39:00Z">
              <w:r>
                <w:rPr>
                  <w:rFonts w:hint="eastAsia"/>
                  <w:lang w:val="en-US" w:eastAsia="zh-TW"/>
                </w:rPr>
                <w:t xml:space="preserve"> can </w:t>
              </w:r>
            </w:ins>
            <w:ins w:id="45" w:author="Bo-Han Hsieh" w:date="2024-06-18T11:40:00Z">
              <w:r>
                <w:rPr>
                  <w:rFonts w:hint="eastAsia"/>
                  <w:lang w:val="en-US" w:eastAsia="zh-TW"/>
                </w:rPr>
                <w:t xml:space="preserve">start with </w:t>
              </w:r>
              <w:r>
                <w:rPr>
                  <w:lang w:val="en-US" w:eastAsia="zh-TW"/>
                </w:rPr>
                <w:t>channel bandwidths that are</w:t>
              </w:r>
              <w:r w:rsidRPr="006F266F">
                <w:rPr>
                  <w:lang w:val="en-US" w:eastAsia="zh-TW"/>
                </w:rPr>
                <w:t xml:space="preserve"> a multiple of 5 MHz</w:t>
              </w:r>
              <w:r>
                <w:rPr>
                  <w:rFonts w:hint="eastAsia"/>
                  <w:lang w:val="en-US" w:eastAsia="zh-TW"/>
                </w:rPr>
                <w:t xml:space="preserve"> first.</w:t>
              </w:r>
            </w:ins>
          </w:p>
        </w:tc>
      </w:tr>
      <w:tr w:rsidR="001D770D" w14:paraId="7DA57C15" w14:textId="77777777" w:rsidTr="001D770D">
        <w:trPr>
          <w:ins w:id="46" w:author="Chervyakov, Andrey" w:date="2024-06-18T11:47:00Z"/>
        </w:trPr>
        <w:tc>
          <w:tcPr>
            <w:tcW w:w="1661" w:type="dxa"/>
          </w:tcPr>
          <w:p w14:paraId="1A8A4591" w14:textId="77777777" w:rsidR="001D770D" w:rsidRDefault="001D770D" w:rsidP="005A01A2">
            <w:pPr>
              <w:rPr>
                <w:ins w:id="47" w:author="Chervyakov, Andrey" w:date="2024-06-18T11:47:00Z" w16du:dateUtc="2024-06-18T03:47:00Z"/>
                <w:lang w:val="en-US"/>
              </w:rPr>
            </w:pPr>
            <w:ins w:id="48" w:author="Chervyakov, Andrey" w:date="2024-06-18T11:47:00Z" w16du:dateUtc="2024-06-18T03:47:00Z">
              <w:r>
                <w:rPr>
                  <w:lang w:val="en-US"/>
                </w:rPr>
                <w:t>Intel</w:t>
              </w:r>
            </w:ins>
          </w:p>
        </w:tc>
        <w:tc>
          <w:tcPr>
            <w:tcW w:w="7960" w:type="dxa"/>
          </w:tcPr>
          <w:p w14:paraId="459B9B66" w14:textId="0D58DB8E" w:rsidR="001D770D" w:rsidRDefault="00E40F42" w:rsidP="005A01A2">
            <w:pPr>
              <w:rPr>
                <w:ins w:id="49" w:author="Chervyakov, Andrey" w:date="2024-06-18T11:47:00Z" w16du:dateUtc="2024-06-18T03:47:00Z"/>
                <w:lang w:val="en-US"/>
              </w:rPr>
            </w:pPr>
            <w:ins w:id="50" w:author="Chervyakov, Andrey" w:date="2024-06-18T11:49:00Z" w16du:dateUtc="2024-06-18T03:49:00Z">
              <w:r>
                <w:rPr>
                  <w:lang w:val="en-US"/>
                </w:rPr>
                <w:t>Further clarifications on target CBW/SCS are needed to assess the workload.</w:t>
              </w:r>
              <w:r w:rsidR="00207448">
                <w:rPr>
                  <w:lang w:val="en-US"/>
                </w:rPr>
                <w:t xml:space="preserve"> The </w:t>
              </w:r>
            </w:ins>
            <w:ins w:id="51" w:author="Chervyakov, Andrey" w:date="2024-06-18T11:51:00Z" w16du:dateUtc="2024-06-18T03:51:00Z">
              <w:r w:rsidR="00C30628">
                <w:rPr>
                  <w:lang w:val="en-US"/>
                </w:rPr>
                <w:t>CBW</w:t>
              </w:r>
            </w:ins>
            <w:ins w:id="52" w:author="Chervyakov, Andrey" w:date="2024-06-18T11:49:00Z" w16du:dateUtc="2024-06-18T03:49:00Z">
              <w:r w:rsidR="00207448">
                <w:rPr>
                  <w:lang w:val="en-US"/>
                </w:rPr>
                <w:t xml:space="preserve"> shall be not </w:t>
              </w:r>
            </w:ins>
            <w:ins w:id="53" w:author="Chervyakov, Andrey" w:date="2024-06-18T11:50:00Z" w16du:dateUtc="2024-06-18T03:50:00Z">
              <w:r w:rsidR="00207448">
                <w:rPr>
                  <w:lang w:val="en-US"/>
                </w:rPr>
                <w:t>go beyond the max/min CBW defined for NR.</w:t>
              </w:r>
            </w:ins>
          </w:p>
        </w:tc>
      </w:tr>
      <w:tr w:rsidR="00C05392" w14:paraId="4E74B2C6" w14:textId="77777777" w:rsidTr="001D770D">
        <w:trPr>
          <w:ins w:id="54" w:author="Luca Lodigiani" w:date="2024-06-18T05:05:00Z" w16du:dateUtc="2024-06-18T04:05:00Z"/>
        </w:trPr>
        <w:tc>
          <w:tcPr>
            <w:tcW w:w="1661" w:type="dxa"/>
          </w:tcPr>
          <w:p w14:paraId="77B6F0D7" w14:textId="4BC56F22" w:rsidR="00C05392" w:rsidRDefault="00C05392" w:rsidP="005A01A2">
            <w:pPr>
              <w:rPr>
                <w:ins w:id="55" w:author="Luca Lodigiani" w:date="2024-06-18T05:05:00Z" w16du:dateUtc="2024-06-18T04:05:00Z"/>
                <w:lang w:val="en-US"/>
              </w:rPr>
            </w:pPr>
            <w:ins w:id="56" w:author="Luca Lodigiani" w:date="2024-06-18T05:05:00Z" w16du:dateUtc="2024-06-18T04:05:00Z">
              <w:r>
                <w:rPr>
                  <w:lang w:val="en-US"/>
                </w:rPr>
                <w:t>Inmarsat</w:t>
              </w:r>
            </w:ins>
          </w:p>
        </w:tc>
        <w:tc>
          <w:tcPr>
            <w:tcW w:w="7960" w:type="dxa"/>
          </w:tcPr>
          <w:p w14:paraId="404266F6" w14:textId="50B3E2E0" w:rsidR="00C05392" w:rsidRDefault="00C05392" w:rsidP="005A01A2">
            <w:pPr>
              <w:rPr>
                <w:ins w:id="57" w:author="Luca Lodigiani" w:date="2024-06-18T05:05:00Z" w16du:dateUtc="2024-06-18T04:05:00Z"/>
                <w:lang w:val="en-US"/>
              </w:rPr>
            </w:pPr>
            <w:ins w:id="58" w:author="Luca Lodigiani" w:date="2024-06-18T05:05:00Z" w16du:dateUtc="2024-06-18T04:05:00Z">
              <w:r>
                <w:rPr>
                  <w:lang w:val="en-US"/>
                </w:rPr>
                <w:t xml:space="preserve">We think these additional channel bandwidths </w:t>
              </w:r>
            </w:ins>
            <w:ins w:id="59" w:author="Luca Lodigiani" w:date="2024-06-18T05:06:00Z" w16du:dateUtc="2024-06-18T04:06:00Z">
              <w:r>
                <w:rPr>
                  <w:lang w:val="en-US"/>
                </w:rPr>
                <w:t>should be eventually applicable and thus common also for other NTN bands above 10 GHz (e.g. Ka bands n512, n511, n510 and future bands).</w:t>
              </w:r>
            </w:ins>
          </w:p>
        </w:tc>
      </w:tr>
    </w:tbl>
    <w:p w14:paraId="378D4612" w14:textId="77777777" w:rsidR="00071F20" w:rsidRPr="001D770D" w:rsidRDefault="00071F20" w:rsidP="00071F20"/>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lastRenderedPageBreak/>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lastRenderedPageBreak/>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410736" w14:paraId="71DD0032" w14:textId="77777777" w:rsidTr="00D524EF">
        <w:tc>
          <w:tcPr>
            <w:tcW w:w="1661" w:type="dxa"/>
          </w:tcPr>
          <w:p w14:paraId="7D676356" w14:textId="68F23DA3" w:rsidR="00410736" w:rsidRDefault="00410736" w:rsidP="00410736">
            <w:pPr>
              <w:rPr>
                <w:lang w:val="en-US"/>
              </w:rPr>
            </w:pPr>
            <w:r>
              <w:rPr>
                <w:lang w:val="en-US"/>
              </w:rPr>
              <w:t>Eutelsat Group</w:t>
            </w:r>
          </w:p>
        </w:tc>
        <w:tc>
          <w:tcPr>
            <w:tcW w:w="7960" w:type="dxa"/>
          </w:tcPr>
          <w:p w14:paraId="025AD654" w14:textId="3033766D" w:rsidR="00410736" w:rsidRDefault="00410736" w:rsidP="00410736">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Eutelsat current and next generation, HD-FDD would only be required at the VSAT. The current system uses the entire downlink and part of uplink band B (14.0 – 14.5 GHz).</w:t>
            </w:r>
          </w:p>
        </w:tc>
      </w:tr>
      <w:tr w:rsidR="00F57A1F" w14:paraId="2CC8C2F3" w14:textId="77777777" w:rsidTr="00D524EF">
        <w:trPr>
          <w:ins w:id="60" w:author="Chervyakov, Andrey" w:date="2024-06-18T11:51:00Z"/>
        </w:trPr>
        <w:tc>
          <w:tcPr>
            <w:tcW w:w="1661" w:type="dxa"/>
          </w:tcPr>
          <w:p w14:paraId="14C3FAC1" w14:textId="4E71FE8D" w:rsidR="00F57A1F" w:rsidRPr="00F57A1F" w:rsidRDefault="00F57A1F" w:rsidP="00F57A1F">
            <w:pPr>
              <w:rPr>
                <w:ins w:id="61" w:author="Chervyakov, Andrey" w:date="2024-06-18T11:51:00Z" w16du:dateUtc="2024-06-18T03:51:00Z"/>
              </w:rPr>
            </w:pPr>
            <w:ins w:id="62" w:author="Chervyakov, Andrey" w:date="2024-06-18T11:51:00Z" w16du:dateUtc="2024-06-18T03:51:00Z">
              <w:r>
                <w:rPr>
                  <w:lang w:val="en-US"/>
                </w:rPr>
                <w:t>Intel</w:t>
              </w:r>
            </w:ins>
          </w:p>
        </w:tc>
        <w:tc>
          <w:tcPr>
            <w:tcW w:w="7960" w:type="dxa"/>
          </w:tcPr>
          <w:p w14:paraId="3D778226" w14:textId="01026815" w:rsidR="00F57A1F" w:rsidRDefault="00F57A1F" w:rsidP="00F57A1F">
            <w:pPr>
              <w:rPr>
                <w:ins w:id="63" w:author="Chervyakov, Andrey" w:date="2024-06-18T11:51:00Z" w16du:dateUtc="2024-06-18T03:51:00Z"/>
                <w:lang w:val="en-US"/>
              </w:rPr>
            </w:pPr>
            <w:ins w:id="64" w:author="Chervyakov, Andrey" w:date="2024-06-18T11:51:00Z" w16du:dateUtc="2024-06-18T03:51:00Z">
              <w:r>
                <w:rPr>
                  <w:lang w:val="en-US"/>
                </w:rPr>
                <w:t>Prefer to focus on RAN4-centric requirements in this WI and remove objectives with RAN1 scope.</w:t>
              </w:r>
            </w:ins>
            <w:ins w:id="65" w:author="Chervyakov, Andrey" w:date="2024-06-18T11:52:00Z" w16du:dateUtc="2024-06-18T03:52:00Z">
              <w:r>
                <w:rPr>
                  <w:lang w:val="en-US"/>
                </w:rPr>
                <w:t xml:space="preserve"> </w:t>
              </w:r>
            </w:ins>
            <w:ins w:id="66" w:author="Chervyakov, Andrey" w:date="2024-06-18T11:51:00Z" w16du:dateUtc="2024-06-18T03:51:00Z">
              <w:r>
                <w:rPr>
                  <w:lang w:val="en-US"/>
                </w:rPr>
                <w:t>HD-FDD and other potential L1 enhancements for NR NTN can be a part of discussion in RAN #105 (Sep 25) and shall be treated along with other proposals.</w:t>
              </w:r>
            </w:ins>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lastRenderedPageBreak/>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 xml:space="preserve">We suggest </w:t>
            </w:r>
            <w:proofErr w:type="gramStart"/>
            <w:r>
              <w:t>to clarify</w:t>
            </w:r>
            <w:proofErr w:type="gramEnd"/>
            <w:r>
              <w:t xml:space="preserve">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2800D4" w14:paraId="53D3EA07" w14:textId="77777777" w:rsidTr="001B09E3">
        <w:tc>
          <w:tcPr>
            <w:tcW w:w="1661" w:type="dxa"/>
          </w:tcPr>
          <w:p w14:paraId="701720F6" w14:textId="4FBB1980" w:rsidR="002800D4" w:rsidRDefault="002800D4" w:rsidP="002800D4">
            <w:pPr>
              <w:rPr>
                <w:lang w:val="en-US"/>
              </w:rPr>
            </w:pPr>
            <w:r>
              <w:rPr>
                <w:lang w:val="en-US"/>
              </w:rPr>
              <w:t>Eutelsat Group</w:t>
            </w:r>
          </w:p>
        </w:tc>
        <w:tc>
          <w:tcPr>
            <w:tcW w:w="7960" w:type="dxa"/>
          </w:tcPr>
          <w:p w14:paraId="425862D2" w14:textId="43F9D144" w:rsidR="002800D4" w:rsidRDefault="002800D4" w:rsidP="002800D4">
            <w:pPr>
              <w:rPr>
                <w:lang w:val="en-US"/>
              </w:rPr>
            </w:pPr>
            <w:r>
              <w:rPr>
                <w:lang w:val="en-US"/>
              </w:rPr>
              <w:t xml:space="preserve">The intention is to extend NTN FR2 down to 10.7 GHz which will not impact TN definitions. The existing Ka band work on RRM can be re-used. </w:t>
            </w:r>
            <w:proofErr w:type="spellStart"/>
            <w:r>
              <w:rPr>
                <w:lang w:val="en-US"/>
              </w:rPr>
              <w:t>Mobiel</w:t>
            </w:r>
            <w:proofErr w:type="spellEnd"/>
            <w:r>
              <w:rPr>
                <w:lang w:val="en-US"/>
              </w:rPr>
              <w:t xml:space="preserve"> VSAT to non GSO wil be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6F266F" w14:paraId="54C4D14F" w14:textId="77777777" w:rsidTr="001B09E3">
        <w:trPr>
          <w:ins w:id="67" w:author="Bo-Han Hsieh" w:date="2024-06-18T11:38:00Z"/>
        </w:trPr>
        <w:tc>
          <w:tcPr>
            <w:tcW w:w="1661" w:type="dxa"/>
          </w:tcPr>
          <w:p w14:paraId="37DD505C" w14:textId="6DB8225C" w:rsidR="006F266F" w:rsidRDefault="006F266F" w:rsidP="002800D4">
            <w:pPr>
              <w:rPr>
                <w:ins w:id="68" w:author="Bo-Han Hsieh" w:date="2024-06-18T11:38:00Z"/>
                <w:lang w:val="en-US" w:eastAsia="zh-TW"/>
              </w:rPr>
            </w:pPr>
            <w:ins w:id="69" w:author="Bo-Han Hsieh" w:date="2024-06-18T11:38:00Z">
              <w:r>
                <w:rPr>
                  <w:rFonts w:hint="eastAsia"/>
                  <w:lang w:val="en-US" w:eastAsia="zh-TW"/>
                </w:rPr>
                <w:t>CHTTL</w:t>
              </w:r>
            </w:ins>
          </w:p>
        </w:tc>
        <w:tc>
          <w:tcPr>
            <w:tcW w:w="7960" w:type="dxa"/>
          </w:tcPr>
          <w:p w14:paraId="40609870" w14:textId="1FF07136" w:rsidR="006F266F" w:rsidRDefault="006F266F" w:rsidP="002800D4">
            <w:pPr>
              <w:rPr>
                <w:ins w:id="70" w:author="Bo-Han Hsieh" w:date="2024-06-18T11:38:00Z"/>
                <w:lang w:val="en-US" w:eastAsia="zh-TW"/>
              </w:rPr>
            </w:pPr>
            <w:ins w:id="71" w:author="Bo-Han Hsieh" w:date="2024-06-18T11:38:00Z">
              <w:r>
                <w:rPr>
                  <w:rFonts w:hint="eastAsia"/>
                  <w:lang w:val="en-US" w:eastAsia="zh-TW"/>
                </w:rPr>
                <w:t>We share the same view that i</w:t>
              </w:r>
              <w:r w:rsidRPr="006F266F">
                <w:rPr>
                  <w:lang w:val="en-US" w:eastAsia="zh-TW"/>
                </w:rPr>
                <w:t>t is important to start the standardization activities on Ku-band in this RAN meeting.</w:t>
              </w:r>
            </w:ins>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72"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72"/>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EB9D" w14:textId="77777777" w:rsidR="00721238" w:rsidRDefault="00721238">
      <w:r>
        <w:separator/>
      </w:r>
    </w:p>
  </w:endnote>
  <w:endnote w:type="continuationSeparator" w:id="0">
    <w:p w14:paraId="44015607" w14:textId="77777777" w:rsidR="00721238" w:rsidRDefault="0072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66F">
      <w:rPr>
        <w:rStyle w:val="PageNumber"/>
      </w:rPr>
      <w:t>5</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6DE4C" w14:textId="77777777" w:rsidR="00721238" w:rsidRDefault="00721238">
      <w:r>
        <w:separator/>
      </w:r>
    </w:p>
  </w:footnote>
  <w:footnote w:type="continuationSeparator" w:id="0">
    <w:p w14:paraId="11A0A793" w14:textId="77777777" w:rsidR="00721238" w:rsidRDefault="0072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88540388">
    <w:abstractNumId w:val="6"/>
  </w:num>
  <w:num w:numId="2" w16cid:durableId="1677998633">
    <w:abstractNumId w:val="10"/>
  </w:num>
  <w:num w:numId="3" w16cid:durableId="294484087">
    <w:abstractNumId w:val="12"/>
  </w:num>
  <w:num w:numId="4" w16cid:durableId="743532388">
    <w:abstractNumId w:val="17"/>
  </w:num>
  <w:num w:numId="5" w16cid:durableId="781996930">
    <w:abstractNumId w:val="8"/>
  </w:num>
  <w:num w:numId="6" w16cid:durableId="1074160483">
    <w:abstractNumId w:val="3"/>
  </w:num>
  <w:num w:numId="7" w16cid:durableId="201132946">
    <w:abstractNumId w:val="0"/>
  </w:num>
  <w:num w:numId="8" w16cid:durableId="1081609105">
    <w:abstractNumId w:val="11"/>
  </w:num>
  <w:num w:numId="9" w16cid:durableId="1302886787">
    <w:abstractNumId w:val="4"/>
  </w:num>
  <w:num w:numId="10" w16cid:durableId="589654647">
    <w:abstractNumId w:val="7"/>
  </w:num>
  <w:num w:numId="11" w16cid:durableId="390546700">
    <w:abstractNumId w:val="18"/>
  </w:num>
  <w:num w:numId="12" w16cid:durableId="1111709510">
    <w:abstractNumId w:val="2"/>
  </w:num>
  <w:num w:numId="13" w16cid:durableId="1676179100">
    <w:abstractNumId w:val="15"/>
  </w:num>
  <w:num w:numId="14" w16cid:durableId="396366495">
    <w:abstractNumId w:val="1"/>
  </w:num>
  <w:num w:numId="15" w16cid:durableId="1812211230">
    <w:abstractNumId w:val="16"/>
  </w:num>
  <w:num w:numId="16" w16cid:durableId="1273438141">
    <w:abstractNumId w:val="14"/>
  </w:num>
  <w:num w:numId="17" w16cid:durableId="1043673395">
    <w:abstractNumId w:val="5"/>
  </w:num>
  <w:num w:numId="18" w16cid:durableId="359934087">
    <w:abstractNumId w:val="9"/>
  </w:num>
  <w:num w:numId="19" w16cid:durableId="99033139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vyakov, Andrey">
    <w15:presenceInfo w15:providerId="AD" w15:userId="S::andrey.chervyakov@intel.com::dbdfc4e7-c505-4785-a117-c03dfe609c52"/>
  </w15:person>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0EE7"/>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70D"/>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448"/>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DEC"/>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366"/>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5F20"/>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114"/>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238"/>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1FAA"/>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5FC3"/>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8B9"/>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70C"/>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392"/>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0628"/>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6EBB"/>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A4F"/>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0F42"/>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57A1F"/>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docId w15:val="{B5794510-1C35-4B4B-920C-8C0FF4D4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2">
    <w:name w:val="修订1"/>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3">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customStyle="1" w:styleId="UnresolvedMention1">
    <w:name w:val="Unresolved Mention1"/>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79F9-A8D6-4B54-A39F-400830B0B1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14</TotalTime>
  <Pages>7</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Luca Lodigiani</cp:lastModifiedBy>
  <cp:revision>14</cp:revision>
  <cp:lastPrinted>2017-09-11T16:45:00Z</cp:lastPrinted>
  <dcterms:created xsi:type="dcterms:W3CDTF">2024-06-18T03:43:00Z</dcterms:created>
  <dcterms:modified xsi:type="dcterms:W3CDTF">2024-06-18T04:09:00Z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