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tdoc, RP231886 which proposed to hold this work until RAN#105 (Sept 2024).  In this meeting, there was also a tdoc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/HiSilicon</w:t>
            </w:r>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rFonts w:hint="eastAsia"/>
                <w:lang w:val="en-US" w:eastAsia="ja-JP"/>
              </w:rPr>
            </w:pPr>
            <w:r>
              <w:rPr>
                <w:rFonts w:hint="eastAsia"/>
                <w:lang w:val="en-US" w:eastAsia="ja-JP"/>
              </w:rPr>
              <w:t>Nokia</w:t>
            </w:r>
          </w:p>
        </w:tc>
        <w:tc>
          <w:tcPr>
            <w:tcW w:w="7960" w:type="dxa"/>
          </w:tcPr>
          <w:p w14:paraId="4CACAF09" w14:textId="7E0465D1" w:rsidR="00A47300" w:rsidRDefault="003E7578" w:rsidP="00A47300">
            <w:pPr>
              <w:rPr>
                <w:rFonts w:hint="eastAsia"/>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/HiSilicon</w:t>
            </w:r>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We would prefer that the work only include Region 1 and Region 3, and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rFonts w:hint="eastAsia"/>
                <w:lang w:val="en-US" w:eastAsia="ja-JP"/>
              </w:rPr>
            </w:pPr>
            <w:r>
              <w:rPr>
                <w:rFonts w:hint="eastAsia"/>
                <w:lang w:val="en-US" w:eastAsia="ja-JP"/>
              </w:rPr>
              <w:t>Nokia</w:t>
            </w:r>
          </w:p>
        </w:tc>
        <w:tc>
          <w:tcPr>
            <w:tcW w:w="7960" w:type="dxa"/>
          </w:tcPr>
          <w:p w14:paraId="6DABA667" w14:textId="040C92E2" w:rsidR="00F513CD" w:rsidRDefault="003E7578" w:rsidP="00F513CD">
            <w:pPr>
              <w:rPr>
                <w:rFonts w:hint="eastAsia"/>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F513CD" w14:paraId="47442A18" w14:textId="77777777" w:rsidTr="00F513CD">
        <w:tc>
          <w:tcPr>
            <w:tcW w:w="1661" w:type="dxa"/>
          </w:tcPr>
          <w:p w14:paraId="58527C08" w14:textId="77777777" w:rsidR="00F513CD" w:rsidRDefault="00F513CD" w:rsidP="00F513CD">
            <w:pPr>
              <w:rPr>
                <w:lang w:val="en-US"/>
              </w:rPr>
            </w:pPr>
          </w:p>
        </w:tc>
        <w:tc>
          <w:tcPr>
            <w:tcW w:w="7960" w:type="dxa"/>
          </w:tcPr>
          <w:p w14:paraId="6F6D1825" w14:textId="77777777" w:rsidR="00F513CD" w:rsidRDefault="00F513CD" w:rsidP="00F513CD">
            <w:pPr>
              <w:rPr>
                <w:lang w:val="en-US"/>
              </w:rPr>
            </w:pP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/HiSilicon</w:t>
            </w:r>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In offline discussions with Intelsat we heard that the new channel bandwidth of interest is 36 MHz.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rFonts w:hint="eastAsia"/>
                <w:lang w:val="en-US" w:eastAsia="ja-JP"/>
              </w:rPr>
            </w:pPr>
            <w:r>
              <w:rPr>
                <w:rFonts w:hint="eastAsia"/>
                <w:lang w:val="en-US" w:eastAsia="ja-JP"/>
              </w:rPr>
              <w:t>Nokia</w:t>
            </w:r>
          </w:p>
        </w:tc>
        <w:tc>
          <w:tcPr>
            <w:tcW w:w="7960" w:type="dxa"/>
          </w:tcPr>
          <w:p w14:paraId="1C790BA1" w14:textId="7C968B1B" w:rsidR="00072B25" w:rsidRDefault="003E7578" w:rsidP="00072B25">
            <w:pPr>
              <w:rPr>
                <w:rFonts w:hint="eastAsia"/>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072B25" w14:paraId="191436F6" w14:textId="77777777" w:rsidTr="00072B25">
        <w:tc>
          <w:tcPr>
            <w:tcW w:w="1661" w:type="dxa"/>
          </w:tcPr>
          <w:p w14:paraId="5FD8B3B0" w14:textId="77777777" w:rsidR="00072B25" w:rsidRDefault="00072B25" w:rsidP="00072B25">
            <w:pPr>
              <w:rPr>
                <w:lang w:val="en-US"/>
              </w:rPr>
            </w:pPr>
          </w:p>
        </w:tc>
        <w:tc>
          <w:tcPr>
            <w:tcW w:w="7960" w:type="dxa"/>
          </w:tcPr>
          <w:p w14:paraId="17725ADB" w14:textId="77777777" w:rsidR="00072B25" w:rsidRDefault="00072B25" w:rsidP="00072B25">
            <w:pPr>
              <w:rPr>
                <w:lang w:val="en-US"/>
              </w:rPr>
            </w:pPr>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lastRenderedPageBreak/>
        <w:t>Half duplex</w:t>
      </w:r>
    </w:p>
    <w:p w14:paraId="7887F9F5" w14:textId="51A1E2F9" w:rsidR="00071F20" w:rsidRPr="00071F20" w:rsidRDefault="00071F20" w:rsidP="00071F20">
      <w:pPr>
        <w:rPr>
          <w:lang w:val="en-US"/>
        </w:rPr>
      </w:pPr>
      <w:r>
        <w:rPr>
          <w:lang w:val="en-US"/>
        </w:rPr>
        <w:t xml:space="preserve">The WID [1] proposes an objective to introduce a half duplex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/HiSilicon</w:t>
            </w:r>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rFonts w:hint="eastAsia"/>
                <w:lang w:val="en-US" w:eastAsia="ja-JP"/>
              </w:rPr>
            </w:pPr>
            <w:r>
              <w:rPr>
                <w:rFonts w:hint="eastAsia"/>
                <w:lang w:val="en-US" w:eastAsia="ja-JP"/>
              </w:rPr>
              <w:t>Nokia</w:t>
            </w:r>
          </w:p>
        </w:tc>
        <w:tc>
          <w:tcPr>
            <w:tcW w:w="7960" w:type="dxa"/>
          </w:tcPr>
          <w:p w14:paraId="4EDBDE68" w14:textId="1B0FB561" w:rsidR="00D524EF" w:rsidRDefault="001B09E3" w:rsidP="00D524EF">
            <w:pPr>
              <w:rPr>
                <w:rFonts w:hint="eastAsia"/>
                <w:lang w:val="en-US" w:eastAsia="ja-JP"/>
              </w:rPr>
            </w:pPr>
            <w:r>
              <w:rPr>
                <w:rFonts w:hint="eastAsia"/>
                <w:lang w:val="en-US" w:eastAsia="ja-JP"/>
              </w:rPr>
              <w:t>RAN1 impact should be removed and discussed separately.</w:t>
            </w:r>
          </w:p>
        </w:tc>
      </w:tr>
      <w:tr w:rsidR="00D524EF" w14:paraId="0EBA6D8D" w14:textId="77777777" w:rsidTr="00D524EF">
        <w:tc>
          <w:tcPr>
            <w:tcW w:w="1661" w:type="dxa"/>
          </w:tcPr>
          <w:p w14:paraId="0FE6FEFE" w14:textId="77777777" w:rsidR="00D524EF" w:rsidRDefault="00D524EF" w:rsidP="00D524EF">
            <w:pPr>
              <w:rPr>
                <w:lang w:val="en-US"/>
              </w:rPr>
            </w:pPr>
          </w:p>
        </w:tc>
        <w:tc>
          <w:tcPr>
            <w:tcW w:w="7960" w:type="dxa"/>
          </w:tcPr>
          <w:p w14:paraId="2BD1125E" w14:textId="77777777" w:rsidR="00D524EF" w:rsidRDefault="00D524EF" w:rsidP="00D524EF">
            <w:pPr>
              <w:rPr>
                <w:lang w:val="en-US"/>
              </w:rPr>
            </w:pP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Its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/HiSilicon</w:t>
            </w:r>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/HiSilicon</w:t>
            </w:r>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lastRenderedPageBreak/>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lastRenderedPageBreak/>
              <w:t>Huawei</w:t>
            </w:r>
            <w:r w:rsidRPr="00BA0D1F">
              <w:rPr>
                <w:lang w:val="en-US"/>
              </w:rPr>
              <w:t>/HiSilicon</w:t>
            </w:r>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w:t>
            </w:r>
            <w:r>
              <w:rPr>
                <w:rFonts w:hint="eastAsia"/>
                <w:lang w:val="en-US" w:eastAsia="ja-JP"/>
              </w:rPr>
              <w:t>/2</w:t>
            </w:r>
            <w:r>
              <w:rPr>
                <w:rFonts w:hint="eastAsia"/>
                <w:lang w:val="en-US" w:eastAsia="ja-JP"/>
              </w:rPr>
              <w:t xml:space="preserve"> impact should be removed and discussed separately.</w:t>
            </w: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0"/>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5631" w14:textId="77777777" w:rsidR="00C42EC9" w:rsidRDefault="00C42EC9">
      <w:r>
        <w:separator/>
      </w:r>
    </w:p>
  </w:endnote>
  <w:endnote w:type="continuationSeparator" w:id="0">
    <w:p w14:paraId="2C51815C" w14:textId="77777777" w:rsidR="00C42EC9" w:rsidRDefault="00C4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丸ｺﾞｼｯｸM-PRO"/>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DE81" w14:textId="77777777" w:rsidR="00C42EC9" w:rsidRDefault="00C42EC9">
      <w:r>
        <w:separator/>
      </w:r>
    </w:p>
  </w:footnote>
  <w:footnote w:type="continuationSeparator" w:id="0">
    <w:p w14:paraId="6CA657B0" w14:textId="77777777" w:rsidR="00C42EC9" w:rsidRDefault="00C42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2047632625">
    <w:abstractNumId w:val="6"/>
  </w:num>
  <w:num w:numId="2" w16cid:durableId="2116173203">
    <w:abstractNumId w:val="9"/>
  </w:num>
  <w:num w:numId="3" w16cid:durableId="1144350987">
    <w:abstractNumId w:val="11"/>
  </w:num>
  <w:num w:numId="4" w16cid:durableId="1717311423">
    <w:abstractNumId w:val="15"/>
  </w:num>
  <w:num w:numId="5" w16cid:durableId="1968007014">
    <w:abstractNumId w:val="8"/>
  </w:num>
  <w:num w:numId="6" w16cid:durableId="1046031333">
    <w:abstractNumId w:val="3"/>
  </w:num>
  <w:num w:numId="7" w16cid:durableId="732460701">
    <w:abstractNumId w:val="0"/>
  </w:num>
  <w:num w:numId="8" w16cid:durableId="1641883971">
    <w:abstractNumId w:val="10"/>
  </w:num>
  <w:num w:numId="9" w16cid:durableId="682710639">
    <w:abstractNumId w:val="4"/>
  </w:num>
  <w:num w:numId="10" w16cid:durableId="1503469918">
    <w:abstractNumId w:val="7"/>
  </w:num>
  <w:num w:numId="11" w16cid:durableId="894119424">
    <w:abstractNumId w:val="16"/>
  </w:num>
  <w:num w:numId="12" w16cid:durableId="982350368">
    <w:abstractNumId w:val="2"/>
  </w:num>
  <w:num w:numId="13" w16cid:durableId="1627465026">
    <w:abstractNumId w:val="13"/>
  </w:num>
  <w:num w:numId="14" w16cid:durableId="1340618219">
    <w:abstractNumId w:val="1"/>
  </w:num>
  <w:num w:numId="15" w16cid:durableId="787507859">
    <w:abstractNumId w:val="14"/>
  </w:num>
  <w:num w:numId="16" w16cid:durableId="1790971618">
    <w:abstractNumId w:val="12"/>
  </w:num>
  <w:num w:numId="17" w16cid:durableId="5070600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54A"/>
    <w:rsid w:val="00946558"/>
    <w:rsid w:val="00946572"/>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84F4-CC60-4A1B-892F-439C9FF619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20</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Hisashi Onozawa (Nokia)</cp:lastModifiedBy>
  <cp:revision>7</cp:revision>
  <cp:lastPrinted>2017-09-11T16:45:00Z</cp:lastPrinted>
  <dcterms:created xsi:type="dcterms:W3CDTF">2024-06-18T01:12:00Z</dcterms:created>
  <dcterms:modified xsi:type="dcterms:W3CDTF">2024-06-18T01:36:00Z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