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=2 is additionally supported as a separate UE capability (from 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Tejas, Lenovo/MotM,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Spreadtrum,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Huawei/HiSi, Xiaomi, NEC, CEWiT,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CEWiT,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Huawei/HiSi,</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 xml:space="preserve">CATT, Qualcomm, MediaTek, Xiaomi, ZTE, HONOR, Lenovo/MotM,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CATT, Qualcomm, NTT DOCOMO, Huawei/HiSi, Xiaomi, HONOR, Lenovo/MotM, </w:t>
            </w:r>
            <w:r>
              <w:rPr>
                <w:rFonts w:ascii="Times" w:eastAsia="Batang" w:hAnsi="Times" w:cs="Times"/>
                <w:sz w:val="18"/>
                <w:szCs w:val="16"/>
              </w:rPr>
              <w:t>Spreadtrum,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(cK,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CEWiT,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Apple, TCL, Xiaomi, Spreadtrum, Google, Lenovo/MotM,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eType-II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FeType-II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48EC8EE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2547A75E">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tradeoff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donot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w:t>
            </w:r>
            <w:r w:rsidR="00E949D3">
              <w:rPr>
                <w:rFonts w:ascii="Times" w:eastAsiaTheme="minorEastAsia" w:hAnsi="Times" w:cs="Times"/>
                <w:sz w:val="18"/>
                <w:szCs w:val="18"/>
                <w:lang w:val="en-GB" w:eastAsia="zh-CN"/>
              </w:rPr>
              <w:lastRenderedPageBreak/>
              <w:t>(only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lastRenderedPageBreak/>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OPPO, vivo, Samsung, Apple, MediaTek, Intel, CEWiT, Ericsson, NEC, Qualcomm, NTT DOCOMO, Lenovo/MotM, Nokia/NSB, Google, CMCC, Fujitsu, Sharp, Spreadtrum, HONOR, Kyocera, KDDI, Lenovo/MotM</w:t>
            </w:r>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Lenovo/MotM</w:t>
            </w:r>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hen Rel-16 eType-II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eType-II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Lenovo/MotM, MediaTek, Spreadtrum,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eType-II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when Rel-16 eType-II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Lenovo/MotM, MediaTek, Spreadtrum,</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ListParagraph"/>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ListParagraph"/>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lastRenderedPageBreak/>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lastRenderedPageBreak/>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587CC2"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587CC2" w:rsidRPr="0084453D" w:rsidRDefault="00587CC2"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r w:rsidRPr="00FB0ADF">
              <w:rPr>
                <w:rFonts w:eastAsia="Calibri"/>
                <w:sz w:val="20"/>
                <w:szCs w:val="20"/>
                <w:lang w:val="en-GB"/>
              </w:rPr>
              <w:t>D</w:t>
            </w:r>
            <w:r w:rsidRPr="00FB0ADF">
              <w:rPr>
                <w:rFonts w:eastAsia="Calibri"/>
                <w:sz w:val="20"/>
                <w:szCs w:val="20"/>
                <w:vertAlign w:val="subscript"/>
                <w:lang w:val="en-GB"/>
              </w:rPr>
              <w:t>n,offset</w:t>
            </w:r>
            <w:r w:rsidRPr="00FB0ADF">
              <w:rPr>
                <w:rFonts w:eastAsia="DengXian"/>
                <w:bCs/>
                <w:sz w:val="20"/>
                <w:szCs w:val="20"/>
                <w:lang w:val="en-GB" w:eastAsia="zh-CN"/>
              </w:rPr>
              <w:t xml:space="preserve"> and frequency offset reporting FO</w:t>
            </w:r>
            <w:r w:rsidRPr="00FB0ADF">
              <w:rPr>
                <w:rFonts w:eastAsia="DengXian"/>
                <w:bCs/>
                <w:sz w:val="20"/>
                <w:szCs w:val="20"/>
                <w:vertAlign w:val="subscript"/>
                <w:lang w:val="en-GB" w:eastAsia="zh-CN"/>
              </w:rPr>
              <w:t>n</w:t>
            </w:r>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Huawei/HiSi,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ReportQuantity is ‘cjtc-P’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FFS: Whether the sub-band size is NW-configured via higher-layer (RRC) signalling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7777777"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6479CF">
              <w:rPr>
                <w:rFonts w:eastAsia="SimSun"/>
                <w:sz w:val="20"/>
                <w:szCs w:val="20"/>
                <w:vertAlign w:val="subscript"/>
              </w:rPr>
              <w:t>NSB-P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n≠nref}</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xml:space="preserve">: ZTE, Qualcomm, CATT, Ericsson, Samsung, Fujitsu, NEC, TCL, Sony, KDDI, Lenovo/MotM, CMCC, NICT, Sharp, MediaTek, Nokia/NSB, Huawei/HiSi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Lenovo/MotM,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D/d+WB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For the Rel-19 aperiodic standalone CJT calibration reporting, when ReportQuantity is ‘cjtc-P’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ReportQuantity is ‘cjtc-P’ (DL/UL phase offset), regarding the number of configured associated SRS resource(s) (=Q) for antenna switching xTyR,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xTyR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For the Rel-19 aperiodic standalone CJT calibration reporting, when ReportQuantity is ‘cjtc-P’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r w:rsidRPr="00C8704E">
              <w:rPr>
                <w:rFonts w:eastAsia="Malgun Gothic"/>
                <w:i/>
                <w:sz w:val="20"/>
                <w:lang w:val="en-GB"/>
              </w:rPr>
              <w:t>ReportQuantity is ‘cjtc-Dd’ (Doffset+d)</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n≠nref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w:t>
                  </w:r>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‘cjtc-Dd-F’ (joint Doffset+d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Doffset+d,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n,offset</w:t>
                  </w:r>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w:t>
                  </w:r>
                  <w:r w:rsidRPr="00C8704E">
                    <w:rPr>
                      <w:rFonts w:ascii="Times" w:eastAsia="Batang" w:hAnsi="Times"/>
                      <w:sz w:val="18"/>
                      <w:vertAlign w:val="subscript"/>
                      <w:lang w:val="en-GB"/>
                    </w:rPr>
                    <w:t>n</w:t>
                  </w:r>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{FO</w:t>
                  </w:r>
                  <w:r w:rsidRPr="00C8704E">
                    <w:rPr>
                      <w:rFonts w:ascii="Times" w:eastAsia="Batang" w:hAnsi="Times"/>
                      <w:sz w:val="18"/>
                      <w:vertAlign w:val="subscript"/>
                      <w:lang w:val="en-GB"/>
                    </w:rPr>
                    <w:t>n</w:t>
                  </w:r>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xml:space="preserve">, Intel, Xiaomi, Lenovo/MotM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when ReportQuantity is ‘cjtc-Dd’ (Doffset+d) or ‘cjtc-F’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applicable type(s) if joint reporting of both Doffset/d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when ReportQuantity is ‘cjtc-Dd’ (Doffset+d) or ‘cjtc-F’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Spreadtrum,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ReportQuantity is ‘cjtc-P’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lastRenderedPageBreak/>
              <w:t>Question 3.H.2</w:t>
            </w:r>
            <w:r w:rsidRPr="00685EB0">
              <w:rPr>
                <w:rFonts w:ascii="Times" w:eastAsia="Batang" w:hAnsi="Times"/>
                <w:sz w:val="20"/>
                <w:lang w:val="en-GB"/>
              </w:rPr>
              <w:t>: For the Rel-19 aperiodic standalone CJT calibration reporting, regarding the applicable type(s) of the configured NTRP NZP CSI-RS resources/resource sets when ReportQuantity is ‘cjtc-P’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w:t>
            </w:r>
            <w:r w:rsidRPr="00575F1E">
              <w:rPr>
                <w:iCs/>
                <w:sz w:val="16"/>
                <w:szCs w:val="16"/>
                <w:lang w:val="en-GB"/>
              </w:rPr>
              <w:lastRenderedPageBreak/>
              <w:t xml:space="preserve">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1D64CA8">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3A4A5CC9">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n the spec, we think it is ok to support all possible resources per resource set for antenna switching. Of course the actual combination(s) will be subject to UE capability (on the xTyR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=1 only, which is sufficient for UE to calculate/report PO. Introducing Psrs&gt;1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lastRenderedPageBreak/>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51F0" w14:textId="77777777" w:rsidR="00464889" w:rsidRDefault="00464889" w:rsidP="001E51B2">
      <w:r>
        <w:separator/>
      </w:r>
    </w:p>
  </w:endnote>
  <w:endnote w:type="continuationSeparator" w:id="0">
    <w:p w14:paraId="1052BE66" w14:textId="77777777" w:rsidR="00464889" w:rsidRDefault="00464889"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8747" w14:textId="77777777" w:rsidR="00464889" w:rsidRDefault="00464889" w:rsidP="001E51B2">
      <w:r>
        <w:separator/>
      </w:r>
    </w:p>
  </w:footnote>
  <w:footnote w:type="continuationSeparator" w:id="0">
    <w:p w14:paraId="56A668EF" w14:textId="77777777" w:rsidR="00464889" w:rsidRDefault="00464889"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515368">
    <w:abstractNumId w:val="7"/>
  </w:num>
  <w:num w:numId="2" w16cid:durableId="1654602594">
    <w:abstractNumId w:val="33"/>
  </w:num>
  <w:num w:numId="3" w16cid:durableId="941111162">
    <w:abstractNumId w:val="23"/>
  </w:num>
  <w:num w:numId="4" w16cid:durableId="1207253927">
    <w:abstractNumId w:val="32"/>
  </w:num>
  <w:num w:numId="5" w16cid:durableId="1457796359">
    <w:abstractNumId w:val="40"/>
  </w:num>
  <w:num w:numId="6" w16cid:durableId="1505168622">
    <w:abstractNumId w:val="20"/>
  </w:num>
  <w:num w:numId="7" w16cid:durableId="1137995118">
    <w:abstractNumId w:val="25"/>
  </w:num>
  <w:num w:numId="8" w16cid:durableId="624696531">
    <w:abstractNumId w:val="28"/>
  </w:num>
  <w:num w:numId="9" w16cid:durableId="1417551508">
    <w:abstractNumId w:val="31"/>
  </w:num>
  <w:num w:numId="10" w16cid:durableId="1610430126">
    <w:abstractNumId w:val="38"/>
  </w:num>
  <w:num w:numId="11" w16cid:durableId="13456459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4865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79980">
    <w:abstractNumId w:val="35"/>
  </w:num>
  <w:num w:numId="14" w16cid:durableId="1390151388">
    <w:abstractNumId w:val="5"/>
  </w:num>
  <w:num w:numId="15" w16cid:durableId="1200431173">
    <w:abstractNumId w:val="17"/>
  </w:num>
  <w:num w:numId="16" w16cid:durableId="1757744903">
    <w:abstractNumId w:val="26"/>
  </w:num>
  <w:num w:numId="17" w16cid:durableId="1153182600">
    <w:abstractNumId w:val="13"/>
  </w:num>
  <w:num w:numId="18" w16cid:durableId="982126057">
    <w:abstractNumId w:val="2"/>
  </w:num>
  <w:num w:numId="19" w16cid:durableId="1179851765">
    <w:abstractNumId w:val="21"/>
  </w:num>
  <w:num w:numId="20" w16cid:durableId="1043365480">
    <w:abstractNumId w:val="19"/>
  </w:num>
  <w:num w:numId="21" w16cid:durableId="888491441">
    <w:abstractNumId w:val="1"/>
  </w:num>
  <w:num w:numId="22" w16cid:durableId="622542355">
    <w:abstractNumId w:val="37"/>
  </w:num>
  <w:num w:numId="23" w16cid:durableId="1187909599">
    <w:abstractNumId w:val="6"/>
  </w:num>
  <w:num w:numId="24" w16cid:durableId="1272663641">
    <w:abstractNumId w:val="41"/>
  </w:num>
  <w:num w:numId="25" w16cid:durableId="1126313518">
    <w:abstractNumId w:val="18"/>
  </w:num>
  <w:num w:numId="26" w16cid:durableId="747263296">
    <w:abstractNumId w:val="29"/>
  </w:num>
  <w:num w:numId="27" w16cid:durableId="1563906749">
    <w:abstractNumId w:val="10"/>
  </w:num>
  <w:num w:numId="28" w16cid:durableId="855072129">
    <w:abstractNumId w:val="0"/>
  </w:num>
  <w:num w:numId="29" w16cid:durableId="749695858">
    <w:abstractNumId w:val="9"/>
  </w:num>
  <w:num w:numId="30" w16cid:durableId="1170289643">
    <w:abstractNumId w:val="12"/>
  </w:num>
  <w:num w:numId="31" w16cid:durableId="2062437234">
    <w:abstractNumId w:val="8"/>
  </w:num>
  <w:num w:numId="32" w16cid:durableId="1560746850">
    <w:abstractNumId w:val="36"/>
  </w:num>
  <w:num w:numId="33" w16cid:durableId="1938977895">
    <w:abstractNumId w:val="14"/>
  </w:num>
  <w:num w:numId="34" w16cid:durableId="1932468028">
    <w:abstractNumId w:val="16"/>
  </w:num>
  <w:num w:numId="35" w16cid:durableId="1123040624">
    <w:abstractNumId w:val="34"/>
  </w:num>
  <w:num w:numId="36" w16cid:durableId="1521897882">
    <w:abstractNumId w:val="22"/>
  </w:num>
  <w:num w:numId="37" w16cid:durableId="150996904">
    <w:abstractNumId w:val="24"/>
  </w:num>
  <w:num w:numId="38" w16cid:durableId="1868833959">
    <w:abstractNumId w:val="15"/>
  </w:num>
  <w:num w:numId="39" w16cid:durableId="1571580054">
    <w:abstractNumId w:val="3"/>
  </w:num>
  <w:num w:numId="40" w16cid:durableId="352654029">
    <w:abstractNumId w:val="11"/>
  </w:num>
  <w:num w:numId="41" w16cid:durableId="268197849">
    <w:abstractNumId w:val="30"/>
  </w:num>
  <w:num w:numId="42" w16cid:durableId="682439987">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7.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5.xml"/><Relationship Id="rId32" Type="http://schemas.openxmlformats.org/officeDocument/2006/relationships/image" Target="media/image14.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7.png"/><Relationship Id="rId14" Type="http://schemas.openxmlformats.org/officeDocument/2006/relationships/image" Target="cid:image001.png@01DAA8B6.C9E20CC0"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chart" Target="charts/chart2.xml"/><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image" Target="media/image10.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en-US"/>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55072"/>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en-US"/>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71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067B6652-F7B8-4107-BDB3-D54E30FB7FB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52</TotalTime>
  <Pages>24</Pages>
  <Words>8701</Words>
  <Characters>49601</Characters>
  <Application>Microsoft Office Word</Application>
  <DocSecurity>0</DocSecurity>
  <Lines>413</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58186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Sandeep Bhat</cp:lastModifiedBy>
  <cp:revision>8</cp:revision>
  <cp:lastPrinted>2021-10-06T09:28:00Z</cp:lastPrinted>
  <dcterms:created xsi:type="dcterms:W3CDTF">2024-05-20T12:56:00Z</dcterms:created>
  <dcterms:modified xsi:type="dcterms:W3CDTF">2024-05-20T14:44:00Z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