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DengXian"/>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3D7F451B"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3D7F4521" w14:textId="77777777" w:rsidR="00E16BFE" w:rsidRDefault="00AF19CB">
            <w:pPr>
              <w:pStyle w:val="ListParagraph"/>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w:t>
            </w:r>
            <w:proofErr w:type="gramStart"/>
            <w:r>
              <w:rPr>
                <w:rFonts w:ascii="Times New Roman" w:hAnsi="Times New Roman" w:cs="Times New Roman"/>
                <w:bCs/>
                <w:iCs/>
                <w:sz w:val="20"/>
                <w:szCs w:val="20"/>
              </w:rPr>
              <w:t>that :</w:t>
            </w:r>
            <w:proofErr w:type="gramEnd"/>
            <w:r>
              <w:rPr>
                <w:rFonts w:ascii="Times New Roman" w:hAnsi="Times New Roman" w:cs="Times New Roman"/>
                <w:bCs/>
                <w:iCs/>
                <w:sz w:val="20"/>
                <w:szCs w:val="20"/>
              </w:rPr>
              <w:t xml:space="preserve">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r w:rsidR="00F36458" w:rsidRPr="006D1A92" w14:paraId="65DA48F9" w14:textId="77777777" w:rsidTr="00F36458">
        <w:tc>
          <w:tcPr>
            <w:tcW w:w="1696" w:type="dxa"/>
          </w:tcPr>
          <w:p w14:paraId="1BA909FF"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EF146CA" w14:textId="77777777" w:rsidR="00F36458" w:rsidRDefault="00F36458" w:rsidP="003D7C2F">
            <w:pPr>
              <w:snapToGrid w:val="0"/>
              <w:rPr>
                <w:rFonts w:ascii="Times New Roman" w:hAnsi="Times New Roman" w:cs="Times New Roman"/>
                <w:bCs/>
                <w:iCs/>
                <w:sz w:val="20"/>
                <w:szCs w:val="20"/>
              </w:rPr>
            </w:pPr>
          </w:p>
        </w:tc>
        <w:tc>
          <w:tcPr>
            <w:tcW w:w="6141" w:type="dxa"/>
          </w:tcPr>
          <w:p w14:paraId="49359457"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Agree with Ericsson. </w:t>
            </w:r>
          </w:p>
          <w:p w14:paraId="2788A918" w14:textId="77777777" w:rsidR="00F36458" w:rsidRDefault="00F36458" w:rsidP="003D7C2F">
            <w:pPr>
              <w:snapToGrid w:val="0"/>
              <w:rPr>
                <w:rFonts w:ascii="Times New Roman" w:eastAsia="Malgun Gothic" w:hAnsi="Times New Roman" w:cs="Times New Roman"/>
                <w:bCs/>
                <w:iCs/>
                <w:sz w:val="20"/>
                <w:szCs w:val="20"/>
                <w:lang w:eastAsia="ko-KR"/>
              </w:rPr>
            </w:pPr>
          </w:p>
          <w:p w14:paraId="40CBCF3E"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Observations does not need to be sent to RAN2 via LS. </w:t>
            </w:r>
          </w:p>
        </w:tc>
      </w:tr>
      <w:tr w:rsidR="00310F51" w:rsidRPr="006D1A92" w14:paraId="28FDAEBB" w14:textId="77777777" w:rsidTr="00F36458">
        <w:tc>
          <w:tcPr>
            <w:tcW w:w="1696" w:type="dxa"/>
          </w:tcPr>
          <w:p w14:paraId="404870D7" w14:textId="1C79AA7E"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61DC997" w14:textId="77777777" w:rsidR="00310F51" w:rsidRDefault="00310F51" w:rsidP="003D7C2F">
            <w:pPr>
              <w:snapToGrid w:val="0"/>
              <w:rPr>
                <w:rFonts w:ascii="Times New Roman" w:hAnsi="Times New Roman" w:cs="Times New Roman"/>
                <w:bCs/>
                <w:iCs/>
                <w:sz w:val="20"/>
                <w:szCs w:val="20"/>
              </w:rPr>
            </w:pPr>
          </w:p>
        </w:tc>
        <w:tc>
          <w:tcPr>
            <w:tcW w:w="6141" w:type="dxa"/>
          </w:tcPr>
          <w:p w14:paraId="2476F811"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Agree with Ericsson.</w:t>
            </w:r>
          </w:p>
          <w:p w14:paraId="2FCB6565" w14:textId="355E5368" w:rsidR="00310F51" w:rsidRDefault="00310F51" w:rsidP="003D7C2F">
            <w:pPr>
              <w:snapToGrid w:val="0"/>
              <w:rPr>
                <w:rFonts w:ascii="Times New Roman" w:eastAsia="Malgun Gothic" w:hAnsi="Times New Roman" w:cs="Times New Roman" w:hint="eastAsia"/>
                <w:bCs/>
                <w:iCs/>
                <w:sz w:val="20"/>
                <w:szCs w:val="20"/>
                <w:lang w:eastAsia="ko-KR"/>
              </w:rPr>
            </w:pPr>
          </w:p>
        </w:tc>
      </w:tr>
    </w:tbl>
    <w:p w14:paraId="3D7F4581" w14:textId="77777777" w:rsidR="00E16BFE" w:rsidRPr="00F36458" w:rsidRDefault="00E16BFE">
      <w:pPr>
        <w:pStyle w:val="TdocHeader2"/>
        <w:rPr>
          <w:rFonts w:ascii="Times New Roman" w:eastAsiaTheme="minorEastAsia" w:hAnsi="Times New Roman"/>
          <w:b w:val="0"/>
          <w:bCs/>
          <w:lang w:val="en-US"/>
        </w:rPr>
      </w:pPr>
    </w:p>
    <w:p w14:paraId="3D7F4582" w14:textId="77777777" w:rsidR="00E16BFE" w:rsidRDefault="00E16BFE">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92"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w:t>
            </w:r>
            <w:r>
              <w:rPr>
                <w:rFonts w:ascii="Times New Roman" w:hAnsi="Times New Roman" w:cs="Times New Roman"/>
                <w:bCs/>
                <w:iCs/>
                <w:sz w:val="20"/>
                <w:szCs w:val="20"/>
              </w:rPr>
              <w:lastRenderedPageBreak/>
              <w:t xml:space="preserve">proposal or can you live with the </w:t>
            </w:r>
            <w:proofErr w:type="gramStart"/>
            <w:r>
              <w:rPr>
                <w:rFonts w:ascii="Times New Roman" w:hAnsi="Times New Roman" w:cs="Times New Roman"/>
                <w:bCs/>
                <w:iCs/>
                <w:sz w:val="20"/>
                <w:szCs w:val="20"/>
              </w:rPr>
              <w:t>proposal ?</w:t>
            </w:r>
            <w:proofErr w:type="gramEnd"/>
          </w:p>
          <w:p w14:paraId="3D7F45C7"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lastRenderedPageBreak/>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Or modify the last one </w:t>
            </w:r>
            <w:proofErr w:type="gramStart"/>
            <w:r>
              <w:rPr>
                <w:rFonts w:ascii="Times New Roman" w:hAnsi="Times New Roman" w:cs="Times New Roman"/>
                <w:bCs/>
                <w:iCs/>
                <w:sz w:val="20"/>
                <w:szCs w:val="20"/>
                <w:lang w:eastAsia="ja-JP"/>
              </w:rPr>
              <w:t>as :</w:t>
            </w:r>
            <w:proofErr w:type="gramEnd"/>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r w:rsidR="00F36458" w14:paraId="66593760" w14:textId="77777777" w:rsidTr="00F36458">
        <w:trPr>
          <w:trHeight w:val="304"/>
        </w:trPr>
        <w:tc>
          <w:tcPr>
            <w:tcW w:w="1696" w:type="dxa"/>
          </w:tcPr>
          <w:p w14:paraId="3B3D71D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F44F6D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3BF20C6" w14:textId="77777777" w:rsidR="00F36458" w:rsidRDefault="00F36458" w:rsidP="003D7C2F">
            <w:pPr>
              <w:snapToGrid w:val="0"/>
              <w:rPr>
                <w:rFonts w:ascii="Times New Roman" w:hAnsi="Times New Roman" w:cs="Times New Roman"/>
                <w:bCs/>
                <w:iCs/>
                <w:sz w:val="20"/>
                <w:szCs w:val="20"/>
              </w:rPr>
            </w:pPr>
          </w:p>
        </w:tc>
      </w:tr>
      <w:tr w:rsidR="00310F51" w14:paraId="4BA4CB87" w14:textId="77777777" w:rsidTr="00F36458">
        <w:trPr>
          <w:trHeight w:val="304"/>
        </w:trPr>
        <w:tc>
          <w:tcPr>
            <w:tcW w:w="1696" w:type="dxa"/>
          </w:tcPr>
          <w:p w14:paraId="203568F2" w14:textId="76B08CA0"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C07DCC3" w14:textId="0493CF64"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Partially</w:t>
            </w:r>
          </w:p>
        </w:tc>
        <w:tc>
          <w:tcPr>
            <w:tcW w:w="6141" w:type="dxa"/>
          </w:tcPr>
          <w:p w14:paraId="5931397A" w14:textId="77777777"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Suggest </w:t>
            </w:r>
            <w:proofErr w:type="gramStart"/>
            <w:r>
              <w:rPr>
                <w:rFonts w:ascii="Times New Roman" w:hAnsi="Times New Roman" w:cs="Times New Roman"/>
                <w:bCs/>
                <w:iCs/>
                <w:sz w:val="20"/>
                <w:szCs w:val="20"/>
              </w:rPr>
              <w:t>to change</w:t>
            </w:r>
            <w:proofErr w:type="gramEnd"/>
            <w:r>
              <w:rPr>
                <w:rFonts w:ascii="Times New Roman" w:hAnsi="Times New Roman" w:cs="Times New Roman"/>
                <w:bCs/>
                <w:iCs/>
                <w:sz w:val="20"/>
                <w:szCs w:val="20"/>
              </w:rPr>
              <w:t xml:space="preserve"> the last paragraph such that it is: “</w:t>
            </w:r>
            <w:proofErr w:type="spellStart"/>
            <w:r w:rsidRPr="00310F51">
              <w:rPr>
                <w:rFonts w:ascii="Times New Roman" w:hAnsi="Times New Roman" w:cs="Times New Roman"/>
                <w:b/>
                <w:iCs/>
                <w:color w:val="FF0000"/>
                <w:sz w:val="20"/>
                <w:szCs w:val="20"/>
              </w:rPr>
              <w:t>If</w:t>
            </w:r>
            <w:r w:rsidRPr="00310F51">
              <w:rPr>
                <w:rFonts w:ascii="Times New Roman" w:hAnsi="Times New Roman" w:cs="Times New Roman"/>
                <w:b/>
                <w:iCs/>
                <w:strike/>
                <w:color w:val="FF0000"/>
                <w:sz w:val="20"/>
                <w:szCs w:val="20"/>
              </w:rPr>
              <w:t>When</w:t>
            </w:r>
            <w:proofErr w:type="spellEnd"/>
            <w:r>
              <w:rPr>
                <w:rFonts w:ascii="Times New Roman" w:hAnsi="Times New Roman" w:cs="Times New Roman"/>
                <w:b/>
                <w:iCs/>
                <w:sz w:val="20"/>
                <w:szCs w:val="20"/>
              </w:rPr>
              <w:t xml:space="preserve"> the SSB periodicity extension is introduced, the transmission of broadcast information including SIB1 and other system information may be extended accordingly.</w:t>
            </w:r>
            <w:r>
              <w:rPr>
                <w:rFonts w:ascii="Times New Roman" w:hAnsi="Times New Roman" w:cs="Times New Roman"/>
                <w:bCs/>
                <w:iCs/>
                <w:sz w:val="20"/>
                <w:szCs w:val="20"/>
              </w:rPr>
              <w:t>”</w:t>
            </w:r>
          </w:p>
          <w:p w14:paraId="14ACFE4F" w14:textId="1E710CB3"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The reason being that we have not yet agreed to have SSB periodicity extension.</w:t>
            </w:r>
          </w:p>
        </w:tc>
      </w:tr>
    </w:tbl>
    <w:p w14:paraId="3D7F45D6" w14:textId="77777777" w:rsidR="00E16BFE" w:rsidRDefault="00E16BFE">
      <w:pPr>
        <w:pStyle w:val="TdocHeader2"/>
        <w:rPr>
          <w:rFonts w:ascii="Times New Roman" w:eastAsiaTheme="minorEastAsia" w:hAnsi="Times New Roman"/>
          <w:b w:val="0"/>
          <w:bCs/>
          <w:lang w:val="en-US"/>
        </w:rPr>
      </w:pPr>
    </w:p>
    <w:p w14:paraId="3D7F45D7" w14:textId="77777777" w:rsidR="00E16BFE" w:rsidRDefault="00E16BFE">
      <w:pPr>
        <w:pStyle w:val="TdocHeader2"/>
        <w:rPr>
          <w:rFonts w:ascii="Times New Roman" w:eastAsiaTheme="minorEastAsia" w:hAnsi="Times New Roman"/>
          <w:b w:val="0"/>
          <w:bCs/>
          <w:lang w:val="en-US"/>
        </w:rPr>
      </w:pPr>
    </w:p>
    <w:p w14:paraId="3D7F45D8" w14:textId="77777777" w:rsidR="00E16BFE" w:rsidRDefault="00E16BFE">
      <w:pPr>
        <w:snapToGrid w:val="0"/>
        <w:rPr>
          <w:rFonts w:ascii="Times New Roman" w:hAnsi="Times New Roman" w:cs="Times New Roman"/>
          <w:bCs/>
          <w:iCs/>
          <w:sz w:val="20"/>
          <w:szCs w:val="20"/>
        </w:rPr>
      </w:pPr>
    </w:p>
    <w:p w14:paraId="3D7F45D9" w14:textId="77777777" w:rsidR="00E16BF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w:t>
            </w:r>
            <w:r>
              <w:rPr>
                <w:rFonts w:ascii="Times New Roman" w:eastAsia="Malgun Gothic" w:hAnsi="Times New Roman" w:cs="Times New Roman"/>
                <w:bCs/>
                <w:iCs/>
                <w:sz w:val="20"/>
                <w:szCs w:val="20"/>
                <w:lang w:eastAsia="ko-KR"/>
              </w:rPr>
              <w:lastRenderedPageBreak/>
              <w:t xml:space="preserve">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r w:rsidR="00F36458" w:rsidRPr="006D1A92" w14:paraId="3728F36D" w14:textId="77777777" w:rsidTr="00F36458">
        <w:tc>
          <w:tcPr>
            <w:tcW w:w="1696" w:type="dxa"/>
          </w:tcPr>
          <w:p w14:paraId="34A8BF5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48C1F614" w14:textId="77777777" w:rsidR="00F36458" w:rsidRDefault="00F36458" w:rsidP="003D7C2F">
            <w:pPr>
              <w:snapToGrid w:val="0"/>
              <w:rPr>
                <w:rFonts w:ascii="Times New Roman" w:eastAsia="SimSun" w:hAnsi="Times New Roman" w:cs="Times New Roman"/>
                <w:bCs/>
                <w:iCs/>
                <w:sz w:val="20"/>
                <w:szCs w:val="20"/>
              </w:rPr>
            </w:pPr>
          </w:p>
        </w:tc>
        <w:tc>
          <w:tcPr>
            <w:tcW w:w="6141" w:type="dxa"/>
          </w:tcPr>
          <w:p w14:paraId="540A25F2"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It is preferable to rephase the expression. </w:t>
            </w:r>
          </w:p>
          <w:p w14:paraId="245E9619" w14:textId="77777777" w:rsidR="00F36458" w:rsidRDefault="00F36458" w:rsidP="003D7C2F">
            <w:pPr>
              <w:snapToGrid w:val="0"/>
              <w:rPr>
                <w:rFonts w:ascii="Times New Roman" w:eastAsia="Malgun Gothic" w:hAnsi="Times New Roman" w:cs="Times New Roman"/>
                <w:bCs/>
                <w:iCs/>
                <w:sz w:val="20"/>
                <w:szCs w:val="20"/>
                <w:lang w:eastAsia="ko-KR"/>
              </w:rPr>
            </w:pPr>
          </w:p>
          <w:p w14:paraId="5BB1071C"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UL beam hopping itself is not discussed in RAN1. </w:t>
            </w:r>
          </w:p>
          <w:p w14:paraId="316AA8B2" w14:textId="77777777" w:rsidR="00F36458" w:rsidRDefault="00F36458" w:rsidP="003D7C2F">
            <w:pPr>
              <w:snapToGrid w:val="0"/>
              <w:rPr>
                <w:rFonts w:ascii="Times New Roman" w:eastAsia="Malgun Gothic" w:hAnsi="Times New Roman" w:cs="Times New Roman"/>
                <w:bCs/>
                <w:iCs/>
                <w:sz w:val="20"/>
                <w:szCs w:val="20"/>
                <w:lang w:eastAsia="ko-KR"/>
              </w:rPr>
            </w:pPr>
          </w:p>
          <w:p w14:paraId="63D6813D"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So, we suggest to change it </w:t>
            </w:r>
            <w:r>
              <w:rPr>
                <w:rFonts w:ascii="Times New Roman" w:eastAsia="Malgun Gothic" w:hAnsi="Times New Roman" w:cs="Times New Roman"/>
                <w:bCs/>
                <w:iCs/>
                <w:sz w:val="20"/>
                <w:szCs w:val="20"/>
                <w:lang w:eastAsia="ko-KR"/>
              </w:rPr>
              <w:t>“</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w:t>
            </w:r>
          </w:p>
        </w:tc>
      </w:tr>
      <w:tr w:rsidR="00310F51" w:rsidRPr="006D1A92" w14:paraId="2053B507" w14:textId="77777777" w:rsidTr="00F36458">
        <w:tc>
          <w:tcPr>
            <w:tcW w:w="1696" w:type="dxa"/>
          </w:tcPr>
          <w:p w14:paraId="474E8423" w14:textId="6E396FAC"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2A3015B2" w14:textId="044709A3" w:rsidR="00310F51" w:rsidRDefault="00310F51" w:rsidP="003D7C2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Partially</w:t>
            </w:r>
          </w:p>
        </w:tc>
        <w:tc>
          <w:tcPr>
            <w:tcW w:w="6141" w:type="dxa"/>
          </w:tcPr>
          <w:p w14:paraId="3BF19415"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As pointed out by LGE, the beam hopping has not been discussed. And to our understanding any kind of “beam hopping” would be transparent to the UE since this is a network solution to gain support for more satellite beams.</w:t>
            </w:r>
          </w:p>
          <w:p w14:paraId="11BD257C" w14:textId="7A3830AB"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LGE’s proposal could even be further enhanced to “RAN1 has not discussed beam hopping”.</w:t>
            </w:r>
          </w:p>
        </w:tc>
      </w:tr>
    </w:tbl>
    <w:p w14:paraId="3D7F462A" w14:textId="77777777" w:rsidR="00E16BFE" w:rsidRPr="00F36458" w:rsidRDefault="00E16BFE">
      <w:pPr>
        <w:pStyle w:val="TdocHeader2"/>
        <w:rPr>
          <w:rFonts w:ascii="Times New Roman" w:eastAsiaTheme="minorEastAsia" w:hAnsi="Times New Roman"/>
          <w:b w:val="0"/>
          <w:bCs/>
          <w:lang w:val="en-US"/>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 xml:space="preserve">RAN2 would like to remind RAN1 that satellite beams are currently not visible to UEs and any decision about different beam status (i.e. "off", "common messages only" and "active traffic") will likely have to relate to beams </w:t>
            </w:r>
            <w:r>
              <w:rPr>
                <w:sz w:val="20"/>
                <w:szCs w:val="20"/>
              </w:rPr>
              <w:lastRenderedPageBreak/>
              <w:t>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lastRenderedPageBreak/>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r w:rsidR="00F36458" w14:paraId="55B90524" w14:textId="77777777" w:rsidTr="00F36458">
        <w:tc>
          <w:tcPr>
            <w:tcW w:w="1696" w:type="dxa"/>
          </w:tcPr>
          <w:p w14:paraId="58CDDB3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LGE </w:t>
            </w:r>
          </w:p>
        </w:tc>
        <w:tc>
          <w:tcPr>
            <w:tcW w:w="2126" w:type="dxa"/>
          </w:tcPr>
          <w:p w14:paraId="6C5F850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277F324A" w14:textId="77777777" w:rsidR="00F36458" w:rsidRDefault="00F36458" w:rsidP="003D7C2F">
            <w:pPr>
              <w:snapToGrid w:val="0"/>
              <w:rPr>
                <w:rFonts w:ascii="Times New Roman" w:hAnsi="Times New Roman" w:cs="Times New Roman"/>
                <w:bCs/>
                <w:iCs/>
                <w:sz w:val="20"/>
                <w:szCs w:val="20"/>
              </w:rPr>
            </w:pPr>
          </w:p>
        </w:tc>
      </w:tr>
      <w:tr w:rsidR="00310F51" w14:paraId="289DE4D6" w14:textId="77777777" w:rsidTr="00F36458">
        <w:tc>
          <w:tcPr>
            <w:tcW w:w="1696" w:type="dxa"/>
          </w:tcPr>
          <w:p w14:paraId="286FBBCC" w14:textId="51AACE7D"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618453FA" w14:textId="75E1EBEE"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2C9699FA" w14:textId="77777777" w:rsidR="00310F51" w:rsidRDefault="00310F51" w:rsidP="003D7C2F">
            <w:pPr>
              <w:snapToGrid w:val="0"/>
              <w:rPr>
                <w:rFonts w:ascii="Times New Roman" w:hAnsi="Times New Roman" w:cs="Times New Roman"/>
                <w:bCs/>
                <w:iCs/>
                <w:sz w:val="20"/>
                <w:szCs w:val="20"/>
              </w:rPr>
            </w:pPr>
          </w:p>
        </w:tc>
      </w:tr>
    </w:tbl>
    <w:p w14:paraId="3D7F467F" w14:textId="77777777" w:rsidR="00E16BFE" w:rsidRDefault="00E16BFE">
      <w:pPr>
        <w:pStyle w:val="TdocHeader2"/>
        <w:rPr>
          <w:rFonts w:ascii="Times New Roman" w:eastAsiaTheme="minorEastAsia" w:hAnsi="Times New Roman"/>
          <w:b w:val="0"/>
          <w:bCs/>
          <w:lang w:val="en-US"/>
        </w:rPr>
      </w:pPr>
    </w:p>
    <w:p w14:paraId="3D7F4680" w14:textId="77777777" w:rsidR="00E16BFE" w:rsidRDefault="00E16BFE">
      <w:pPr>
        <w:snapToGrid w:val="0"/>
        <w:rPr>
          <w:rFonts w:ascii="Times New Roman" w:hAnsi="Times New Roman" w:cs="Times New Roman"/>
          <w:b/>
          <w:iCs/>
          <w:sz w:val="20"/>
          <w:szCs w:val="20"/>
        </w:rPr>
      </w:pPr>
    </w:p>
    <w:p w14:paraId="3D7F4681" w14:textId="77777777" w:rsidR="00E16BFE" w:rsidRDefault="00E16BFE">
      <w:pPr>
        <w:snapToGrid w:val="0"/>
        <w:rPr>
          <w:rFonts w:ascii="Times New Roman" w:hAnsi="Times New Roman" w:cs="Times New Roman"/>
          <w:b/>
          <w:iCs/>
          <w:sz w:val="20"/>
          <w:szCs w:val="20"/>
        </w:rPr>
      </w:pPr>
    </w:p>
    <w:p w14:paraId="3D7F4682" w14:textId="77777777" w:rsidR="00E16BFE" w:rsidRDefault="00E16BFE">
      <w:pPr>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95"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are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would also like to propose a general point based on the discussion so </w:t>
            </w:r>
            <w:r>
              <w:rPr>
                <w:rFonts w:ascii="Times New Roman" w:eastAsia="MS Mincho" w:hAnsi="Times New Roman" w:cs="Times New Roman"/>
                <w:bCs/>
                <w:iCs/>
                <w:sz w:val="20"/>
                <w:szCs w:val="20"/>
              </w:rPr>
              <w:lastRenderedPageBreak/>
              <w:t>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lastRenderedPageBreak/>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Pr>
          <w:p w14:paraId="68DF7E63" w14:textId="77777777" w:rsidR="00083ECD" w:rsidRDefault="00083ECD" w:rsidP="0027287F">
            <w:pPr>
              <w:snapToGrid w:val="0"/>
              <w:rPr>
                <w:rFonts w:ascii="Times New Roman" w:eastAsia="SimSun" w:hAnsi="Times New Roman" w:cs="Times New Roman"/>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r w:rsidR="00F36458" w14:paraId="4E6DEE90" w14:textId="77777777" w:rsidTr="00F36458">
        <w:tc>
          <w:tcPr>
            <w:tcW w:w="1696" w:type="dxa"/>
          </w:tcPr>
          <w:p w14:paraId="4A5D82B7"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006C75D5"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BF12D91" w14:textId="77777777" w:rsidR="00F36458" w:rsidRDefault="00F36458" w:rsidP="003D7C2F">
            <w:pPr>
              <w:snapToGrid w:val="0"/>
              <w:rPr>
                <w:rFonts w:ascii="Times New Roman" w:hAnsi="Times New Roman" w:cs="Times New Roman"/>
                <w:bCs/>
                <w:iCs/>
                <w:sz w:val="20"/>
                <w:szCs w:val="20"/>
              </w:rPr>
            </w:pPr>
          </w:p>
        </w:tc>
      </w:tr>
      <w:tr w:rsidR="00310F51" w14:paraId="63B93CF2" w14:textId="77777777" w:rsidTr="00F36458">
        <w:tc>
          <w:tcPr>
            <w:tcW w:w="1696" w:type="dxa"/>
          </w:tcPr>
          <w:p w14:paraId="001F3E63" w14:textId="38DFE942"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49A9094C" w14:textId="7450E508" w:rsidR="00310F51" w:rsidRDefault="00310F51" w:rsidP="003D7C2F">
            <w:pPr>
              <w:snapToGrid w:val="0"/>
              <w:rPr>
                <w:rFonts w:ascii="Times New Roman" w:eastAsia="Malgun Gothic" w:hAnsi="Times New Roman" w:cs="Times New Roman" w:hint="eastAsia"/>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74D67E53" w14:textId="77777777" w:rsidR="00310F51" w:rsidRDefault="00310F51" w:rsidP="003D7C2F">
            <w:pPr>
              <w:snapToGrid w:val="0"/>
              <w:rPr>
                <w:rFonts w:ascii="Times New Roman" w:hAnsi="Times New Roman" w:cs="Times New Roman"/>
                <w:bCs/>
                <w:iCs/>
                <w:sz w:val="20"/>
                <w:szCs w:val="20"/>
              </w:rPr>
            </w:pPr>
          </w:p>
        </w:tc>
      </w:tr>
    </w:tbl>
    <w:p w14:paraId="3D7F46D5" w14:textId="77777777" w:rsidR="00E16BFE" w:rsidRDefault="00E16BFE">
      <w:pPr>
        <w:pStyle w:val="TdocHeader2"/>
        <w:rPr>
          <w:rFonts w:ascii="Times New Roman" w:eastAsiaTheme="minorEastAsia" w:hAnsi="Times New Roman"/>
          <w:b w:val="0"/>
          <w:bCs/>
          <w:lang w:val="en-US"/>
        </w:rPr>
      </w:pPr>
    </w:p>
    <w:p w14:paraId="3D7F46D6" w14:textId="77777777" w:rsidR="00E16BFE"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ListParagraph"/>
        <w:snapToGrid w:val="0"/>
        <w:ind w:firstLine="0"/>
        <w:jc w:val="both"/>
        <w:rPr>
          <w:rFonts w:eastAsiaTheme="minorEastAsia" w:cs="Times New Roman"/>
          <w:bCs/>
          <w:iCs/>
          <w:sz w:val="20"/>
          <w:szCs w:val="20"/>
        </w:rPr>
      </w:pPr>
    </w:p>
    <w:p w14:paraId="3D7F46DD"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ListParagraph"/>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ListParagraph"/>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ListParagraph"/>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ListParagraph"/>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ListParagraph"/>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ListParagraph"/>
        <w:numPr>
          <w:ilvl w:val="0"/>
          <w:numId w:val="13"/>
        </w:numPr>
        <w:snapToGrid w:val="0"/>
        <w:rPr>
          <w:rFonts w:cs="Times New Roman"/>
          <w:bCs/>
          <w:iCs/>
          <w:sz w:val="20"/>
          <w:szCs w:val="20"/>
        </w:rPr>
      </w:pPr>
      <w:r>
        <w:rPr>
          <w:rFonts w:cs="Times New Roman"/>
          <w:bCs/>
          <w:iCs/>
          <w:sz w:val="20"/>
          <w:szCs w:val="20"/>
        </w:rPr>
        <w:lastRenderedPageBreak/>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ListParagraph"/>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ListParagraph"/>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ListParagraph"/>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ListParagraph"/>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ListParagraph"/>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ListParagraph"/>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ListParagraph"/>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ListParagraph"/>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ListParagraph"/>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ListParagraph"/>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ListParagraph"/>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ListParagraph"/>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ListParagraph"/>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ListParagraph"/>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ListParagraph"/>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ListParagraph"/>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ListParagraph"/>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ListParagraph"/>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349BD" w14:textId="77777777" w:rsidR="00F14A8D" w:rsidRDefault="00F14A8D">
      <w:r>
        <w:separator/>
      </w:r>
    </w:p>
  </w:endnote>
  <w:endnote w:type="continuationSeparator" w:id="0">
    <w:p w14:paraId="085D2288" w14:textId="77777777" w:rsidR="00F14A8D" w:rsidRDefault="00F1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DFA9" w14:textId="77777777" w:rsidR="00F14A8D" w:rsidRDefault="00F14A8D">
      <w:r>
        <w:separator/>
      </w:r>
    </w:p>
  </w:footnote>
  <w:footnote w:type="continuationSeparator" w:id="0">
    <w:p w14:paraId="793B82E2" w14:textId="77777777" w:rsidR="00F14A8D" w:rsidRDefault="00F1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83ECD"/>
    <w:rsid w:val="000A19F5"/>
    <w:rsid w:val="00132380"/>
    <w:rsid w:val="001B78FB"/>
    <w:rsid w:val="001C0F7C"/>
    <w:rsid w:val="0027287F"/>
    <w:rsid w:val="002B7ECD"/>
    <w:rsid w:val="002E4573"/>
    <w:rsid w:val="0030534B"/>
    <w:rsid w:val="00310F51"/>
    <w:rsid w:val="00432882"/>
    <w:rsid w:val="0053339D"/>
    <w:rsid w:val="005C6D62"/>
    <w:rsid w:val="00846CBB"/>
    <w:rsid w:val="008E2392"/>
    <w:rsid w:val="0091445C"/>
    <w:rsid w:val="00921A5E"/>
    <w:rsid w:val="009968AE"/>
    <w:rsid w:val="009E3494"/>
    <w:rsid w:val="00A44BFB"/>
    <w:rsid w:val="00A8233C"/>
    <w:rsid w:val="00AB7482"/>
    <w:rsid w:val="00AE4A12"/>
    <w:rsid w:val="00AF19CB"/>
    <w:rsid w:val="00B75477"/>
    <w:rsid w:val="00C16837"/>
    <w:rsid w:val="00CC324E"/>
    <w:rsid w:val="00CD14DA"/>
    <w:rsid w:val="00DD52BA"/>
    <w:rsid w:val="00E16BFE"/>
    <w:rsid w:val="00E63695"/>
    <w:rsid w:val="00EB3337"/>
    <w:rsid w:val="00F14A8D"/>
    <w:rsid w:val="00F24718"/>
    <w:rsid w:val="00F36458"/>
    <w:rsid w:val="00F97A65"/>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51"/>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2">
    <w:name w:val="吹き出し2"/>
    <w:basedOn w:val="Normal"/>
    <w:link w:val="21"/>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4">
    <w:name w:val="修订2"/>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4424</Words>
  <Characters>25223</Characters>
  <Application>Microsoft Office Word</Application>
  <DocSecurity>0</DocSecurity>
  <Lines>210</Lines>
  <Paragraphs>59</Paragraphs>
  <ScaleCrop>false</ScaleCrop>
  <Company>CMCC</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Nokia (Frank Frederiksen)</cp:lastModifiedBy>
  <cp:revision>2</cp:revision>
  <dcterms:created xsi:type="dcterms:W3CDTF">2024-08-21T11:10:00Z</dcterms:created>
  <dcterms:modified xsi:type="dcterms:W3CDTF">2024-08-21T11:10:00Z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