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bCs/>
                <w:iCs/>
                <w:sz w:val="20"/>
                <w:szCs w:val="20"/>
              </w:rPr>
            </w:pPr>
          </w:p>
          <w:p w14:paraId="3D7F44FB" w14:textId="77777777" w:rsidR="00E16BFE" w:rsidRDefault="00AF19CB">
            <w:pPr>
              <w:snapToGrid w:val="0"/>
              <w:rPr>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bCs/>
                <w:iCs/>
                <w:sz w:val="20"/>
                <w:szCs w:val="20"/>
              </w:rPr>
            </w:pPr>
          </w:p>
          <w:p w14:paraId="3D7F4503" w14:textId="77777777" w:rsidR="00E16BFE" w:rsidRDefault="00AF19CB">
            <w:pPr>
              <w:outlineLvl w:val="0"/>
              <w:rPr>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w:t>
      </w:r>
      <w:proofErr w:type="gramStart"/>
      <w:r>
        <w:rPr>
          <w:rFonts w:ascii="Times New Roman" w:hAnsi="Times New Roman" w:cs="Times New Roman"/>
          <w:kern w:val="0"/>
          <w:sz w:val="20"/>
          <w:szCs w:val="20"/>
        </w:rPr>
        <w:t>there</w:t>
      </w:r>
      <w:proofErr w:type="gramEnd"/>
      <w:r>
        <w:rPr>
          <w:rFonts w:ascii="Times New Roman" w:hAnsi="Times New Roman" w:cs="Times New Roman"/>
          <w:kern w:val="0"/>
          <w:sz w:val="20"/>
          <w:szCs w:val="20"/>
        </w:rPr>
        <w:t xml:space="preserve"> discussion in the paper under the agenda 9.11.1. Based on the inputs from the companies, the answers/replies to RAN2’s LS are drafted as below. </w:t>
      </w:r>
    </w:p>
    <w:p w14:paraId="3D7F450C" w14:textId="77777777" w:rsidR="00E16BFE" w:rsidRDefault="00E16BFE"/>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bCs/>
                <w:iCs/>
                <w:sz w:val="20"/>
                <w:szCs w:val="20"/>
              </w:rPr>
            </w:pPr>
          </w:p>
          <w:p w14:paraId="3D7F451A" w14:textId="77777777" w:rsidR="00E16BFE" w:rsidRDefault="00AF19CB">
            <w:pPr>
              <w:snapToGrid w:val="0"/>
              <w:rPr>
                <w:rFonts w:eastAsia="等线"/>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等线"/>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等线"/>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3D7F4521"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aff9"/>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aff9"/>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bCs/>
                <w:iCs/>
                <w:sz w:val="20"/>
                <w:szCs w:val="20"/>
              </w:rPr>
            </w:pPr>
          </w:p>
          <w:p w14:paraId="3D7F4537" w14:textId="77777777" w:rsidR="00E16BFE" w:rsidRDefault="00AF19CB">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bCs/>
                <w:iCs/>
                <w:sz w:val="20"/>
                <w:szCs w:val="20"/>
              </w:rPr>
            </w:pPr>
          </w:p>
        </w:tc>
        <w:tc>
          <w:tcPr>
            <w:tcW w:w="6141" w:type="dxa"/>
          </w:tcPr>
          <w:p w14:paraId="3D7F453F" w14:textId="77777777" w:rsidR="00E16BFE" w:rsidRDefault="00AF19CB">
            <w:pPr>
              <w:snapToGrid w:val="0"/>
              <w:rPr>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bCs/>
                <w:iCs/>
                <w:sz w:val="20"/>
                <w:szCs w:val="20"/>
              </w:rPr>
            </w:pPr>
          </w:p>
        </w:tc>
        <w:tc>
          <w:tcPr>
            <w:tcW w:w="6141" w:type="dxa"/>
          </w:tcPr>
          <w:p w14:paraId="3D7F4543"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bl>
    <w:p w14:paraId="3D7F4581" w14:textId="77777777" w:rsidR="00E16BFE" w:rsidRDefault="00E16BFE">
      <w:pPr>
        <w:pStyle w:val="TdocHeader2"/>
        <w:rPr>
          <w:rFonts w:ascii="Times New Roman" w:eastAsiaTheme="minorEastAsia" w:hAnsi="Times New Roman"/>
          <w:b w:val="0"/>
          <w:bCs/>
          <w:lang w:val="en-US"/>
        </w:rPr>
      </w:pPr>
    </w:p>
    <w:p w14:paraId="3D7F4582" w14:textId="77777777" w:rsidR="00E16BFE" w:rsidRDefault="00E16BFE">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w:t>
      </w:r>
      <w:r>
        <w:rPr>
          <w:rFonts w:ascii="Times New Roman" w:hAnsi="Times New Roman" w:cs="Times New Roman"/>
          <w:bCs/>
          <w:iCs/>
          <w:sz w:val="20"/>
          <w:szCs w:val="20"/>
        </w:rPr>
        <w:lastRenderedPageBreak/>
        <w:t xml:space="preserve">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bCs/>
                <w:iCs/>
                <w:sz w:val="20"/>
                <w:szCs w:val="20"/>
              </w:rPr>
            </w:pPr>
          </w:p>
          <w:p w14:paraId="3D7F4599" w14:textId="77777777" w:rsidR="00E16BFE" w:rsidRDefault="00AF19CB">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bCs/>
                <w:iCs/>
                <w:sz w:val="20"/>
                <w:szCs w:val="20"/>
                <w:lang w:eastAsia="ko-KR"/>
              </w:rPr>
            </w:pPr>
          </w:p>
          <w:p w14:paraId="3D7F45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bCs/>
                <w:iCs/>
                <w:sz w:val="20"/>
                <w:szCs w:val="20"/>
              </w:rPr>
            </w:pPr>
          </w:p>
        </w:tc>
        <w:tc>
          <w:tcPr>
            <w:tcW w:w="6141" w:type="dxa"/>
          </w:tcPr>
          <w:p w14:paraId="3D7F45A3" w14:textId="77777777" w:rsidR="00E16BFE" w:rsidRDefault="00AF19CB">
            <w:pPr>
              <w:snapToGrid w:val="0"/>
              <w:rPr>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bCs/>
                <w:iCs/>
                <w:sz w:val="20"/>
                <w:szCs w:val="20"/>
              </w:rPr>
            </w:pPr>
          </w:p>
        </w:tc>
        <w:tc>
          <w:tcPr>
            <w:tcW w:w="6141" w:type="dxa"/>
          </w:tcPr>
          <w:p w14:paraId="3D7F45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lastRenderedPageBreak/>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bl>
    <w:p w14:paraId="3D7F45D6" w14:textId="77777777" w:rsidR="00E16BFE" w:rsidRDefault="00E16BFE">
      <w:pPr>
        <w:pStyle w:val="TdocHeader2"/>
        <w:rPr>
          <w:rFonts w:ascii="Times New Roman" w:eastAsiaTheme="minorEastAsia" w:hAnsi="Times New Roman"/>
          <w:b w:val="0"/>
          <w:bCs/>
          <w:lang w:val="en-US"/>
        </w:rPr>
      </w:pPr>
    </w:p>
    <w:p w14:paraId="3D7F45D7" w14:textId="77777777" w:rsidR="00E16BFE" w:rsidRDefault="00E16BFE">
      <w:pPr>
        <w:pStyle w:val="TdocHeader2"/>
        <w:rPr>
          <w:rFonts w:ascii="Times New Roman" w:eastAsiaTheme="minorEastAsia" w:hAnsi="Times New Roman"/>
          <w:b w:val="0"/>
          <w:bCs/>
          <w:lang w:val="en-US"/>
        </w:rPr>
      </w:pPr>
    </w:p>
    <w:p w14:paraId="3D7F45D8" w14:textId="77777777" w:rsidR="00E16BFE" w:rsidRDefault="00E16BFE">
      <w:pPr>
        <w:snapToGrid w:val="0"/>
        <w:rPr>
          <w:rFonts w:ascii="Times New Roman" w:hAnsi="Times New Roman" w:cs="Times New Roman"/>
          <w:bCs/>
          <w:iCs/>
          <w:sz w:val="20"/>
          <w:szCs w:val="20"/>
        </w:rPr>
      </w:pPr>
    </w:p>
    <w:p w14:paraId="3D7F45D9" w14:textId="77777777" w:rsidR="00E16BF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bCs/>
                <w:iCs/>
                <w:sz w:val="20"/>
                <w:szCs w:val="20"/>
              </w:rPr>
            </w:pPr>
          </w:p>
        </w:tc>
      </w:tr>
      <w:tr w:rsidR="00E16BFE" w14:paraId="3D7F45F5" w14:textId="77777777">
        <w:tc>
          <w:tcPr>
            <w:tcW w:w="1696" w:type="dxa"/>
          </w:tcPr>
          <w:p w14:paraId="3D7F45F2"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bCs/>
                <w:iCs/>
                <w:sz w:val="20"/>
                <w:szCs w:val="20"/>
              </w:rPr>
            </w:pPr>
          </w:p>
        </w:tc>
      </w:tr>
      <w:tr w:rsidR="00E16BFE" w14:paraId="3D7F45FD" w14:textId="77777777">
        <w:tc>
          <w:tcPr>
            <w:tcW w:w="1696" w:type="dxa"/>
          </w:tcPr>
          <w:p w14:paraId="3D7F45FA"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2E4573">
        <w:tc>
          <w:tcPr>
            <w:tcW w:w="1696" w:type="dxa"/>
            <w:tcBorders>
              <w:top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bl>
    <w:p w14:paraId="3D7F462A" w14:textId="77777777" w:rsidR="00E16BFE" w:rsidRDefault="00E16BFE">
      <w:pPr>
        <w:pStyle w:val="TdocHeader2"/>
        <w:rPr>
          <w:rFonts w:ascii="Times New Roman" w:eastAsiaTheme="minorEastAsia" w:hAnsi="Times New Roman"/>
          <w:b w:val="0"/>
          <w:bCs/>
          <w:lang w:val="en-US"/>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bCs/>
                <w:iCs/>
                <w:sz w:val="20"/>
                <w:szCs w:val="20"/>
              </w:rPr>
            </w:pPr>
          </w:p>
        </w:tc>
        <w:tc>
          <w:tcPr>
            <w:tcW w:w="6141" w:type="dxa"/>
          </w:tcPr>
          <w:p w14:paraId="3D7F464B"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bCs/>
                <w:iCs/>
                <w:sz w:val="20"/>
                <w:szCs w:val="20"/>
              </w:rPr>
            </w:pPr>
          </w:p>
        </w:tc>
        <w:tc>
          <w:tcPr>
            <w:tcW w:w="6141" w:type="dxa"/>
          </w:tcPr>
          <w:p w14:paraId="3D7F464F"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 xml:space="preserve">If the cell DTX/DRX operation is </w:t>
            </w:r>
            <w:r>
              <w:rPr>
                <w:rFonts w:ascii="Times New Roman" w:eastAsia="MS Mincho" w:hAnsi="Times New Roman" w:cs="Times New Roman"/>
                <w:b/>
                <w:bCs/>
                <w:iCs/>
                <w:sz w:val="20"/>
                <w:szCs w:val="20"/>
              </w:rPr>
              <w:lastRenderedPageBreak/>
              <w:t>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lastRenderedPageBreak/>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bookmarkStart w:id="4" w:name="_GoBack"/>
      <w:bookmarkEnd w:id="4"/>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2E4573">
        <w:tc>
          <w:tcPr>
            <w:tcW w:w="1696" w:type="dxa"/>
            <w:tcBorders>
              <w:top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bl>
    <w:p w14:paraId="3D7F467F" w14:textId="77777777" w:rsidR="00E16BFE" w:rsidRDefault="00E16BFE">
      <w:pPr>
        <w:pStyle w:val="TdocHeader2"/>
        <w:rPr>
          <w:rFonts w:ascii="Times New Roman" w:eastAsiaTheme="minorEastAsia" w:hAnsi="Times New Roman"/>
          <w:b w:val="0"/>
          <w:bCs/>
          <w:lang w:val="en-US"/>
        </w:rPr>
      </w:pPr>
    </w:p>
    <w:p w14:paraId="3D7F4680" w14:textId="77777777" w:rsidR="00E16BFE" w:rsidRDefault="00E16BFE">
      <w:pPr>
        <w:snapToGrid w:val="0"/>
        <w:rPr>
          <w:rFonts w:ascii="Times New Roman" w:hAnsi="Times New Roman" w:cs="Times New Roman"/>
          <w:b/>
          <w:iCs/>
          <w:sz w:val="20"/>
          <w:szCs w:val="20"/>
        </w:rPr>
      </w:pPr>
    </w:p>
    <w:p w14:paraId="3D7F4681" w14:textId="77777777" w:rsidR="00E16BFE" w:rsidRDefault="00E16BFE">
      <w:pPr>
        <w:snapToGrid w:val="0"/>
        <w:rPr>
          <w:rFonts w:ascii="Times New Roman" w:hAnsi="Times New Roman" w:cs="Times New Roman"/>
          <w:b/>
          <w:iCs/>
          <w:sz w:val="20"/>
          <w:szCs w:val="20"/>
        </w:rPr>
      </w:pPr>
    </w:p>
    <w:p w14:paraId="3D7F4682" w14:textId="77777777" w:rsidR="00E16BFE" w:rsidRDefault="00E16BFE">
      <w:pPr>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bCs/>
                <w:iCs/>
                <w:sz w:val="20"/>
                <w:szCs w:val="20"/>
              </w:rPr>
            </w:pPr>
          </w:p>
        </w:tc>
        <w:tc>
          <w:tcPr>
            <w:tcW w:w="6141" w:type="dxa"/>
          </w:tcPr>
          <w:p w14:paraId="3D7F46A3" w14:textId="77777777" w:rsidR="00E16BFE" w:rsidRDefault="00AF19CB">
            <w:pPr>
              <w:snapToGrid w:val="0"/>
              <w:rPr>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bCs/>
                <w:iCs/>
                <w:sz w:val="20"/>
                <w:szCs w:val="20"/>
              </w:rPr>
            </w:pPr>
          </w:p>
        </w:tc>
        <w:tc>
          <w:tcPr>
            <w:tcW w:w="6141" w:type="dxa"/>
          </w:tcPr>
          <w:p w14:paraId="3D7F46A7" w14:textId="77777777" w:rsidR="00E16BFE" w:rsidRDefault="00AF19CB">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are added in this perspective.  </w:t>
            </w:r>
          </w:p>
          <w:p w14:paraId="3D7F46AC" w14:textId="77777777" w:rsidR="00E16BFE" w:rsidRDefault="00E16BFE">
            <w:pPr>
              <w:snapToGrid w:val="0"/>
              <w:rPr>
                <w:bCs/>
                <w:iCs/>
                <w:sz w:val="20"/>
                <w:szCs w:val="20"/>
              </w:rPr>
            </w:pPr>
          </w:p>
          <w:p w14:paraId="3D7F46AD" w14:textId="77777777" w:rsidR="00E16BFE" w:rsidRDefault="00AF19CB">
            <w:pPr>
              <w:snapToGrid w:val="0"/>
              <w:rPr>
                <w:b/>
                <w:iCs/>
                <w:sz w:val="20"/>
                <w:szCs w:val="20"/>
              </w:rPr>
            </w:pPr>
            <w:r>
              <w:rPr>
                <w:b/>
                <w:iCs/>
                <w:sz w:val="20"/>
                <w:szCs w:val="20"/>
              </w:rPr>
              <w:t>General Comment towards LS:</w:t>
            </w:r>
          </w:p>
          <w:p w14:paraId="3D7F46AE" w14:textId="77777777" w:rsidR="00E16BFE" w:rsidRDefault="00AF19CB">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bl>
    <w:p w14:paraId="3D7F46D5" w14:textId="77777777" w:rsidR="00E16BFE" w:rsidRDefault="00E16BFE">
      <w:pPr>
        <w:pStyle w:val="TdocHeader2"/>
        <w:rPr>
          <w:rFonts w:ascii="Times New Roman" w:eastAsiaTheme="minorEastAsia" w:hAnsi="Times New Roman"/>
          <w:b w:val="0"/>
          <w:bCs/>
          <w:lang w:val="en-US"/>
        </w:rPr>
      </w:pPr>
    </w:p>
    <w:p w14:paraId="3D7F46D6" w14:textId="77777777" w:rsidR="00E16BFE"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5" w:name="_Hlk521259925"/>
      <w:bookmarkEnd w:id="5"/>
    </w:p>
    <w:p w14:paraId="3D7F46DA"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aff9"/>
        <w:snapToGrid w:val="0"/>
        <w:ind w:firstLine="0"/>
        <w:jc w:val="both"/>
        <w:rPr>
          <w:rFonts w:eastAsiaTheme="minorEastAsia" w:cs="Times New Roman"/>
          <w:bCs/>
          <w:iCs/>
          <w:sz w:val="20"/>
          <w:szCs w:val="20"/>
        </w:rPr>
      </w:pPr>
    </w:p>
    <w:p w14:paraId="3D7F46DD"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aff9"/>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aff9"/>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6" w:name="_Hlk36104658"/>
      <w:r>
        <w:rPr>
          <w:rFonts w:cs="Times New Roman"/>
          <w:sz w:val="20"/>
          <w:szCs w:val="20"/>
        </w:rPr>
        <w:t>Maastricht, The Netherlands, August 19th – 23rd, 2024</w:t>
      </w:r>
      <w:bookmarkEnd w:id="6"/>
    </w:p>
    <w:p w14:paraId="3D7F46E0" w14:textId="77777777" w:rsidR="00E16BFE" w:rsidRDefault="00AF19CB">
      <w:pPr>
        <w:pStyle w:val="aff9"/>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aff9"/>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aff9"/>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aff9"/>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aff9"/>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aff9"/>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aff9"/>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aff9"/>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aff9"/>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aff9"/>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aff9"/>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aff9"/>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aff9"/>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aff9"/>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aff9"/>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aff9"/>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aff9"/>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aff9"/>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aff9"/>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aff9"/>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aff9"/>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bCs/>
          <w:iCs/>
          <w:sz w:val="20"/>
          <w:szCs w:val="20"/>
        </w:rPr>
      </w:pPr>
    </w:p>
    <w:p w14:paraId="3D7F46F6"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bCs/>
                <w:sz w:val="20"/>
                <w:szCs w:val="20"/>
              </w:rPr>
            </w:pPr>
          </w:p>
          <w:p w14:paraId="3D7F46F8" w14:textId="77777777" w:rsidR="00E16BFE" w:rsidRDefault="00AF19CB">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7" w:name="_Hlk153196886"/>
            <w:r>
              <w:rPr>
                <w:rFonts w:ascii="Times New Roman" w:eastAsia="Calibri" w:hAnsi="Times New Roman" w:cs="Times New Roman"/>
                <w:sz w:val="20"/>
                <w:szCs w:val="20"/>
                <w:lang w:eastAsia="ko-KR"/>
              </w:rPr>
              <w:t xml:space="preserve"> if beneficial</w:t>
            </w:r>
            <w:bookmarkEnd w:id="7"/>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lastRenderedPageBreak/>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aff9"/>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bCs/>
                <w:iCs/>
                <w:sz w:val="20"/>
                <w:szCs w:val="20"/>
              </w:rPr>
            </w:pPr>
          </w:p>
        </w:tc>
      </w:tr>
    </w:tbl>
    <w:p w14:paraId="3D7F4709" w14:textId="77777777" w:rsidR="00E16BFE" w:rsidRDefault="00E16BFE">
      <w:pPr>
        <w:snapToGrid w:val="0"/>
        <w:rPr>
          <w:rFonts w:cs="Times New Roman"/>
          <w:bCs/>
          <w:iCs/>
          <w:sz w:val="20"/>
          <w:szCs w:val="20"/>
        </w:rPr>
      </w:pPr>
      <w:bookmarkStart w:id="8" w:name="_Ref23496549"/>
      <w:bookmarkStart w:id="9" w:name="_Ref78875676"/>
      <w:bookmarkStart w:id="10" w:name="_Ref71203205"/>
      <w:bookmarkStart w:id="11" w:name="_Ref505867252"/>
      <w:bookmarkStart w:id="12" w:name="_Ref505807368"/>
      <w:bookmarkStart w:id="13" w:name="_Ref83712416"/>
      <w:bookmarkStart w:id="14" w:name="_Ref521313643"/>
      <w:bookmarkStart w:id="15" w:name="_Ref30757894"/>
      <w:bookmarkStart w:id="16" w:name="_Ref86784880"/>
      <w:bookmarkStart w:id="17" w:name="_Ref533782101"/>
      <w:bookmarkStart w:id="18" w:name="_Ref521162878"/>
      <w:bookmarkStart w:id="19" w:name="_Ref60817485"/>
      <w:bookmarkStart w:id="20" w:name="_Ref53491160"/>
      <w:bookmarkStart w:id="21" w:name="_Ref53511278"/>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D7F470A" w14:textId="77777777" w:rsidR="00E16BFE" w:rsidRDefault="00E16BFE">
      <w:pPr>
        <w:pStyle w:val="aff9"/>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2844" w14:textId="77777777" w:rsidR="00A8233C" w:rsidRDefault="00A8233C">
      <w:r>
        <w:separator/>
      </w:r>
    </w:p>
  </w:endnote>
  <w:endnote w:type="continuationSeparator" w:id="0">
    <w:p w14:paraId="0671C1C3" w14:textId="77777777" w:rsidR="00A8233C" w:rsidRDefault="00A8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F470B" w14:textId="77777777" w:rsidR="00E16BFE" w:rsidRDefault="00AF19CB">
    <w:pPr>
      <w:pStyle w:val="aff1"/>
    </w:pPr>
    <w:r>
      <w:rPr>
        <w:rStyle w:val="a3"/>
      </w:rPr>
      <w:t xml:space="preserve">- </w:t>
    </w:r>
    <w:r>
      <w:rPr>
        <w:rStyle w:val="a3"/>
      </w:rPr>
      <w:fldChar w:fldCharType="begin"/>
    </w:r>
    <w:r>
      <w:rPr>
        <w:rStyle w:val="a3"/>
      </w:rPr>
      <w:instrText>PAGE</w:instrText>
    </w:r>
    <w:r>
      <w:rPr>
        <w:rStyle w:val="a3"/>
      </w:rPr>
      <w:fldChar w:fldCharType="separate"/>
    </w:r>
    <w:r>
      <w:rPr>
        <w:rStyle w:val="a3"/>
      </w:rPr>
      <w:t>10</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Pr>
        <w:rStyle w:val="a3"/>
      </w:rPr>
      <w:t>10</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C63E" w14:textId="77777777" w:rsidR="00A8233C" w:rsidRDefault="00A8233C">
      <w:r>
        <w:separator/>
      </w:r>
    </w:p>
  </w:footnote>
  <w:footnote w:type="continuationSeparator" w:id="0">
    <w:p w14:paraId="2DE6071E" w14:textId="77777777" w:rsidR="00A8233C" w:rsidRDefault="00A8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 w:numId="8">
    <w:abstractNumId w:val="6"/>
    <w:lvlOverride w:ilvl="0">
      <w:startOverride w:val="1"/>
    </w:lvlOverride>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120"/>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A19F5"/>
    <w:rsid w:val="00132380"/>
    <w:rsid w:val="001B78FB"/>
    <w:rsid w:val="001C0F7C"/>
    <w:rsid w:val="0027287F"/>
    <w:rsid w:val="002E4573"/>
    <w:rsid w:val="0030534B"/>
    <w:rsid w:val="00432882"/>
    <w:rsid w:val="0053339D"/>
    <w:rsid w:val="00846CBB"/>
    <w:rsid w:val="0091445C"/>
    <w:rsid w:val="00921A5E"/>
    <w:rsid w:val="00A8233C"/>
    <w:rsid w:val="00AE4A12"/>
    <w:rsid w:val="00AF19CB"/>
    <w:rsid w:val="00B75477"/>
    <w:rsid w:val="00C16837"/>
    <w:rsid w:val="00CC324E"/>
    <w:rsid w:val="00CD14DA"/>
    <w:rsid w:val="00DD52BA"/>
    <w:rsid w:val="00E16BFE"/>
    <w:rsid w:val="00E63695"/>
    <w:rsid w:val="00F24718"/>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1">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2">
    <w:name w:val="本文インデント 2 (文字)"/>
    <w:basedOn w:val="a0"/>
    <w:link w:val="23"/>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f2">
    <w:name w:val="题注 字符"/>
    <w:link w:val="af3"/>
    <w:semiHidden/>
    <w:qFormat/>
    <w:rPr>
      <w:rFonts w:eastAsia="MS Gothic" w:cs="Arial"/>
      <w:kern w:val="2"/>
      <w:sz w:val="21"/>
      <w:lang w:val="en-GB" w:eastAsia="en-US" w:bidi="ar-SA"/>
    </w:rPr>
  </w:style>
  <w:style w:type="character" w:customStyle="1" w:styleId="Char">
    <w:name w:val="批注主题 Char"/>
    <w:basedOn w:val="af2"/>
    <w:qFormat/>
    <w:rPr>
      <w:rFonts w:eastAsia="MS Gothic" w:cs="Arial"/>
      <w:kern w:val="2"/>
      <w:sz w:val="21"/>
      <w:lang w:val="en-GB" w:eastAsia="en-US" w:bidi="ar-SA"/>
    </w:rPr>
  </w:style>
  <w:style w:type="character" w:customStyle="1" w:styleId="af4">
    <w:name w:val="吹き出し (文字)"/>
    <w:basedOn w:val="a0"/>
    <w:qFormat/>
    <w:rPr>
      <w:rFonts w:ascii="Arial" w:eastAsia="Times New Roman" w:hAnsi="Arial" w:cs="Times New Roman"/>
      <w:kern w:val="0"/>
      <w:sz w:val="18"/>
      <w:szCs w:val="18"/>
    </w:rPr>
  </w:style>
  <w:style w:type="character" w:customStyle="1" w:styleId="af5">
    <w:name w:val="コメント内容 (文字)"/>
    <w:basedOn w:val="af"/>
    <w:uiPriority w:val="99"/>
    <w:semiHidden/>
    <w:qFormat/>
    <w:rPr>
      <w:rFonts w:ascii="Times New Roman" w:eastAsia="Times New Roman" w:hAnsi="Times New Roman" w:cs="Arial"/>
      <w:b/>
      <w:bCs/>
      <w:sz w:val="21"/>
      <w:szCs w:val="20"/>
      <w:lang w:val="en-GB"/>
    </w:rPr>
  </w:style>
  <w:style w:type="character" w:styleId="af6">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7">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8"/>
    <w:qFormat/>
    <w:pPr>
      <w:keepNext/>
      <w:spacing w:before="240" w:after="120"/>
    </w:pPr>
    <w:rPr>
      <w:rFonts w:ascii="Liberation Sans" w:eastAsia="Noto Sans CJK SC" w:hAnsi="Liberation Sans" w:cs="Lohit Devanagari"/>
      <w:sz w:val="28"/>
      <w:szCs w:val="28"/>
    </w:rPr>
  </w:style>
  <w:style w:type="paragraph" w:styleId="af8">
    <w:name w:val="Body Text"/>
    <w:basedOn w:val="a"/>
    <w:qFormat/>
    <w:pPr>
      <w:widowControl/>
      <w:jc w:val="left"/>
    </w:pPr>
    <w:rPr>
      <w:rFonts w:ascii="Times New Roman" w:eastAsia="Times New Roman" w:hAnsi="Times New Roman" w:cs="Times New Roman"/>
      <w:kern w:val="0"/>
    </w:rPr>
  </w:style>
  <w:style w:type="paragraph" w:styleId="af9">
    <w:name w:val="List"/>
    <w:basedOn w:val="a"/>
    <w:qFormat/>
    <w:pPr>
      <w:widowControl/>
      <w:ind w:left="568" w:hanging="284"/>
      <w:jc w:val="left"/>
    </w:pPr>
    <w:rPr>
      <w:rFonts w:ascii="Times New Roman" w:eastAsia="Times New Roman" w:hAnsi="Times New Roman" w:cs="Times New Roman"/>
      <w:kern w:val="0"/>
    </w:rPr>
  </w:style>
  <w:style w:type="paragraph" w:styleId="af3">
    <w:name w:val="caption"/>
    <w:basedOn w:val="a"/>
    <w:next w:val="a"/>
    <w:link w:val="af2"/>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firstLine="0"/>
      <w:textAlignment w:val="baseline"/>
    </w:pPr>
    <w:rPr>
      <w:rFonts w:ascii="Times New Roman" w:eastAsia="等线" w:hAnsi="Times New Roman"/>
      <w:szCs w:val="20"/>
      <w:lang w:val="en-GB"/>
    </w:rPr>
  </w:style>
  <w:style w:type="paragraph" w:styleId="24">
    <w:name w:val="List Number 2"/>
    <w:basedOn w:val="afa"/>
    <w:qFormat/>
    <w:pPr>
      <w:ind w:left="851"/>
    </w:pPr>
  </w:style>
  <w:style w:type="paragraph" w:styleId="afa">
    <w:name w:val="List Number"/>
    <w:basedOn w:val="51"/>
    <w:qFormat/>
    <w:pPr>
      <w:ind w:left="1702"/>
    </w:pPr>
  </w:style>
  <w:style w:type="paragraph" w:styleId="32">
    <w:name w:val="List Bullet 3"/>
    <w:basedOn w:val="25"/>
    <w:qFormat/>
    <w:pPr>
      <w:ind w:left="851" w:hanging="284"/>
    </w:pPr>
    <w:rPr>
      <w:lang w:eastAsia="ja-JP"/>
    </w:rPr>
  </w:style>
  <w:style w:type="paragraph" w:styleId="25">
    <w:name w:val="List Bullet 2"/>
    <w:basedOn w:val="afb"/>
    <w:qFormat/>
    <w:pPr>
      <w:spacing w:after="60"/>
      <w:ind w:left="1080" w:hanging="357"/>
    </w:pPr>
    <w:rPr>
      <w:rFonts w:ascii="Arial" w:hAnsi="Arial"/>
    </w:rPr>
  </w:style>
  <w:style w:type="paragraph" w:styleId="afb">
    <w:name w:val="List Bullet"/>
    <w:basedOn w:val="a"/>
    <w:qFormat/>
    <w:pPr>
      <w:widowControl/>
      <w:jc w:val="left"/>
    </w:pPr>
    <w:rPr>
      <w:rFonts w:ascii="Times New Roman" w:eastAsia="Times New Roman" w:hAnsi="Times New Roman" w:cs="Times New Roman"/>
      <w:kern w:val="0"/>
    </w:rPr>
  </w:style>
  <w:style w:type="paragraph" w:styleId="afc">
    <w:name w:val="Document Map"/>
    <w:basedOn w:val="a"/>
    <w:semiHidden/>
    <w:qFormat/>
    <w:pPr>
      <w:widowControl/>
      <w:shd w:val="clear" w:color="auto" w:fill="000080"/>
      <w:jc w:val="left"/>
    </w:pPr>
    <w:rPr>
      <w:rFonts w:ascii="Tahoma" w:eastAsia="Times New Roman" w:hAnsi="Tahoma" w:cs="Times New Roman"/>
      <w:kern w:val="0"/>
    </w:rPr>
  </w:style>
  <w:style w:type="paragraph" w:styleId="afd">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e">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f">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6">
    <w:name w:val="Body Text Indent 2"/>
    <w:basedOn w:val="a"/>
    <w:link w:val="27"/>
    <w:qFormat/>
    <w:pPr>
      <w:ind w:left="1656"/>
      <w:textAlignment w:val="baseline"/>
    </w:pPr>
    <w:rPr>
      <w:rFonts w:ascii="Times New Roman" w:eastAsia="Times New Roman" w:hAnsi="Times New Roman" w:cs="Times New Roman"/>
      <w:lang w:eastAsia="ja-JP"/>
    </w:rPr>
  </w:style>
  <w:style w:type="paragraph" w:styleId="aff0">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1">
    <w:name w:val="footer"/>
    <w:basedOn w:val="a"/>
    <w:unhideWhenUsed/>
    <w:qFormat/>
    <w:pPr>
      <w:tabs>
        <w:tab w:val="center" w:pos="4153"/>
        <w:tab w:val="right" w:pos="8306"/>
      </w:tabs>
      <w:snapToGrid w:val="0"/>
      <w:jc w:val="left"/>
    </w:pPr>
    <w:rPr>
      <w:sz w:val="18"/>
      <w:szCs w:val="18"/>
    </w:rPr>
  </w:style>
  <w:style w:type="paragraph" w:styleId="aff2">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f3">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4">
    <w:name w:val="table of figures"/>
    <w:basedOn w:val="TOC1"/>
    <w:next w:val="a"/>
    <w:semiHidden/>
    <w:qFormat/>
    <w:pPr>
      <w:tabs>
        <w:tab w:val="right" w:leader="dot" w:pos="9360"/>
      </w:tabs>
    </w:pPr>
    <w:rPr>
      <w:caps/>
    </w:rPr>
  </w:style>
  <w:style w:type="paragraph" w:styleId="28">
    <w:name w:val="Body Text 2"/>
    <w:basedOn w:val="a"/>
    <w:qFormat/>
    <w:pPr>
      <w:widowControl/>
      <w:jc w:val="left"/>
    </w:pPr>
    <w:rPr>
      <w:rFonts w:ascii="Arial" w:eastAsia="Times New Roman" w:hAnsi="Arial" w:cs="Times New Roman"/>
      <w:kern w:val="0"/>
    </w:rPr>
  </w:style>
  <w:style w:type="paragraph" w:styleId="aff5">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3">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9">
    <w:name w:val="index 2"/>
    <w:basedOn w:val="13"/>
    <w:next w:val="a"/>
    <w:semiHidden/>
    <w:qFormat/>
    <w:pPr>
      <w:ind w:left="284"/>
    </w:pPr>
  </w:style>
  <w:style w:type="paragraph" w:styleId="aff6">
    <w:name w:val="Title"/>
    <w:basedOn w:val="a"/>
    <w:qFormat/>
    <w:pPr>
      <w:widowControl/>
      <w:jc w:val="center"/>
    </w:pPr>
    <w:rPr>
      <w:rFonts w:ascii="Arial" w:eastAsia="Times New Roman" w:hAnsi="Arial" w:cs="Times New Roman"/>
      <w:b/>
      <w:kern w:val="0"/>
    </w:rPr>
  </w:style>
  <w:style w:type="paragraph" w:styleId="aff7">
    <w:name w:val="annotation subject"/>
    <w:basedOn w:val="afd"/>
    <w:next w:val="afd"/>
    <w:uiPriority w:val="99"/>
    <w:semiHidden/>
    <w:unhideWhenUsed/>
    <w:qFormat/>
    <w:rPr>
      <w:b/>
      <w:bCs/>
      <w:sz w:val="24"/>
      <w:szCs w:val="24"/>
    </w:rPr>
  </w:style>
  <w:style w:type="paragraph" w:customStyle="1" w:styleId="Heading1unnumbered">
    <w:name w:val="Heading 1 unnumbered"/>
    <w:basedOn w:val="1"/>
    <w:next w:val="af8"/>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9"/>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b"/>
    <w:next w:val="af8"/>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8"/>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4">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5">
    <w:name w:val="コメント内容1"/>
    <w:basedOn w:val="afd"/>
    <w:next w:val="afd"/>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3">
    <w:name w:val="吹き出し2"/>
    <w:basedOn w:val="a"/>
    <w:link w:val="22"/>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6">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7">
    <w:name w:val="正文文本缩进 2 字符"/>
    <w:basedOn w:val="afd"/>
    <w:next w:val="afd"/>
    <w:link w:val="26"/>
    <w:semiHidden/>
    <w:unhideWhenUsed/>
    <w:qFormat/>
    <w:rPr>
      <w:b/>
      <w:bCs/>
      <w:sz w:val="24"/>
      <w:szCs w:val="24"/>
    </w:rPr>
  </w:style>
  <w:style w:type="paragraph" w:styleId="aff9">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7">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a">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a"/>
    <w:qFormat/>
  </w:style>
  <w:style w:type="paragraph" w:customStyle="1" w:styleId="ZTD">
    <w:name w:val="ZTD"/>
    <w:basedOn w:val="ZB"/>
    <w:qFormat/>
    <w:rPr>
      <w:i w:val="0"/>
      <w:sz w:val="40"/>
    </w:rPr>
  </w:style>
  <w:style w:type="paragraph" w:customStyle="1" w:styleId="bullet">
    <w:name w:val="bullet"/>
    <w:basedOn w:val="aff9"/>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8"/>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8"/>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b">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8"/>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b">
    <w:name w:val="修订2"/>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uiPriority w:val="99"/>
    <w:unhideWhenUsed/>
    <w:qFormat/>
    <w:rsid w:val="00DA4CEE"/>
    <w:rPr>
      <w:kern w:val="2"/>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fd">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4229</Words>
  <Characters>24111</Characters>
  <Application>Microsoft Office Word</Application>
  <DocSecurity>0</DocSecurity>
  <Lines>200</Lines>
  <Paragraphs>56</Paragraphs>
  <ScaleCrop>false</ScaleCrop>
  <Company>CMCC</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Moderator</cp:lastModifiedBy>
  <cp:revision>2</cp:revision>
  <dcterms:created xsi:type="dcterms:W3CDTF">2024-08-21T08:43:00Z</dcterms:created>
  <dcterms:modified xsi:type="dcterms:W3CDTF">2024-08-21T08:43:00Z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