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szCs w:val="24"/>
        </w:rPr>
      </w:pPr>
      <w:r>
        <w:rPr>
          <w:rFonts w:ascii="Arial" w:hAnsi="Arial" w:eastAsia="Malgun Gothic" w:cs="Arial"/>
          <w:b/>
          <w:bCs/>
          <w:szCs w:val="24"/>
        </w:rPr>
        <w:t>3GPP TSG RAN WG1 #11</w:t>
      </w:r>
      <w:r>
        <w:rPr>
          <w:rFonts w:hint="eastAsia" w:ascii="Arial" w:hAnsi="Arial" w:cs="Arial" w:eastAsiaTheme="minorEastAsia"/>
          <w:b/>
          <w:bCs/>
          <w:szCs w:val="24"/>
        </w:rPr>
        <w:t>8</w:t>
      </w:r>
      <w:r>
        <w:rPr>
          <w:rFonts w:ascii="Arial" w:hAnsi="Arial" w:eastAsia="Malgun Gothic" w:cs="Arial"/>
          <w:b/>
          <w:bCs/>
          <w:szCs w:val="24"/>
        </w:rPr>
        <w:tab/>
      </w:r>
      <w:r>
        <w:rPr>
          <w:rFonts w:ascii="Arial" w:hAnsi="Arial" w:eastAsia="Malgun Gothic" w:cs="Arial"/>
          <w:b/>
          <w:bCs/>
          <w:szCs w:val="24"/>
        </w:rPr>
        <w:tab/>
      </w:r>
      <w:r>
        <w:rPr>
          <w:rFonts w:ascii="Arial" w:hAnsi="Arial" w:eastAsia="Malgun Gothic" w:cs="Arial"/>
          <w:b/>
          <w:bCs/>
          <w:szCs w:val="24"/>
        </w:rPr>
        <w:tab/>
      </w:r>
      <w:r>
        <w:rPr>
          <w:rFonts w:ascii="Arial" w:hAnsi="Arial" w:eastAsia="Malgun Gothic" w:cs="Arial"/>
          <w:b/>
          <w:bCs/>
          <w:szCs w:val="24"/>
        </w:rPr>
        <w:t>R1-2</w:t>
      </w:r>
      <w:r>
        <w:rPr>
          <w:rFonts w:ascii="Arial" w:hAnsi="Arial" w:eastAsia="ＭＳ 明朝" w:cs="Arial"/>
          <w:b/>
          <w:bCs/>
          <w:szCs w:val="24"/>
        </w:rPr>
        <w:t>4</w:t>
      </w:r>
      <w:r>
        <w:rPr>
          <w:rFonts w:hint="eastAsia" w:ascii="Arial" w:hAnsi="Arial" w:eastAsia="ＭＳ 明朝" w:cs="Arial"/>
          <w:b/>
          <w:bCs/>
          <w:szCs w:val="24"/>
        </w:rPr>
        <w:t>07198</w:t>
      </w:r>
    </w:p>
    <w:p>
      <w:pPr>
        <w:tabs>
          <w:tab w:val="center" w:pos="4536"/>
          <w:tab w:val="right" w:pos="9072"/>
        </w:tabs>
        <w:spacing w:line="276" w:lineRule="auto"/>
        <w:rPr>
          <w:rFonts w:ascii="Arial" w:hAnsi="Arial" w:cs="Arial" w:eastAsiaTheme="minorEastAsia"/>
          <w:b/>
          <w:bCs/>
          <w:szCs w:val="24"/>
        </w:rPr>
      </w:pPr>
      <w:r>
        <w:rPr>
          <w:rFonts w:ascii="Arial" w:hAnsi="Arial" w:eastAsia="Malgun Gothic" w:cs="Arial"/>
          <w:b/>
          <w:bCs/>
          <w:szCs w:val="24"/>
        </w:rPr>
        <w:t>Maastricht, NL, August 19</w:t>
      </w:r>
      <w:r>
        <w:rPr>
          <w:rFonts w:hint="eastAsia" w:ascii="Arial" w:hAnsi="Arial" w:cs="Arial" w:eastAsiaTheme="minorEastAsia"/>
          <w:b/>
          <w:bCs/>
          <w:szCs w:val="24"/>
          <w:vertAlign w:val="superscript"/>
        </w:rPr>
        <w:t>th</w:t>
      </w:r>
      <w:r>
        <w:rPr>
          <w:rFonts w:ascii="Arial" w:hAnsi="Arial" w:eastAsia="Malgun Gothic" w:cs="Arial"/>
          <w:b/>
          <w:bCs/>
          <w:szCs w:val="24"/>
        </w:rPr>
        <w:t xml:space="preserve"> – 23</w:t>
      </w:r>
      <w:r>
        <w:rPr>
          <w:rFonts w:hint="eastAsia" w:ascii="Arial" w:hAnsi="Arial" w:cs="Arial" w:eastAsiaTheme="minorEastAsia"/>
          <w:b/>
          <w:bCs/>
          <w:szCs w:val="24"/>
          <w:vertAlign w:val="superscript"/>
        </w:rPr>
        <w:t>rd</w:t>
      </w:r>
      <w:r>
        <w:rPr>
          <w:rFonts w:ascii="Arial" w:hAnsi="Arial" w:eastAsia="Malgun Gothic" w:cs="Arial"/>
          <w:b/>
          <w:bCs/>
          <w:szCs w:val="24"/>
        </w:rPr>
        <w:t>, 2024</w:t>
      </w:r>
    </w:p>
    <w:p>
      <w:pPr>
        <w:tabs>
          <w:tab w:val="center" w:pos="4536"/>
          <w:tab w:val="right" w:pos="9072"/>
        </w:tabs>
        <w:spacing w:line="276" w:lineRule="auto"/>
        <w:rPr>
          <w:rFonts w:ascii="Arial" w:hAnsi="Arial" w:cs="Arial" w:eastAsiaTheme="minorEastAsia"/>
          <w:b/>
          <w:bCs/>
          <w:szCs w:val="24"/>
          <w:lang w:eastAsia="en-US"/>
        </w:rPr>
      </w:pPr>
    </w:p>
    <w:p>
      <w:pPr>
        <w:tabs>
          <w:tab w:val="left" w:pos="1985"/>
        </w:tabs>
        <w:spacing w:after="120" w:line="288" w:lineRule="auto"/>
        <w:ind w:left="2040" w:hanging="2041" w:hangingChars="850"/>
        <w:jc w:val="both"/>
        <w:rPr>
          <w:rFonts w:ascii="Arial" w:hAnsi="Arial" w:eastAsiaTheme="minorEastAsia"/>
          <w:lang w:val="pt-PT"/>
        </w:rPr>
      </w:pPr>
      <w:r>
        <w:rPr>
          <w:rFonts w:ascii="Arial" w:hAnsi="Arial" w:eastAsia="Malgun Gothic"/>
          <w:b/>
          <w:lang w:val="pt-PT" w:eastAsia="en-US"/>
        </w:rPr>
        <w:t>Agenda item:</w:t>
      </w:r>
      <w:r>
        <w:rPr>
          <w:rFonts w:ascii="Arial" w:hAnsi="Arial" w:eastAsia="Malgun Gothic"/>
          <w:lang w:val="pt-PT" w:eastAsia="en-US"/>
        </w:rPr>
        <w:tab/>
      </w:r>
      <w:bookmarkStart w:id="0" w:name="Source"/>
      <w:bookmarkEnd w:id="0"/>
      <w:r>
        <w:rPr>
          <w:rFonts w:hint="eastAsia" w:ascii="Arial" w:hAnsi="Arial" w:eastAsia="ＭＳ 明朝"/>
          <w:lang w:val="pt-PT"/>
        </w:rPr>
        <w:t>8</w:t>
      </w:r>
      <w:r>
        <w:rPr>
          <w:rFonts w:ascii="Arial" w:hAnsi="Arial" w:eastAsia="Malgun Gothic"/>
          <w:lang w:val="pt-PT" w:eastAsia="ko-KR"/>
        </w:rPr>
        <w:t>.</w:t>
      </w:r>
      <w:r>
        <w:rPr>
          <w:rFonts w:ascii="Arial" w:hAnsi="Arial" w:eastAsiaTheme="minorEastAsia"/>
          <w:lang w:val="pt-PT"/>
        </w:rPr>
        <w:t>2.1</w:t>
      </w:r>
    </w:p>
    <w:p>
      <w:pPr>
        <w:tabs>
          <w:tab w:val="left" w:pos="1985"/>
        </w:tabs>
        <w:spacing w:after="120" w:line="288" w:lineRule="auto"/>
        <w:ind w:left="2040" w:hanging="2041" w:hangingChars="850"/>
        <w:jc w:val="both"/>
        <w:rPr>
          <w:rFonts w:ascii="Arial" w:hAnsi="Arial" w:eastAsia="SimSun"/>
          <w:lang w:val="pt-PT" w:eastAsia="zh-CN"/>
        </w:rPr>
      </w:pPr>
      <w:r>
        <w:rPr>
          <w:rFonts w:ascii="Arial" w:hAnsi="Arial" w:eastAsia="Malgun Gothic"/>
          <w:b/>
          <w:lang w:val="pt-PT" w:eastAsia="en-US"/>
        </w:rPr>
        <w:t xml:space="preserve">Source: </w:t>
      </w:r>
      <w:r>
        <w:rPr>
          <w:rFonts w:ascii="Arial" w:hAnsi="Arial" w:eastAsia="Malgun Gothic"/>
          <w:b/>
          <w:lang w:val="pt-PT" w:eastAsia="en-US"/>
        </w:rPr>
        <w:tab/>
      </w:r>
      <w:r>
        <w:rPr>
          <w:rFonts w:ascii="Arial" w:hAnsi="Arial" w:eastAsia="Malgun Gothic"/>
          <w:bCs/>
          <w:lang w:val="pt-PT" w:eastAsia="en-US"/>
        </w:rPr>
        <w:t>Moderator (</w:t>
      </w:r>
      <w:r>
        <w:rPr>
          <w:rFonts w:ascii="Arial" w:hAnsi="Arial" w:eastAsia="Malgun Gothic"/>
          <w:lang w:val="pt-PT"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 of discussion on UE features for MC enhancements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2"/>
        </w:numPr>
        <w:tabs>
          <w:tab w:val="left" w:pos="425"/>
        </w:tabs>
        <w:spacing w:before="180" w:after="120"/>
        <w:ind w:left="0" w:firstLine="0"/>
        <w:rPr>
          <w:rFonts w:eastAsia="ＭＳ 明朝"/>
          <w:b/>
          <w:bCs/>
          <w:szCs w:val="24"/>
          <w:lang w:val="en-US"/>
        </w:rPr>
      </w:pPr>
      <w:r>
        <w:rPr>
          <w:rFonts w:hint="eastAsia" w:eastAsia="ＭＳ 明朝"/>
          <w:b/>
          <w:bCs/>
          <w:szCs w:val="24"/>
          <w:lang w:val="en-US"/>
        </w:rPr>
        <w:t>Introduction</w:t>
      </w:r>
    </w:p>
    <w:p>
      <w:pPr>
        <w:spacing w:after="120" w:afterLines="50"/>
        <w:jc w:val="both"/>
        <w:rPr>
          <w:rFonts w:eastAsia="ＭＳ 明朝"/>
          <w:sz w:val="22"/>
          <w:szCs w:val="22"/>
          <w:lang w:val="en-US"/>
        </w:rPr>
      </w:pPr>
      <w:r>
        <w:rPr>
          <w:rFonts w:eastAsia="ＭＳ 明朝"/>
          <w:sz w:val="22"/>
          <w:szCs w:val="22"/>
          <w:lang w:val="en-US"/>
        </w:rPr>
        <w:t xml:space="preserve">This document summarizes contributions submitted to </w:t>
      </w:r>
      <w:r>
        <w:rPr>
          <w:rFonts w:hint="eastAsia" w:eastAsia="ＭＳ 明朝"/>
          <w:sz w:val="22"/>
          <w:szCs w:val="22"/>
          <w:lang w:val="en-US"/>
        </w:rPr>
        <w:t>AI</w:t>
      </w:r>
      <w:r>
        <w:rPr>
          <w:rFonts w:eastAsia="ＭＳ 明朝"/>
          <w:sz w:val="22"/>
          <w:szCs w:val="22"/>
          <w:lang w:val="en-US"/>
        </w:rPr>
        <w:t xml:space="preserve"> 8.2.1 regarding UE features for MC enhancements</w:t>
      </w:r>
      <w:r>
        <w:rPr>
          <w:rFonts w:hint="eastAsia" w:eastAsia="ＭＳ 明朝"/>
          <w:sz w:val="22"/>
          <w:szCs w:val="22"/>
          <w:lang w:val="en-US"/>
        </w:rPr>
        <w:t>.</w:t>
      </w:r>
    </w:p>
    <w:p>
      <w:pPr>
        <w:spacing w:after="120" w:afterLines="50"/>
        <w:jc w:val="both"/>
        <w:rPr>
          <w:rFonts w:eastAsia="ＭＳ 明朝"/>
          <w:sz w:val="22"/>
          <w:szCs w:val="22"/>
          <w:lang w:val="en-US"/>
        </w:rPr>
      </w:pPr>
      <w:r>
        <w:rPr>
          <w:rFonts w:eastAsia="ＭＳ 明朝"/>
          <w:sz w:val="22"/>
          <w:szCs w:val="22"/>
          <w:lang w:val="en-US"/>
        </w:rPr>
        <w:t>According to the</w:t>
      </w:r>
      <w:r>
        <w:rPr>
          <w:rFonts w:hint="eastAsia" w:eastAsia="ＭＳ 明朝"/>
          <w:sz w:val="22"/>
          <w:szCs w:val="22"/>
          <w:lang w:val="en-US"/>
        </w:rPr>
        <w:t xml:space="preserve"> </w:t>
      </w:r>
      <w:r>
        <w:rPr>
          <w:rFonts w:eastAsia="ＭＳ 明朝"/>
          <w:sz w:val="22"/>
          <w:szCs w:val="22"/>
          <w:lang w:val="en-US"/>
        </w:rPr>
        <w:t>updated UE features list agreed in RAN1#11</w:t>
      </w:r>
      <w:r>
        <w:rPr>
          <w:rFonts w:hint="eastAsia" w:eastAsia="ＭＳ 明朝"/>
          <w:sz w:val="22"/>
          <w:szCs w:val="22"/>
          <w:lang w:val="en-US"/>
        </w:rPr>
        <w:t>7</w:t>
      </w:r>
      <w:r>
        <w:rPr>
          <w:rFonts w:eastAsia="ＭＳ 明朝"/>
          <w:sz w:val="22"/>
          <w:szCs w:val="22"/>
          <w:lang w:val="en-US"/>
        </w:rPr>
        <w:t xml:space="preserve"> [1], there are following feature groups for MC enhancements.</w:t>
      </w:r>
    </w:p>
    <w:p>
      <w:pPr>
        <w:pStyle w:val="95"/>
        <w:numPr>
          <w:ilvl w:val="0"/>
          <w:numId w:val="13"/>
        </w:numPr>
        <w:spacing w:after="120" w:afterLines="50"/>
        <w:ind w:leftChars="0"/>
        <w:jc w:val="both"/>
        <w:rPr>
          <w:rFonts w:eastAsia="ＭＳ 明朝"/>
          <w:sz w:val="22"/>
          <w:szCs w:val="22"/>
          <w:lang w:val="en-US"/>
        </w:rPr>
      </w:pPr>
      <w:bookmarkStart w:id="2" w:name="_Hlk85011108"/>
      <w:r>
        <w:rPr>
          <w:rFonts w:hint="eastAsia" w:eastAsia="ＭＳ 明朝"/>
          <w:sz w:val="22"/>
          <w:szCs w:val="22"/>
          <w:lang w:val="en-US"/>
        </w:rPr>
        <w:t>F</w:t>
      </w:r>
      <w:r>
        <w:rPr>
          <w:rFonts w:eastAsia="ＭＳ 明朝"/>
          <w:sz w:val="22"/>
          <w:szCs w:val="22"/>
          <w:lang w:val="en-US"/>
        </w:rPr>
        <w:t>Gs for multi-cell PUSCH/PDSCH scheduling with a single DCI</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r>
      <w:r>
        <w:rPr>
          <w:rFonts w:eastAsia="ＭＳ 明朝"/>
          <w:sz w:val="22"/>
          <w:szCs w:val="22"/>
          <w:lang w:val="en-US"/>
        </w:rPr>
        <w:t>Multi-cell PDSCH scheduling by DCI format 1_3 on a scheduling cell with same SCS between scheduling cell and cells in the set</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r>
      <w:r>
        <w:rPr>
          <w:rFonts w:eastAsia="ＭＳ 明朝"/>
          <w:sz w:val="22"/>
          <w:szCs w:val="22"/>
          <w:lang w:val="en-US"/>
        </w:rPr>
        <w:t>Multi-cell PDSCH scheduling by DCI format 1_3 on a scheduling cell not included in a set of cells with different SCS/carrier type between scheduling cell and cells in the set</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r>
      <w:r>
        <w:rPr>
          <w:rFonts w:eastAsia="ＭＳ 明朝"/>
          <w:sz w:val="22"/>
          <w:szCs w:val="22"/>
          <w:lang w:val="en-US"/>
        </w:rPr>
        <w:t>Multi-cell PUSCH scheduling by DCI format 0_3 on a scheduling cell with same SCS between scheduling cell and cells in the set</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r>
      <w:r>
        <w:rPr>
          <w:rFonts w:eastAsia="ＭＳ 明朝"/>
          <w:sz w:val="22"/>
          <w:szCs w:val="22"/>
          <w:lang w:val="en-US"/>
        </w:rPr>
        <w:t>Multi-cell PUSCH scheduling by DCI format 0_3 on a scheduling cell not included in a set of cells with different SCS/carrier type between scheduling cell and cells in the set</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r>
      <w:r>
        <w:rPr>
          <w:rFonts w:eastAsia="ＭＳ 明朝"/>
          <w:sz w:val="22"/>
          <w:szCs w:val="22"/>
          <w:lang w:val="en-US"/>
        </w:rPr>
        <w:t>Advanced UE capability for larger number of unicast DL DCI</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r>
      <w:r>
        <w:rPr>
          <w:rFonts w:eastAsia="ＭＳ 明朝"/>
          <w:sz w:val="22"/>
          <w:szCs w:val="22"/>
          <w:lang w:val="en-US"/>
        </w:rPr>
        <w:t>Advanced UE capability for larger number of unicast UL DCI</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r>
      <w:r>
        <w:rPr>
          <w:rFonts w:eastAsia="ＭＳ 明朝"/>
          <w:sz w:val="22"/>
          <w:szCs w:val="22"/>
          <w:lang w:val="en-US"/>
        </w:rPr>
        <w:t>Nominal RBG size of Configuration 3 for FDRA type 0 for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r>
      <w:r>
        <w:rPr>
          <w:rFonts w:eastAsia="ＭＳ 明朝"/>
          <w:sz w:val="22"/>
          <w:szCs w:val="22"/>
          <w:lang w:val="en-US"/>
        </w:rPr>
        <w:t>Nominal RBG size of Configuration 3 for FDRA type 0 for DCI format 0_3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r>
      <w:r>
        <w:rPr>
          <w:rFonts w:eastAsia="ＭＳ 明朝"/>
          <w:sz w:val="22"/>
          <w:szCs w:val="22"/>
          <w:lang w:val="en-US"/>
        </w:rPr>
        <w:t>Configurable Type-1A fields for DCI format 0_3/1_3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r>
      <w:r>
        <w:rPr>
          <w:rFonts w:eastAsia="ＭＳ 明朝"/>
          <w:sz w:val="22"/>
          <w:szCs w:val="22"/>
          <w:lang w:val="en-US"/>
        </w:rPr>
        <w:t>FDRA Type 1 granularity of 2, 4, 8, or 16 consecutive RBs based RIV for DCI format 1_3/0_3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r>
      <w:r>
        <w:rPr>
          <w:rFonts w:eastAsia="ＭＳ 明朝"/>
          <w:sz w:val="22"/>
          <w:szCs w:val="22"/>
          <w:lang w:val="en-US"/>
        </w:rPr>
        <w:t>Trigger Type 3 HARQ CB based feedback using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r>
      <w:r>
        <w:rPr>
          <w:rFonts w:eastAsia="ＭＳ 明朝"/>
          <w:sz w:val="22"/>
          <w:szCs w:val="22"/>
          <w:lang w:val="en-US"/>
        </w:rPr>
        <w:t>Trigger enhanced Type 3 HARQ CB based feedback using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r>
      <w:r>
        <w:rPr>
          <w:rFonts w:eastAsia="ＭＳ 明朝"/>
          <w:sz w:val="22"/>
          <w:szCs w:val="22"/>
          <w:lang w:val="en-US"/>
        </w:rPr>
        <w:t>Two HARQ-ACK codebooks with up to one sub-slot based HARQ-ACK codebook simultaneously constructed for supporting HARQ-ACK codebooks with different priorities by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49-6a</w:t>
      </w:r>
      <w:r>
        <w:rPr>
          <w:rFonts w:eastAsia="ＭＳ 明朝"/>
          <w:sz w:val="22"/>
          <w:szCs w:val="22"/>
          <w:lang w:val="en-US"/>
        </w:rPr>
        <w:tab/>
      </w:r>
      <w:r>
        <w:rPr>
          <w:rFonts w:eastAsia="ＭＳ 明朝"/>
          <w:sz w:val="22"/>
          <w:szCs w:val="22"/>
          <w:lang w:val="en-US"/>
        </w:rPr>
        <w:t>Two HARQ-ACK codebooks with two sub-slot based HARQ-ACK codebook simultaneously constructed for supporting HARQ-ACK codebooks with different priorities by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49-6b</w:t>
      </w:r>
      <w:r>
        <w:rPr>
          <w:rFonts w:eastAsia="ＭＳ 明朝"/>
          <w:sz w:val="22"/>
          <w:szCs w:val="22"/>
          <w:lang w:val="en-US"/>
        </w:rPr>
        <w:tab/>
      </w:r>
      <w:r>
        <w:rPr>
          <w:rFonts w:eastAsia="ＭＳ 明朝"/>
          <w:sz w:val="22"/>
          <w:szCs w:val="22"/>
          <w:lang w:val="en-US"/>
        </w:rPr>
        <w:t>DL priority indication in DCI with mixed DCI formats including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49-7</w:t>
      </w:r>
      <w:r>
        <w:rPr>
          <w:rFonts w:eastAsia="ＭＳ 明朝"/>
          <w:sz w:val="22"/>
          <w:szCs w:val="22"/>
          <w:lang w:val="en-US"/>
        </w:rPr>
        <w:tab/>
      </w:r>
      <w:r>
        <w:rPr>
          <w:rFonts w:eastAsia="ＭＳ 明朝"/>
          <w:sz w:val="22"/>
          <w:szCs w:val="22"/>
          <w:lang w:val="en-US"/>
        </w:rPr>
        <w:t>UL intra-UE multiplexing/prioritization of overlapping channel/signals with two priority levels in physical layer for DCI format 1_3/0_3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49-7a</w:t>
      </w:r>
      <w:r>
        <w:rPr>
          <w:rFonts w:eastAsia="ＭＳ 明朝"/>
          <w:sz w:val="22"/>
          <w:szCs w:val="22"/>
          <w:lang w:val="en-US"/>
        </w:rPr>
        <w:tab/>
      </w:r>
      <w:r>
        <w:rPr>
          <w:rFonts w:eastAsia="ＭＳ 明朝"/>
          <w:sz w:val="22"/>
          <w:szCs w:val="22"/>
          <w:lang w:val="en-US"/>
        </w:rPr>
        <w:t>UL priority indication in DCI with mixed DCI formats including DCI format 0_3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49-8</w:t>
      </w:r>
      <w:r>
        <w:rPr>
          <w:rFonts w:eastAsia="ＭＳ 明朝"/>
          <w:sz w:val="22"/>
          <w:szCs w:val="22"/>
          <w:lang w:val="en-US"/>
        </w:rPr>
        <w:tab/>
      </w:r>
      <w:r>
        <w:rPr>
          <w:rFonts w:eastAsia="ＭＳ 明朝"/>
          <w:sz w:val="22"/>
          <w:szCs w:val="22"/>
          <w:lang w:val="en-US"/>
        </w:rPr>
        <w:t>Triggered HARQ-ACK codebook re-transmission for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49-9</w:t>
      </w:r>
      <w:r>
        <w:rPr>
          <w:rFonts w:eastAsia="ＭＳ 明朝"/>
          <w:sz w:val="22"/>
          <w:szCs w:val="22"/>
          <w:lang w:val="en-US"/>
        </w:rPr>
        <w:tab/>
      </w:r>
      <w:r>
        <w:rPr>
          <w:rFonts w:eastAsia="ＭＳ 明朝"/>
          <w:sz w:val="22"/>
          <w:szCs w:val="22"/>
          <w:lang w:val="en-US"/>
        </w:rPr>
        <w:t>SCell dormancy indication within active time in DCI format 0_3/1_3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49-10</w:t>
      </w:r>
      <w:r>
        <w:rPr>
          <w:rFonts w:eastAsia="ＭＳ 明朝"/>
          <w:sz w:val="22"/>
          <w:szCs w:val="22"/>
          <w:lang w:val="en-US"/>
        </w:rPr>
        <w:tab/>
      </w:r>
      <w:r>
        <w:rPr>
          <w:rFonts w:eastAsia="ＭＳ 明朝"/>
          <w:sz w:val="22"/>
          <w:szCs w:val="22"/>
          <w:lang w:val="en-US"/>
        </w:rPr>
        <w:t>Dynamic indication of applicable minimum scheduling restriction by DCI format 0_3/1_3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49-11</w:t>
      </w:r>
      <w:r>
        <w:rPr>
          <w:rFonts w:eastAsia="ＭＳ 明朝"/>
          <w:sz w:val="22"/>
          <w:szCs w:val="22"/>
          <w:lang w:val="en-US"/>
        </w:rPr>
        <w:tab/>
      </w:r>
      <w:r>
        <w:rPr>
          <w:rFonts w:eastAsia="ＭＳ 明朝"/>
          <w:sz w:val="22"/>
          <w:szCs w:val="22"/>
          <w:lang w:val="en-US"/>
        </w:rPr>
        <w:t>PHY priority indication for one-shot HARQ-ACK feedback triggered by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49-12</w:t>
      </w:r>
      <w:r>
        <w:rPr>
          <w:rFonts w:eastAsia="ＭＳ 明朝"/>
          <w:sz w:val="22"/>
          <w:szCs w:val="22"/>
          <w:lang w:val="en-US"/>
        </w:rPr>
        <w:tab/>
      </w:r>
      <w:r>
        <w:rPr>
          <w:rFonts w:eastAsia="ＭＳ 明朝"/>
          <w:sz w:val="22"/>
          <w:szCs w:val="22"/>
          <w:lang w:val="en-US"/>
        </w:rPr>
        <w:t>Unified TCI with joint DL/UL TCI update by DCI format 1_3 for intra-cell beam management with more than one MAC-CE activated joint TCI state per CC</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49-12a</w:t>
      </w:r>
      <w:r>
        <w:rPr>
          <w:rFonts w:eastAsia="ＭＳ 明朝"/>
          <w:sz w:val="22"/>
          <w:szCs w:val="22"/>
          <w:lang w:val="en-US"/>
        </w:rPr>
        <w:tab/>
      </w:r>
      <w:r>
        <w:rPr>
          <w:rFonts w:eastAsia="ＭＳ 明朝"/>
          <w:sz w:val="22"/>
          <w:szCs w:val="22"/>
          <w:lang w:val="en-US"/>
        </w:rPr>
        <w:t>Unified TCI with separate DL/UL TCI update by DCI format 1_3 for intra-cell beam management with more than one MAC-CE activated separate TCI state per CC</w:t>
      </w:r>
    </w:p>
    <w:bookmarkEnd w:id="2"/>
    <w:p>
      <w:pPr>
        <w:pStyle w:val="95"/>
        <w:numPr>
          <w:ilvl w:val="0"/>
          <w:numId w:val="13"/>
        </w:numPr>
        <w:spacing w:after="120" w:afterLines="50"/>
        <w:ind w:leftChars="0"/>
        <w:jc w:val="both"/>
        <w:rPr>
          <w:rFonts w:eastAsia="ＭＳ 明朝"/>
          <w:sz w:val="22"/>
          <w:szCs w:val="22"/>
          <w:lang w:val="en-US"/>
        </w:rPr>
      </w:pPr>
      <w:r>
        <w:rPr>
          <w:rFonts w:hint="eastAsia" w:eastAsia="ＭＳ 明朝"/>
          <w:sz w:val="22"/>
          <w:szCs w:val="22"/>
          <w:lang w:val="en-US"/>
        </w:rPr>
        <w:t>F</w:t>
      </w:r>
      <w:r>
        <w:rPr>
          <w:rFonts w:eastAsia="ＭＳ 明朝"/>
          <w:sz w:val="22"/>
          <w:szCs w:val="22"/>
          <w:lang w:val="en-US"/>
        </w:rPr>
        <w:t>Gs for multi-carrier UL Tx switching scheme</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r>
      <w:r>
        <w:rPr>
          <w:rFonts w:eastAsia="ＭＳ 明朝"/>
          <w:sz w:val="22"/>
          <w:szCs w:val="22"/>
          <w:lang w:val="en-US"/>
        </w:rPr>
        <w:t>Supported switching option for each band pair in the band combination for UL Tx switching across more than 2 bands</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r>
      <w:r>
        <w:rPr>
          <w:rFonts w:eastAsia="ＭＳ 明朝"/>
          <w:sz w:val="22"/>
          <w:szCs w:val="22"/>
          <w:lang w:val="en-US"/>
        </w:rPr>
        <w:t>Minimum separation time for two uplink switching on more than 2 bands within any two consecutive reference slots</w:t>
      </w:r>
    </w:p>
    <w:p>
      <w:pPr>
        <w:spacing w:after="120" w:afterLines="50"/>
        <w:jc w:val="both"/>
        <w:rPr>
          <w:rFonts w:eastAsia="ＭＳ 明朝"/>
          <w:sz w:val="22"/>
          <w:szCs w:val="22"/>
          <w:lang w:val="en-US"/>
        </w:rPr>
      </w:pPr>
    </w:p>
    <w:p>
      <w:pPr>
        <w:rPr>
          <w:sz w:val="22"/>
        </w:rPr>
        <w:sectPr>
          <w:footerReference r:id="rId5" w:type="default"/>
          <w:pgSz w:w="12240" w:h="15840"/>
          <w:pgMar w:top="851" w:right="1134" w:bottom="567" w:left="1134" w:header="720" w:footer="720" w:gutter="0"/>
          <w:cols w:space="720" w:num="1"/>
          <w:docGrid w:linePitch="326" w:charSpace="0"/>
        </w:sectPr>
      </w:pPr>
    </w:p>
    <w:p>
      <w:pPr>
        <w:pStyle w:val="2"/>
        <w:numPr>
          <w:ilvl w:val="0"/>
          <w:numId w:val="12"/>
        </w:numPr>
        <w:spacing w:before="180" w:after="120"/>
        <w:rPr>
          <w:rFonts w:eastAsia="ＭＳ 明朝"/>
          <w:b/>
          <w:bCs/>
          <w:szCs w:val="24"/>
          <w:lang w:val="en-US"/>
        </w:rPr>
      </w:pPr>
      <w:r>
        <w:rPr>
          <w:rFonts w:eastAsia="ＭＳ 明朝"/>
          <w:b/>
          <w:bCs/>
          <w:szCs w:val="24"/>
          <w:lang w:val="en-US"/>
        </w:rPr>
        <w:t>FGs for multi-cell PUSCH/PDSCH scheduling with a single DCI</w:t>
      </w:r>
    </w:p>
    <w:p>
      <w:pPr>
        <w:spacing w:after="120" w:afterLines="50"/>
        <w:jc w:val="both"/>
        <w:rPr>
          <w:sz w:val="22"/>
          <w:lang w:val="en-US"/>
        </w:rPr>
      </w:pPr>
      <w:r>
        <w:rPr>
          <w:rFonts w:hint="eastAsia"/>
          <w:sz w:val="22"/>
          <w:lang w:val="en-US"/>
        </w:rPr>
        <w:t>F</w:t>
      </w:r>
      <w:r>
        <w:rPr>
          <w:sz w:val="22"/>
          <w:lang w:val="en-US"/>
        </w:rPr>
        <w:t>ollowing inputs are provided in contributions for the RAN1#11</w:t>
      </w:r>
      <w:r>
        <w:rPr>
          <w:rFonts w:hint="eastAsia"/>
          <w:sz w:val="22"/>
          <w:lang w:val="en-US"/>
        </w:rPr>
        <w:t>8</w:t>
      </w:r>
      <w:r>
        <w:rPr>
          <w:sz w:val="22"/>
          <w:lang w:val="en-US"/>
        </w:rPr>
        <w:t xml:space="preserve"> meeting.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56"/>
        <w:gridCol w:w="1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[3]</w:t>
            </w:r>
          </w:p>
        </w:tc>
        <w:tc>
          <w:tcPr>
            <w:tcW w:w="1856" w:type="dxa"/>
          </w:tcPr>
          <w:p>
            <w:pPr>
              <w:overflowPunct w:val="0"/>
              <w:autoSpaceDE w:val="0"/>
              <w:autoSpaceDN w:val="0"/>
              <w:adjustRightInd w:val="0"/>
              <w:spacing w:after="0" w:line="240" w:lineRule="auto"/>
              <w:jc w:val="both"/>
              <w:textAlignment w:val="baseline"/>
              <w:rPr>
                <w:rFonts w:eastAsia="ＭＳ 明朝"/>
                <w:sz w:val="22"/>
                <w:szCs w:val="18"/>
              </w:rPr>
            </w:pPr>
            <w:r>
              <w:rPr>
                <w:sz w:val="22"/>
                <w:szCs w:val="18"/>
              </w:rPr>
              <w:t>ZTE Corporation, Sanechips</w:t>
            </w:r>
          </w:p>
        </w:tc>
        <w:tc>
          <w:tcPr>
            <w:tcW w:w="19889" w:type="dxa"/>
          </w:tcPr>
          <w:p>
            <w:pPr>
              <w:overflowPunct w:val="0"/>
              <w:autoSpaceDE w:val="0"/>
              <w:autoSpaceDN w:val="0"/>
              <w:adjustRightInd w:val="0"/>
              <w:spacing w:after="0" w:line="240" w:lineRule="auto"/>
              <w:textAlignment w:val="baseline"/>
              <w:rPr>
                <w:rFonts w:eastAsia="ＭＳ 明朝"/>
                <w:sz w:val="22"/>
              </w:rPr>
            </w:pPr>
            <w:bookmarkStart w:id="3" w:name="OLE_LINK15"/>
            <w:r>
              <w:rPr>
                <w:rFonts w:eastAsia="ＭＳ 明朝"/>
                <w:sz w:val="22"/>
              </w:rPr>
              <w:t>In previous RAN1 meetings, whether to introduce a new UE feature on DCI format 0_3/1_3 based BWP switching was discussed. 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 Therefore, there is no need to introduce feature group on DCI format 1_3/0_3 based BWP switching.</w:t>
            </w:r>
          </w:p>
          <w:p>
            <w:pPr>
              <w:overflowPunct w:val="0"/>
              <w:autoSpaceDE w:val="0"/>
              <w:autoSpaceDN w:val="0"/>
              <w:adjustRightInd w:val="0"/>
              <w:spacing w:after="0" w:line="240" w:lineRule="auto"/>
              <w:textAlignment w:val="baseline"/>
              <w:rPr>
                <w:rFonts w:eastAsia="ＭＳ 明朝"/>
                <w:i/>
                <w:sz w:val="22"/>
              </w:rPr>
            </w:pPr>
            <w:r>
              <w:rPr>
                <w:rFonts w:eastAsia="ＭＳ 明朝"/>
                <w:b/>
                <w:i/>
                <w:sz w:val="22"/>
              </w:rPr>
              <w:t>Proposal 1:</w:t>
            </w:r>
            <w:r>
              <w:rPr>
                <w:rFonts w:eastAsia="ＭＳ 明朝"/>
                <w:i/>
                <w:sz w:val="22"/>
              </w:rPr>
              <w:t xml:space="preserve"> There is no need to introduce feature group for DCI format 1_3/0_3 based BWP switching.</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[4]</w:t>
            </w:r>
          </w:p>
        </w:tc>
        <w:tc>
          <w:tcPr>
            <w:tcW w:w="1856" w:type="dxa"/>
          </w:tcPr>
          <w:p>
            <w:pPr>
              <w:overflowPunct w:val="0"/>
              <w:autoSpaceDE w:val="0"/>
              <w:autoSpaceDN w:val="0"/>
              <w:adjustRightInd w:val="0"/>
              <w:spacing w:after="0" w:line="240" w:lineRule="auto"/>
              <w:jc w:val="both"/>
              <w:textAlignment w:val="baseline"/>
              <w:rPr>
                <w:rFonts w:eastAsia="ＭＳ 明朝"/>
                <w:sz w:val="22"/>
                <w:szCs w:val="18"/>
              </w:rPr>
            </w:pPr>
            <w:r>
              <w:rPr>
                <w:sz w:val="22"/>
                <w:szCs w:val="18"/>
              </w:rPr>
              <w:t>OPPO</w:t>
            </w:r>
          </w:p>
        </w:tc>
        <w:tc>
          <w:tcPr>
            <w:tcW w:w="19889" w:type="dxa"/>
          </w:tcPr>
          <w:p>
            <w:p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In the existing UE feature framework, there are already following FGs being defined for BWP switching:</w:t>
            </w:r>
          </w:p>
          <w:p>
            <w:pPr>
              <w:numPr>
                <w:ilvl w:val="0"/>
                <w:numId w:val="14"/>
              </w:num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FG6-2: Type A BWP adaptation with same numerology;</w:t>
            </w:r>
          </w:p>
          <w:p>
            <w:pPr>
              <w:numPr>
                <w:ilvl w:val="0"/>
                <w:numId w:val="14"/>
              </w:num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FG6-3: Type B BWP adaptation with same numerology;</w:t>
            </w:r>
          </w:p>
          <w:p>
            <w:pPr>
              <w:numPr>
                <w:ilvl w:val="0"/>
                <w:numId w:val="14"/>
              </w:num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FG6-4: BWP adaptation with different numerologies;</w:t>
            </w:r>
          </w:p>
          <w:p>
            <w:p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 xml:space="preserve">where each of above three FGs has a component stating “Active BWP switching by DCI and timer”, which seems to give a good reason for not defining new FGs for BWP switching using DCI 0_3/1_3. However, the above two proposed new FGs are still motivated by the following rational: </w:t>
            </w:r>
          </w:p>
          <w:p>
            <w:pPr>
              <w:numPr>
                <w:ilvl w:val="0"/>
                <w:numId w:val="15"/>
              </w:num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 xml:space="preserve">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 This issue actually marks one of differences between DCI 0_2/1_2 (whose capability is per UE) and DCI 0_3/1_3 (whose capability is per BC) when it comes to capability interpretation in combination of {FG11-1 vs. FG49-1/2} and FG6-2/3/4. In other words, the way of capability signaling design of BWP switching based on legacy DCI such as DCI 0_2/1_2 may not fit well for the one based on DCI 0_3/1_3. </w:t>
            </w:r>
          </w:p>
          <w:p>
            <w:pPr>
              <w:numPr>
                <w:ilvl w:val="0"/>
                <w:numId w:val="15"/>
              </w:num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pPr>
              <w:numPr>
                <w:ilvl w:val="1"/>
                <w:numId w:val="15"/>
              </w:num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 xml:space="preserve">UE supports both BWP switching with </w:t>
            </w:r>
            <w:r>
              <w:rPr>
                <w:rFonts w:eastAsia="ＭＳ 明朝"/>
                <w:b/>
                <w:i/>
                <w:sz w:val="22"/>
                <w:lang w:val="en-US"/>
              </w:rPr>
              <w:t>same</w:t>
            </w:r>
            <w:r>
              <w:rPr>
                <w:rFonts w:eastAsia="ＭＳ 明朝"/>
                <w:sz w:val="22"/>
                <w:lang w:val="en-US"/>
              </w:rPr>
              <w:t xml:space="preserve"> numerology and BWP switching with </w:t>
            </w:r>
            <w:r>
              <w:rPr>
                <w:rFonts w:eastAsia="ＭＳ 明朝"/>
                <w:b/>
                <w:i/>
                <w:sz w:val="22"/>
                <w:lang w:val="en-US"/>
              </w:rPr>
              <w:t>different</w:t>
            </w:r>
            <w:r>
              <w:rPr>
                <w:rFonts w:eastAsia="ＭＳ 明朝"/>
                <w:sz w:val="22"/>
                <w:lang w:val="en-US"/>
              </w:rPr>
              <w:t xml:space="preserve"> numerologies (within a band) for DCI formats up to Rel-17; and meanwhile</w:t>
            </w:r>
          </w:p>
          <w:p>
            <w:pPr>
              <w:numPr>
                <w:ilvl w:val="1"/>
                <w:numId w:val="15"/>
              </w:numPr>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 xml:space="preserve">UE supports BWP switching with </w:t>
            </w:r>
            <w:r>
              <w:rPr>
                <w:rFonts w:eastAsia="ＭＳ 明朝"/>
                <w:b/>
                <w:i/>
                <w:sz w:val="22"/>
                <w:lang w:val="en-US"/>
              </w:rPr>
              <w:t>same</w:t>
            </w:r>
            <w:r>
              <w:rPr>
                <w:rFonts w:eastAsia="ＭＳ 明朝"/>
                <w:sz w:val="22"/>
                <w:lang w:val="en-US"/>
              </w:rPr>
              <w:t xml:space="preserve"> numerology based on DCI 0_3/1_3, but has no capability for BWP switching with </w:t>
            </w:r>
            <w:r>
              <w:rPr>
                <w:rFonts w:eastAsia="ＭＳ 明朝"/>
                <w:b/>
                <w:i/>
                <w:sz w:val="22"/>
                <w:lang w:val="en-US"/>
              </w:rPr>
              <w:t>different</w:t>
            </w:r>
            <w:r>
              <w:rPr>
                <w:rFonts w:eastAsia="ＭＳ 明朝"/>
                <w:sz w:val="22"/>
                <w:lang w:val="en-US"/>
              </w:rPr>
              <w:t xml:space="preserve"> numerologies based on DCI 0_3/1_3 (even though the UE may support FG49-1b for the BC’s).   </w:t>
            </w:r>
          </w:p>
          <w:p>
            <w:pPr>
              <w:overflowPunct w:val="0"/>
              <w:autoSpaceDE w:val="0"/>
              <w:autoSpaceDN w:val="0"/>
              <w:adjustRightInd w:val="0"/>
              <w:spacing w:after="0" w:line="240" w:lineRule="auto"/>
              <w:textAlignment w:val="baseline"/>
              <w:rPr>
                <w:rFonts w:eastAsia="ＭＳ 明朝"/>
                <w:bCs/>
                <w:iCs/>
                <w:sz w:val="22"/>
                <w:lang w:val="en-US"/>
              </w:rPr>
            </w:pPr>
            <w:r>
              <w:rPr>
                <w:rFonts w:eastAsia="ＭＳ 明朝"/>
                <w:bCs/>
                <w:iCs/>
                <w:sz w:val="22"/>
                <w:lang w:val="en-US"/>
              </w:rPr>
              <w:t xml:space="preserve">Based on above analysis, we think it is necessary to define new FGs as proposed in RAN1 #117.  </w:t>
            </w:r>
          </w:p>
          <w:p>
            <w:pPr>
              <w:overflowPunct w:val="0"/>
              <w:autoSpaceDE w:val="0"/>
              <w:autoSpaceDN w:val="0"/>
              <w:adjustRightInd w:val="0"/>
              <w:spacing w:after="0" w:line="240" w:lineRule="auto"/>
              <w:textAlignment w:val="baseline"/>
              <w:rPr>
                <w:rFonts w:eastAsia="ＭＳ 明朝"/>
                <w:b/>
                <w:bCs/>
                <w:i/>
                <w:iCs/>
                <w:sz w:val="22"/>
                <w:lang w:val="en-US"/>
              </w:rPr>
            </w:pPr>
            <w:r>
              <w:rPr>
                <w:rFonts w:eastAsia="ＭＳ 明朝"/>
                <w:b/>
                <w:bCs/>
                <w:i/>
                <w:iCs/>
                <w:sz w:val="22"/>
                <w:lang w:val="en-US"/>
              </w:rPr>
              <w:t xml:space="preserve">Proposal 1: Introduce new FGs as in </w:t>
            </w:r>
            <w:r>
              <w:rPr>
                <w:rFonts w:eastAsia="ＭＳ 明朝"/>
                <w:b/>
                <w:i/>
                <w:sz w:val="22"/>
                <w:lang w:val="en-US"/>
              </w:rPr>
              <w:t>Proposal 2-5-1 and Proposal 2-5-2 in R1-2405611</w:t>
            </w:r>
            <w:r>
              <w:rPr>
                <w:rFonts w:eastAsia="ＭＳ 明朝"/>
                <w:b/>
                <w:bCs/>
                <w:i/>
                <w:iCs/>
                <w:sz w:val="22"/>
                <w:lang w:val="en-US"/>
              </w:rPr>
              <w:t xml:space="preserve">; otherwise the UE capability of DCI0_3/1_3-based BWP switching is understood to have a per-FS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[5]</w:t>
            </w:r>
          </w:p>
        </w:tc>
        <w:tc>
          <w:tcPr>
            <w:tcW w:w="1856" w:type="dxa"/>
          </w:tcPr>
          <w:p>
            <w:pPr>
              <w:overflowPunct w:val="0"/>
              <w:autoSpaceDE w:val="0"/>
              <w:autoSpaceDN w:val="0"/>
              <w:adjustRightInd w:val="0"/>
              <w:spacing w:after="0" w:line="240" w:lineRule="auto"/>
              <w:jc w:val="both"/>
              <w:textAlignment w:val="baseline"/>
              <w:rPr>
                <w:rFonts w:eastAsia="ＭＳ 明朝"/>
                <w:sz w:val="22"/>
                <w:szCs w:val="18"/>
              </w:rPr>
            </w:pPr>
            <w:r>
              <w:rPr>
                <w:sz w:val="22"/>
                <w:szCs w:val="18"/>
              </w:rPr>
              <w:t>Samsung</w:t>
            </w:r>
          </w:p>
        </w:tc>
        <w:tc>
          <w:tcPr>
            <w:tcW w:w="19889" w:type="dxa"/>
          </w:tcPr>
          <w:p>
            <w:pPr>
              <w:pStyle w:val="14"/>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FGs 49-12 and 49-12a were agreed in RAN1#117 to indicate UE support for unified TCI indication via DCI format 1_3, as captured in the Moderator summary [1].</w:t>
            </w:r>
          </w:p>
          <w:p>
            <w:pPr>
              <w:pStyle w:val="14"/>
              <w:overflowPunct w:val="0"/>
              <w:autoSpaceDE w:val="0"/>
              <w:autoSpaceDN w:val="0"/>
              <w:adjustRightInd w:val="0"/>
              <w:spacing w:after="0" w:line="240" w:lineRule="auto"/>
              <w:textAlignment w:val="baseline"/>
              <w:rPr>
                <w:rFonts w:eastAsia="ＭＳ 明朝"/>
                <w:sz w:val="22"/>
                <w:lang w:val="en-US"/>
              </w:rPr>
            </w:pPr>
            <w:r>
              <w:rPr>
                <w:rFonts w:eastAsia="ＭＳ 明朝"/>
                <w:sz w:val="22"/>
                <w:lang w:val="en-US"/>
              </w:rPr>
              <w:t>However, two clarifications are still needed for those FGs:</w:t>
            </w:r>
          </w:p>
          <w:p>
            <w:pPr>
              <w:pStyle w:val="14"/>
              <w:numPr>
                <w:ilvl w:val="0"/>
                <w:numId w:val="16"/>
              </w:numPr>
              <w:overflowPunct w:val="0"/>
              <w:autoSpaceDE w:val="0"/>
              <w:autoSpaceDN w:val="0"/>
              <w:adjustRightInd w:val="0"/>
              <w:spacing w:line="240" w:lineRule="auto"/>
              <w:textAlignment w:val="baseline"/>
              <w:rPr>
                <w:rFonts w:eastAsia="ＭＳ 明朝"/>
                <w:sz w:val="22"/>
                <w:lang w:val="zh-CN"/>
              </w:rPr>
            </w:pPr>
            <w:r>
              <w:rPr>
                <w:rFonts w:eastAsia="ＭＳ 明朝"/>
                <w:sz w:val="22"/>
                <w:lang w:val="en-US"/>
              </w:rPr>
              <w:t xml:space="preserve">Unlike the corresponding single-carrier FG 23-1-1b, the term “inter-cell” beam management is discarded from the name of FG 49-12. There was a comment that “inter-cell case should be further discussed as it is not clear whether it can be supported together with MC scheduling” [1]. It is noted that RAN1 has not agreed to any restriction for multi-cell scheduling to be limited to intra-band CA, including for any of the FG 49-n series. As can be seen from the prerequisites FG 49-1 and 49-1b, the only applicable constraint is to have same SCS and carrier type among the co-scheduled cells, which can be applicable for both intra-band CA and inter-band CA. In addition, unified TCI state indication can be combined with CC lists </w:t>
            </w:r>
            <w:r>
              <w:rPr>
                <w:rFonts w:eastAsia="ＭＳ 明朝"/>
                <w:i/>
                <w:iCs/>
                <w:sz w:val="22"/>
              </w:rPr>
              <w:t>simultaneousU-TCI-UpdateList1/2/3/4</w:t>
            </w:r>
            <w:r>
              <w:rPr>
                <w:rFonts w:eastAsia="ＭＳ 明朝"/>
                <w:sz w:val="22"/>
                <w:lang w:val="en-US"/>
              </w:rPr>
              <w:t xml:space="preserve"> that extend the indication well beyond intra-band CA. There is no motivation or need to limit FG 49-12 only to “intra-band” CA, hence the FG name should be updated. As a side note, there is no need to change the name of FG 49-12a, as the inter-band CA for that FG is already clarified to be possible, similar to the legacy FG 23-10-1b, when FG 23-10-1m is supported. </w:t>
            </w:r>
          </w:p>
          <w:p>
            <w:pPr>
              <w:pStyle w:val="14"/>
              <w:overflowPunct w:val="0"/>
              <w:autoSpaceDE w:val="0"/>
              <w:autoSpaceDN w:val="0"/>
              <w:adjustRightInd w:val="0"/>
              <w:spacing w:line="240" w:lineRule="auto"/>
              <w:textAlignment w:val="baseline"/>
              <w:rPr>
                <w:rFonts w:eastAsia="ＭＳ 明朝"/>
                <w:sz w:val="22"/>
                <w:lang w:val="zh-CN"/>
              </w:rPr>
            </w:pPr>
          </w:p>
          <w:p>
            <w:pPr>
              <w:pStyle w:val="14"/>
              <w:numPr>
                <w:ilvl w:val="0"/>
                <w:numId w:val="16"/>
              </w:numPr>
              <w:overflowPunct w:val="0"/>
              <w:autoSpaceDE w:val="0"/>
              <w:autoSpaceDN w:val="0"/>
              <w:adjustRightInd w:val="0"/>
              <w:spacing w:line="240" w:lineRule="auto"/>
              <w:textAlignment w:val="baseline"/>
              <w:rPr>
                <w:rFonts w:eastAsia="ＭＳ 明朝"/>
                <w:sz w:val="22"/>
                <w:lang w:val="zh-CN"/>
              </w:rPr>
            </w:pPr>
            <w:r>
              <w:rPr>
                <w:rFonts w:eastAsia="ＭＳ 明朝"/>
                <w:sz w:val="22"/>
                <w:lang w:val="en-US"/>
              </w:rPr>
              <w:t>The description of component 1 of FGs 49-12 and FG 49-12a were intentionally left high-level and open-ended in RAN1#117 in anticipation of RAN1 decision in the maintenance session. Such progress was achieved in RAN1#117 and the following CR was agreed [2]. This CR clarifies a ‘DL assignment’ condition similar to that considered in the legacy FGs 23-1-1b and 23-10-1b for single-cell scheduling, and it can be reflected in the new FGs 49-12 and 49-12a for multi-cell scheduling.</w:t>
            </w:r>
          </w:p>
          <w:p>
            <w:pPr>
              <w:pStyle w:val="14"/>
              <w:overflowPunct w:val="0"/>
              <w:autoSpaceDE w:val="0"/>
              <w:autoSpaceDN w:val="0"/>
              <w:adjustRightInd w:val="0"/>
              <w:spacing w:line="240" w:lineRule="auto"/>
              <w:textAlignment w:val="baseline"/>
              <w:rPr>
                <w:rFonts w:eastAsia="ＭＳ 明朝"/>
                <w:sz w:val="22"/>
                <w:lang w:val="zh-CN"/>
              </w:rPr>
            </w:pPr>
          </w:p>
          <w:p>
            <w:pPr>
              <w:pStyle w:val="14"/>
              <w:overflowPunct w:val="0"/>
              <w:autoSpaceDE w:val="0"/>
              <w:autoSpaceDN w:val="0"/>
              <w:adjustRightInd w:val="0"/>
              <w:spacing w:after="0" w:line="240" w:lineRule="auto"/>
              <w:textAlignment w:val="baseline"/>
              <w:rPr>
                <w:rFonts w:eastAsia="ＭＳ 明朝"/>
                <w:sz w:val="22"/>
                <w:lang w:val="en-US"/>
              </w:rPr>
            </w:pPr>
          </w:p>
          <w:tbl>
            <w:tblPr>
              <w:tblStyle w:val="12"/>
              <w:tblW w:w="5000" w:type="pct"/>
              <w:jc w:val="center"/>
              <w:tblLayout w:type="autofit"/>
              <w:tblCellMar>
                <w:top w:w="0" w:type="dxa"/>
                <w:left w:w="108" w:type="dxa"/>
                <w:bottom w:w="0" w:type="dxa"/>
                <w:right w:w="108" w:type="dxa"/>
              </w:tblCellMar>
            </w:tblPr>
            <w:tblGrid>
              <w:gridCol w:w="19673"/>
            </w:tblGrid>
            <w:tr>
              <w:tblPrEx>
                <w:tblCellMar>
                  <w:top w:w="0" w:type="dxa"/>
                  <w:left w:w="108" w:type="dxa"/>
                  <w:bottom w:w="0" w:type="dxa"/>
                  <w:right w:w="108" w:type="dxa"/>
                </w:tblCellMar>
              </w:tblPrEx>
              <w:trPr>
                <w:jc w:val="center"/>
              </w:trPr>
              <w:tc>
                <w:tcPr>
                  <w:tcW w:w="5000" w:type="pct"/>
                  <w:tcBorders>
                    <w:top w:val="single" w:color="000000" w:sz="4" w:space="0"/>
                    <w:left w:val="single" w:color="000000" w:sz="4" w:space="0"/>
                    <w:bottom w:val="single" w:color="000000" w:sz="4" w:space="0"/>
                    <w:right w:val="single" w:color="000000" w:sz="4" w:space="0"/>
                  </w:tcBorders>
                </w:tcPr>
                <w:p>
                  <w:pPr>
                    <w:pStyle w:val="14"/>
                    <w:overflowPunct w:val="0"/>
                    <w:autoSpaceDE w:val="0"/>
                    <w:autoSpaceDN w:val="0"/>
                    <w:adjustRightInd w:val="0"/>
                    <w:spacing w:after="0" w:line="240" w:lineRule="auto"/>
                    <w:textAlignment w:val="baseline"/>
                    <w:rPr>
                      <w:rFonts w:eastAsia="ＭＳ 明朝"/>
                      <w:b/>
                      <w:bCs/>
                      <w:sz w:val="22"/>
                      <w:lang w:val="en-US"/>
                    </w:rPr>
                  </w:pPr>
                  <w:r>
                    <w:rPr>
                      <w:rFonts w:eastAsia="ＭＳ 明朝"/>
                      <w:b/>
                      <w:bCs/>
                      <w:sz w:val="22"/>
                      <w:lang w:val="en-US"/>
                    </w:rPr>
                    <w:t>Excerpt from TS 38.214 v18.3.0 – Clause 5.1.5</w:t>
                  </w:r>
                </w:p>
                <w:p>
                  <w:pPr>
                    <w:pStyle w:val="14"/>
                    <w:overflowPunct w:val="0"/>
                    <w:autoSpaceDE w:val="0"/>
                    <w:autoSpaceDN w:val="0"/>
                    <w:adjustRightInd w:val="0"/>
                    <w:spacing w:after="0"/>
                    <w:textAlignment w:val="baseline"/>
                    <w:rPr>
                      <w:rFonts w:eastAsia="ＭＳ 明朝"/>
                      <w:sz w:val="22"/>
                    </w:rPr>
                  </w:pPr>
                  <w:r>
                    <w:rPr>
                      <w:rFonts w:eastAsia="ＭＳ 明朝"/>
                      <w:sz w:val="22"/>
                      <w:lang w:val="en-US"/>
                    </w:rPr>
                    <w:t xml:space="preserve">When </w:t>
                  </w:r>
                  <w:r>
                    <w:rPr>
                      <w:rFonts w:eastAsia="ＭＳ 明朝"/>
                      <w:i/>
                      <w:sz w:val="22"/>
                      <w:lang w:val="en-US"/>
                    </w:rPr>
                    <w:t xml:space="preserve">tci-PresentInDCI </w:t>
                  </w:r>
                  <w:r>
                    <w:rPr>
                      <w:rFonts w:eastAsia="ＭＳ 明朝"/>
                      <w:sz w:val="22"/>
                      <w:lang w:val="en-US"/>
                    </w:rPr>
                    <w:t xml:space="preserve">is set as 'enabled' or </w:t>
                  </w:r>
                  <w:r>
                    <w:rPr>
                      <w:rFonts w:eastAsia="ＭＳ 明朝"/>
                      <w:i/>
                      <w:sz w:val="22"/>
                      <w:lang w:val="en-US"/>
                    </w:rPr>
                    <w:t xml:space="preserve">tci-PresentDCI-1-2 </w:t>
                  </w:r>
                  <w:r>
                    <w:rPr>
                      <w:rFonts w:eastAsia="ＭＳ 明朝"/>
                      <w:sz w:val="22"/>
                      <w:lang w:val="en-US"/>
                    </w:rPr>
                    <w:t xml:space="preserve">is configured for the CORESET, a UE configured with </w:t>
                  </w:r>
                  <w:r>
                    <w:rPr>
                      <w:rFonts w:eastAsia="ＭＳ 明朝"/>
                      <w:i/>
                      <w:iCs/>
                      <w:sz w:val="22"/>
                      <w:lang w:val="en-US"/>
                    </w:rPr>
                    <w:t>dl-OrJointTCI-StateList</w:t>
                  </w:r>
                  <w:r>
                    <w:rPr>
                      <w:rFonts w:eastAsia="ＭＳ 明朝"/>
                      <w:sz w:val="22"/>
                      <w:lang w:val="en-US"/>
                    </w:rPr>
                    <w:t xml:space="preserve"> with activated </w:t>
                  </w:r>
                  <w:r>
                    <w:rPr>
                      <w:rFonts w:eastAsia="ＭＳ 明朝"/>
                      <w:i/>
                      <w:iCs/>
                      <w:sz w:val="22"/>
                      <w:lang w:val="en-US"/>
                    </w:rPr>
                    <w:t xml:space="preserve">TCI-State </w:t>
                  </w:r>
                  <w:r>
                    <w:rPr>
                      <w:rFonts w:eastAsia="ＭＳ 明朝"/>
                      <w:sz w:val="22"/>
                      <w:lang w:val="en-US"/>
                    </w:rPr>
                    <w:t xml:space="preserve">or </w:t>
                  </w:r>
                  <w:r>
                    <w:rPr>
                      <w:rFonts w:eastAsia="ＭＳ 明朝"/>
                      <w:i/>
                      <w:iCs/>
                      <w:sz w:val="22"/>
                      <w:lang w:val="en-US"/>
                    </w:rPr>
                    <w:t>ul-TCI-StateList</w:t>
                  </w:r>
                  <w:r>
                    <w:rPr>
                      <w:rFonts w:eastAsia="ＭＳ 明朝"/>
                      <w:sz w:val="22"/>
                      <w:lang w:val="en-US"/>
                    </w:rPr>
                    <w:t xml:space="preserve"> with activated</w:t>
                  </w:r>
                  <w:r>
                    <w:rPr>
                      <w:rFonts w:eastAsia="ＭＳ 明朝"/>
                      <w:i/>
                      <w:iCs/>
                      <w:sz w:val="22"/>
                      <w:lang w:val="en-US"/>
                    </w:rPr>
                    <w:t xml:space="preserve"> TCI-UL-State</w:t>
                  </w:r>
                  <w:r>
                    <w:rPr>
                      <w:rFonts w:eastAsia="ＭＳ 明朝"/>
                      <w:sz w:val="22"/>
                      <w:lang w:val="en-US"/>
                    </w:rPr>
                    <w:t xml:space="preserve"> receives DCI format 1_1/1_2/1_3 providing indicated</w:t>
                  </w:r>
                  <w:r>
                    <w:rPr>
                      <w:rFonts w:eastAsia="ＭＳ 明朝"/>
                      <w:i/>
                      <w:iCs/>
                      <w:sz w:val="22"/>
                      <w:lang w:val="en-US"/>
                    </w:rPr>
                    <w:t xml:space="preserve"> TCI-State(s)</w:t>
                  </w:r>
                  <w:r>
                    <w:rPr>
                      <w:rFonts w:eastAsia="ＭＳ 明朝"/>
                      <w:sz w:val="22"/>
                      <w:lang w:val="en-US"/>
                    </w:rPr>
                    <w:t xml:space="preserve"> and/or</w:t>
                  </w:r>
                  <w:r>
                    <w:rPr>
                      <w:rFonts w:eastAsia="ＭＳ 明朝"/>
                      <w:i/>
                      <w:iCs/>
                      <w:sz w:val="22"/>
                      <w:lang w:val="en-US"/>
                    </w:rPr>
                    <w:t xml:space="preserve"> TCI-UL-State(s) </w:t>
                  </w:r>
                  <w:r>
                    <w:rPr>
                      <w:rFonts w:eastAsia="ＭＳ 明朝"/>
                      <w:sz w:val="22"/>
                      <w:lang w:val="en-US"/>
                    </w:rPr>
                    <w:t>for a CC or all CCs in the same CC list configured by</w:t>
                  </w:r>
                  <w:r>
                    <w:rPr>
                      <w:rFonts w:eastAsia="ＭＳ 明朝"/>
                      <w:i/>
                      <w:iCs/>
                      <w:sz w:val="22"/>
                      <w:lang w:val="en-US"/>
                    </w:rPr>
                    <w:t xml:space="preserve"> simultaneousU-TCI-UpdateList1-r17, simultaneousU-TCI-UpdateList2-r17, simultaneousU-TCI-UpdateList3-r17, simultaneousU-TCI-UpdateList4-r17</w:t>
                  </w:r>
                  <w:r>
                    <w:rPr>
                      <w:rFonts w:eastAsia="ＭＳ 明朝"/>
                      <w:sz w:val="22"/>
                      <w:lang w:val="en-US"/>
                    </w:rPr>
                    <w:t xml:space="preserve">. The DCI format 1_3 provides </w:t>
                  </w:r>
                  <w:r>
                    <w:rPr>
                      <w:rFonts w:eastAsia="ＭＳ 明朝"/>
                      <w:sz w:val="22"/>
                      <w:lang w:val="zh-CN"/>
                    </w:rPr>
                    <w:t xml:space="preserve">indicated </w:t>
                  </w:r>
                  <w:r>
                    <w:rPr>
                      <w:rFonts w:eastAsia="ＭＳ 明朝"/>
                      <w:i/>
                      <w:sz w:val="22"/>
                      <w:lang w:val="zh-CN"/>
                    </w:rPr>
                    <w:t>TCI state(s)</w:t>
                  </w:r>
                  <w:r>
                    <w:rPr>
                      <w:rFonts w:eastAsia="ＭＳ 明朝"/>
                      <w:sz w:val="22"/>
                      <w:lang w:val="zh-CN"/>
                    </w:rPr>
                    <w:t xml:space="preserve"> </w:t>
                  </w:r>
                  <w:r>
                    <w:rPr>
                      <w:rFonts w:eastAsia="ＭＳ 明朝"/>
                      <w:sz w:val="22"/>
                      <w:lang w:val="en-US"/>
                    </w:rPr>
                    <w:t>and/or</w:t>
                  </w:r>
                  <w:r>
                    <w:rPr>
                      <w:rFonts w:eastAsia="ＭＳ 明朝"/>
                      <w:i/>
                      <w:iCs/>
                      <w:sz w:val="22"/>
                      <w:lang w:val="en-US"/>
                    </w:rPr>
                    <w:t xml:space="preserve"> TCI-UL-State(s) </w:t>
                  </w:r>
                  <w:r>
                    <w:rPr>
                      <w:rFonts w:eastAsia="ＭＳ 明朝"/>
                      <w:sz w:val="22"/>
                      <w:lang w:val="en-US"/>
                    </w:rPr>
                    <w:t xml:space="preserve">for the CC(s) in a </w:t>
                  </w:r>
                  <w:r>
                    <w:rPr>
                      <w:rFonts w:eastAsia="ＭＳ 明朝"/>
                      <w:i/>
                      <w:iCs/>
                      <w:sz w:val="22"/>
                      <w:lang w:val="en-US"/>
                    </w:rPr>
                    <w:t xml:space="preserve">scheduledCellListDCI-1-3 </w:t>
                  </w:r>
                  <w:r>
                    <w:rPr>
                      <w:rFonts w:eastAsia="ＭＳ 明朝"/>
                      <w:sz w:val="22"/>
                      <w:lang w:val="zh-CN"/>
                    </w:rPr>
                    <w:t xml:space="preserve">if the UE is scheduled by the DCI format 1_3 to receive PDSCH </w:t>
                  </w:r>
                  <w:r>
                    <w:rPr>
                      <w:rFonts w:eastAsia="ＭＳ 明朝"/>
                      <w:sz w:val="22"/>
                      <w:lang w:val="en-US"/>
                    </w:rPr>
                    <w:t xml:space="preserve">at least </w:t>
                  </w:r>
                  <w:r>
                    <w:rPr>
                      <w:rFonts w:eastAsia="ＭＳ 明朝"/>
                      <w:sz w:val="22"/>
                      <w:lang w:val="zh-CN"/>
                    </w:rPr>
                    <w:t xml:space="preserve">on </w:t>
                  </w:r>
                  <w:r>
                    <w:rPr>
                      <w:rFonts w:eastAsia="ＭＳ 明朝"/>
                      <w:sz w:val="22"/>
                      <w:lang w:val="en-US"/>
                    </w:rPr>
                    <w:t>on</w:t>
                  </w:r>
                  <w:r>
                    <w:rPr>
                      <w:rFonts w:eastAsia="ＭＳ 明朝"/>
                      <w:sz w:val="22"/>
                      <w:lang w:val="zh-CN"/>
                    </w:rPr>
                    <w:t xml:space="preserve">e serving cell </w:t>
                  </w:r>
                  <w:r>
                    <w:rPr>
                      <w:rFonts w:eastAsia="ＭＳ 明朝"/>
                      <w:sz w:val="22"/>
                      <w:lang w:val="en-US"/>
                    </w:rPr>
                    <w:t xml:space="preserve">in the </w:t>
                  </w:r>
                  <w:r>
                    <w:rPr>
                      <w:rFonts w:eastAsia="ＭＳ 明朝"/>
                      <w:i/>
                      <w:iCs/>
                      <w:sz w:val="22"/>
                      <w:lang w:val="en-US"/>
                    </w:rPr>
                    <w:t>scheduledCellListDCI-1-3</w:t>
                  </w:r>
                  <w:r>
                    <w:rPr>
                      <w:rFonts w:eastAsia="ＭＳ 明朝"/>
                      <w:sz w:val="22"/>
                      <w:lang w:val="en-US"/>
                    </w:rPr>
                    <w:t>. The DCI format 1_1/1_2 can be with or without, if applicable, DL assignment. If the DCI format 1_1/1_2 is without DL assignment, the UE can assume</w:t>
                  </w:r>
                </w:p>
              </w:tc>
            </w:tr>
          </w:tbl>
          <w:p>
            <w:pPr>
              <w:pStyle w:val="14"/>
              <w:overflowPunct w:val="0"/>
              <w:autoSpaceDE w:val="0"/>
              <w:autoSpaceDN w:val="0"/>
              <w:adjustRightInd w:val="0"/>
              <w:spacing w:after="0" w:line="240" w:lineRule="auto"/>
              <w:textAlignment w:val="baseline"/>
              <w:rPr>
                <w:rFonts w:eastAsia="ＭＳ 明朝"/>
                <w:sz w:val="22"/>
                <w:lang w:val="en-US"/>
              </w:rPr>
            </w:pPr>
          </w:p>
          <w:p>
            <w:pPr>
              <w:pStyle w:val="14"/>
              <w:overflowPunct w:val="0"/>
              <w:autoSpaceDE w:val="0"/>
              <w:autoSpaceDN w:val="0"/>
              <w:adjustRightInd w:val="0"/>
              <w:spacing w:line="240" w:lineRule="auto"/>
              <w:textAlignment w:val="baseline"/>
              <w:rPr>
                <w:rFonts w:eastAsia="ＭＳ 明朝"/>
                <w:b/>
                <w:sz w:val="22"/>
                <w:lang w:val="en-US"/>
              </w:rPr>
            </w:pPr>
            <w:r>
              <w:rPr>
                <w:rFonts w:eastAsia="ＭＳ 明朝"/>
                <w:b/>
                <w:sz w:val="22"/>
                <w:u w:val="single"/>
                <w:lang w:val="en-US"/>
              </w:rPr>
              <w:t>Proposal 1:</w:t>
            </w:r>
            <w:r>
              <w:rPr>
                <w:rFonts w:eastAsia="ＭＳ 明朝"/>
                <w:b/>
                <w:sz w:val="22"/>
                <w:lang w:val="en-US"/>
              </w:rPr>
              <w:t xml:space="preserve"> FGs 49-12 and 49-12a are updated as follows:</w:t>
            </w:r>
          </w:p>
          <w:p>
            <w:pPr>
              <w:pStyle w:val="14"/>
              <w:overflowPunct w:val="0"/>
              <w:autoSpaceDE w:val="0"/>
              <w:autoSpaceDN w:val="0"/>
              <w:adjustRightInd w:val="0"/>
              <w:spacing w:line="240" w:lineRule="auto"/>
              <w:textAlignment w:val="baseline"/>
              <w:rPr>
                <w:rFonts w:eastAsia="ＭＳ 明朝"/>
                <w:b/>
                <w:sz w:val="22"/>
                <w:lang w:val="en-US"/>
              </w:rPr>
            </w:pPr>
          </w:p>
          <w:p>
            <w:pPr>
              <w:pStyle w:val="14"/>
              <w:numPr>
                <w:ilvl w:val="0"/>
                <w:numId w:val="16"/>
              </w:numPr>
              <w:overflowPunct w:val="0"/>
              <w:autoSpaceDE w:val="0"/>
              <w:autoSpaceDN w:val="0"/>
              <w:adjustRightInd w:val="0"/>
              <w:spacing w:line="240" w:lineRule="auto"/>
              <w:textAlignment w:val="baseline"/>
              <w:rPr>
                <w:rFonts w:eastAsia="ＭＳ 明朝"/>
                <w:b/>
                <w:sz w:val="22"/>
                <w:lang w:val="zh-CN"/>
              </w:rPr>
            </w:pPr>
            <w:bookmarkStart w:id="4" w:name="_Hlk174289126"/>
            <w:r>
              <w:rPr>
                <w:rFonts w:eastAsia="ＭＳ 明朝"/>
                <w:b/>
                <w:sz w:val="22"/>
                <w:lang w:val="en-US"/>
              </w:rPr>
              <w:t>Update the name of FG 49-12 to include “inter-cell” beam management</w:t>
            </w:r>
            <w:bookmarkEnd w:id="4"/>
            <w:r>
              <w:rPr>
                <w:rFonts w:eastAsia="ＭＳ 明朝"/>
                <w:b/>
                <w:sz w:val="22"/>
                <w:lang w:val="en-US"/>
              </w:rPr>
              <w:t>;</w:t>
            </w:r>
          </w:p>
          <w:p>
            <w:pPr>
              <w:pStyle w:val="14"/>
              <w:numPr>
                <w:ilvl w:val="0"/>
                <w:numId w:val="16"/>
              </w:numPr>
              <w:overflowPunct w:val="0"/>
              <w:autoSpaceDE w:val="0"/>
              <w:autoSpaceDN w:val="0"/>
              <w:adjustRightInd w:val="0"/>
              <w:spacing w:line="240" w:lineRule="auto"/>
              <w:textAlignment w:val="baseline"/>
              <w:rPr>
                <w:rFonts w:eastAsia="ＭＳ 明朝"/>
                <w:b/>
                <w:sz w:val="22"/>
                <w:lang w:val="zh-CN"/>
              </w:rPr>
            </w:pPr>
            <w:r>
              <w:rPr>
                <w:rFonts w:eastAsia="ＭＳ 明朝"/>
                <w:b/>
                <w:sz w:val="22"/>
                <w:lang w:val="en-US"/>
              </w:rPr>
              <w:t>Clarify the DL assignment condition in Component 1 of both FGs 49-12/12a based on the CR agreed in [2];</w:t>
            </w:r>
          </w:p>
          <w:p>
            <w:pPr>
              <w:pStyle w:val="14"/>
              <w:overflowPunct w:val="0"/>
              <w:autoSpaceDE w:val="0"/>
              <w:autoSpaceDN w:val="0"/>
              <w:adjustRightInd w:val="0"/>
              <w:spacing w:line="240" w:lineRule="auto"/>
              <w:textAlignment w:val="baseline"/>
              <w:rPr>
                <w:rFonts w:eastAsia="ＭＳ 明朝"/>
                <w:b/>
                <w:sz w:val="22"/>
                <w:u w:val="single"/>
                <w:lang w:val="zh-CN"/>
              </w:rPr>
            </w:pPr>
          </w:p>
          <w:tbl>
            <w:tblPr>
              <w:tblStyle w:val="12"/>
              <w:tblW w:w="45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344"/>
              <w:gridCol w:w="3809"/>
              <w:gridCol w:w="1012"/>
              <w:gridCol w:w="701"/>
              <w:gridCol w:w="662"/>
              <w:gridCol w:w="641"/>
              <w:gridCol w:w="637"/>
              <w:gridCol w:w="637"/>
              <w:gridCol w:w="4609"/>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cs="Arial"/>
                      <w:sz w:val="18"/>
                      <w:szCs w:val="18"/>
                    </w:rPr>
                    <w:t>49-12</w:t>
                  </w:r>
                </w:p>
              </w:tc>
              <w:tc>
                <w:tcPr>
                  <w:tcW w:w="66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SimSun"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Batang" w:cs="Arial"/>
                      <w:sz w:val="18"/>
                      <w:szCs w:val="18"/>
                      <w:lang w:val="en-US" w:eastAsia="en-US"/>
                    </w:rPr>
                  </w:pPr>
                  <w:r>
                    <w:rPr>
                      <w:rFonts w:ascii="Arial" w:hAnsi="Arial" w:cs="Arial"/>
                      <w:sz w:val="18"/>
                      <w:szCs w:val="18"/>
                    </w:rPr>
                    <w:t>1: TCI state indication for update and activation</w:t>
                  </w:r>
                </w:p>
                <w:p>
                  <w:pPr>
                    <w:pStyle w:val="95"/>
                    <w:keepNext/>
                    <w:keepLines/>
                    <w:numPr>
                      <w:ilvl w:val="0"/>
                      <w:numId w:val="17"/>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hAnsi="Arial" w:eastAsia="Times New Roman"/>
                      <w:color w:val="FF0000"/>
                      <w:sz w:val="18"/>
                    </w:rPr>
                    <w:t xml:space="preserve">MAC-CE+DCI-based TCI state indication (use of DCI formats 1_3 with DL assignment for at least one serving cell in a </w:t>
                  </w:r>
                  <w:r>
                    <w:rPr>
                      <w:rFonts w:ascii="Arial" w:hAnsi="Arial" w:eastAsia="Times New Roman"/>
                      <w:i/>
                      <w:color w:val="FF0000"/>
                      <w:sz w:val="18"/>
                    </w:rPr>
                    <w:t>scheduledCellListDCI-1-3</w:t>
                  </w:r>
                  <w:r>
                    <w:rPr>
                      <w:rFonts w:ascii="Arial" w:hAnsi="Arial" w:eastAsia="Times New Roman"/>
                      <w:color w:val="FF0000"/>
                      <w:sz w:val="18"/>
                    </w:rPr>
                    <w:t xml:space="preserve"> to provide indicated unified TCI state(s) for the CC(s) in the </w:t>
                  </w:r>
                  <w:r>
                    <w:rPr>
                      <w:rFonts w:ascii="Arial" w:hAnsi="Arial" w:eastAsia="Times New Roman"/>
                      <w:i/>
                      <w:color w:val="FF0000"/>
                      <w:sz w:val="18"/>
                    </w:rPr>
                    <w:t>scheduledCellListDCI-1-3</w:t>
                  </w:r>
                  <w:r>
                    <w:rPr>
                      <w:rFonts w:ascii="Arial" w:hAnsi="Arial" w:eastAsia="Times New Roman"/>
                      <w:color w:val="FF0000"/>
                      <w:sz w:val="18"/>
                    </w:rPr>
                    <w:t>)</w:t>
                  </w:r>
                  <w:r>
                    <w:rPr>
                      <w:rFonts w:ascii="Arial" w:hAnsi="Arial" w:cs="Arial"/>
                      <w:color w:val="FF0000"/>
                      <w:sz w:val="18"/>
                      <w:szCs w:val="18"/>
                    </w:rPr>
                    <w:t xml:space="preserve">  </w:t>
                  </w:r>
                </w:p>
                <w:p>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cs="Arial"/>
                      <w:sz w:val="18"/>
                      <w:szCs w:val="18"/>
                    </w:rPr>
                    <w:t>3: The maximum number of MAC-CE activated joint TCI states per CC in a band</w:t>
                  </w:r>
                </w:p>
              </w:tc>
              <w:tc>
                <w:tcPr>
                  <w:tcW w:w="28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ＭＳ 明朝" w:cs="Arial"/>
                      <w:sz w:val="18"/>
                      <w:szCs w:val="18"/>
                    </w:rPr>
                  </w:pPr>
                  <w:r>
                    <w:rPr>
                      <w:rFonts w:ascii="Arial" w:hAnsi="Arial" w:eastAsia="ＭＳ 明朝" w:cs="Arial"/>
                      <w:sz w:val="18"/>
                      <w:szCs w:val="18"/>
                    </w:rPr>
                    <w:t xml:space="preserve">23-1-1, </w:t>
                  </w:r>
                  <w:r>
                    <w:rPr>
                      <w:rFonts w:ascii="Arial" w:hAnsi="Arial" w:eastAsia="Times New Roman"/>
                      <w:sz w:val="18"/>
                    </w:rPr>
                    <w:t>at least one of {49-1, 49-1b}</w:t>
                  </w:r>
                </w:p>
              </w:tc>
              <w:tc>
                <w:tcPr>
                  <w:tcW w:w="19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i/>
                      <w:iCs/>
                      <w:sz w:val="18"/>
                      <w:szCs w:val="18"/>
                    </w:rPr>
                  </w:pPr>
                </w:p>
              </w:tc>
              <w:tc>
                <w:tcPr>
                  <w:tcW w:w="18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iCs/>
                      <w:sz w:val="18"/>
                      <w:szCs w:val="18"/>
                    </w:rPr>
                    <w:t>Per Band</w:t>
                  </w:r>
                </w:p>
              </w:tc>
              <w:tc>
                <w:tcPr>
                  <w:tcW w:w="181"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18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18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130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Component 2 candidate values: {1, 2, 4, 7, 14, 28, 42, 56, 70, 84, 98, 112, 224, 336}, where {84, 98, 112, 224, 336} only can be indicated in FR2</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Component 3 candidate values: {2, 3, 4, 5, 6, 7, 8}</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Note: The maximum number of MAC-CE activated joint TCI states across all CC(s) in a band for more than one MAC-CE activated joint TCI state is signaled in 23-1-1, component 5</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Note: activated joint TCI state(s) include all PDCCH/PDSCH receptions and PUSCH/PUCCH</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Note: For component 2 and 3, same values as for FG23-1-1b are reported (if the UE also report FG23-1-1b)</w:t>
                  </w:r>
                </w:p>
              </w:tc>
              <w:tc>
                <w:tcPr>
                  <w:tcW w:w="57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Unified TCI with separate DL/UL TCI update by DCI format 1_3 for intra-cell beam management with more than one MAC-CE activated separate TCI state per CC</w:t>
                  </w:r>
                </w:p>
              </w:tc>
              <w:tc>
                <w:tcPr>
                  <w:tcW w:w="107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 xml:space="preserve">1. TCI state indication for update and activation </w:t>
                  </w:r>
                </w:p>
                <w:p>
                  <w:pPr>
                    <w:pStyle w:val="95"/>
                    <w:keepNext/>
                    <w:keepLines/>
                    <w:numPr>
                      <w:ilvl w:val="0"/>
                      <w:numId w:val="18"/>
                    </w:numPr>
                    <w:overflowPunct w:val="0"/>
                    <w:autoSpaceDE w:val="0"/>
                    <w:autoSpaceDN w:val="0"/>
                    <w:adjustRightInd w:val="0"/>
                    <w:spacing w:after="0" w:line="240" w:lineRule="auto"/>
                    <w:ind w:leftChars="0"/>
                    <w:textAlignment w:val="baseline"/>
                    <w:rPr>
                      <w:rFonts w:ascii="Arial" w:hAnsi="Arial" w:eastAsia="Malgun Gothic" w:cs="Arial"/>
                      <w:color w:val="FF0000"/>
                      <w:sz w:val="18"/>
                      <w:szCs w:val="18"/>
                      <w:lang w:val="zh-CN" w:eastAsia="zh-CN"/>
                    </w:rPr>
                  </w:pPr>
                  <w:r>
                    <w:rPr>
                      <w:rFonts w:ascii="Arial" w:hAnsi="Arial" w:eastAsia="Times New Roman"/>
                      <w:color w:val="FF0000"/>
                      <w:sz w:val="18"/>
                    </w:rPr>
                    <w:t xml:space="preserve">MAC-CE+DCI-based TCI state indication (use of DCI formats 1_3 with DL assignment for at least one serving cell in a </w:t>
                  </w:r>
                  <w:r>
                    <w:rPr>
                      <w:rFonts w:ascii="Arial" w:hAnsi="Arial" w:eastAsia="Times New Roman"/>
                      <w:i/>
                      <w:color w:val="FF0000"/>
                      <w:sz w:val="18"/>
                    </w:rPr>
                    <w:t>scheduledCellListDCI-1-3</w:t>
                  </w:r>
                  <w:r>
                    <w:rPr>
                      <w:rFonts w:ascii="Arial" w:hAnsi="Arial" w:eastAsia="Times New Roman"/>
                      <w:color w:val="FF0000"/>
                      <w:sz w:val="18"/>
                    </w:rPr>
                    <w:t xml:space="preserve"> to provide indicated unified TCI state(s) for the CC(s) in the </w:t>
                  </w:r>
                  <w:r>
                    <w:rPr>
                      <w:rFonts w:ascii="Arial" w:hAnsi="Arial" w:eastAsia="Times New Roman"/>
                      <w:i/>
                      <w:color w:val="FF0000"/>
                      <w:sz w:val="18"/>
                    </w:rPr>
                    <w:t>scheduledCellListDCI-1-3</w:t>
                  </w:r>
                  <w:r>
                    <w:rPr>
                      <w:rFonts w:ascii="Arial" w:hAnsi="Arial" w:eastAsia="Times New Roman"/>
                      <w:color w:val="FF0000"/>
                      <w:sz w:val="18"/>
                    </w:rPr>
                    <w:t>)</w:t>
                  </w:r>
                  <w:r>
                    <w:rPr>
                      <w:rFonts w:ascii="Arial" w:hAnsi="Arial" w:cs="Arial"/>
                      <w:color w:val="FF0000"/>
                      <w:sz w:val="18"/>
                      <w:szCs w:val="18"/>
                    </w:rPr>
                    <w:t xml:space="preserve">  </w:t>
                  </w:r>
                </w:p>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2. The minimum beam application time in Y symbols per SCS</w:t>
                  </w:r>
                </w:p>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3. The maximum number of MAC-CE activated DL TCI states per CC in a band</w:t>
                  </w:r>
                </w:p>
                <w:p>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eastAsia="Times New Roman"/>
                      <w:sz w:val="18"/>
                    </w:rPr>
                    <w:t>4. The maximum number of MAC-CE activated UL TCI states per CC in a band</w:t>
                  </w:r>
                </w:p>
              </w:tc>
              <w:tc>
                <w:tcPr>
                  <w:tcW w:w="28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ＭＳ 明朝" w:cs="Arial"/>
                      <w:sz w:val="18"/>
                      <w:szCs w:val="18"/>
                    </w:rPr>
                  </w:pPr>
                  <w:r>
                    <w:rPr>
                      <w:rFonts w:ascii="Arial" w:hAnsi="Arial" w:eastAsia="ＭＳ 明朝" w:cs="Arial"/>
                      <w:sz w:val="18"/>
                      <w:szCs w:val="18"/>
                    </w:rPr>
                    <w:t>23-10-1</w:t>
                  </w:r>
                  <w:r>
                    <w:rPr>
                      <w:rFonts w:ascii="Arial" w:hAnsi="Arial" w:eastAsia="Times New Roman"/>
                      <w:sz w:val="18"/>
                    </w:rPr>
                    <w:t>, and at least one of {49-1, 49-1b}</w:t>
                  </w:r>
                </w:p>
              </w:tc>
              <w:tc>
                <w:tcPr>
                  <w:tcW w:w="19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i/>
                      <w:iCs/>
                      <w:sz w:val="18"/>
                      <w:szCs w:val="18"/>
                    </w:rPr>
                  </w:pPr>
                </w:p>
              </w:tc>
              <w:tc>
                <w:tcPr>
                  <w:tcW w:w="18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iCs/>
                      <w:sz w:val="18"/>
                      <w:szCs w:val="18"/>
                    </w:rPr>
                  </w:pPr>
                  <w:r>
                    <w:rPr>
                      <w:rFonts w:ascii="Arial" w:hAnsi="Arial" w:eastAsia="Times New Roman" w:cs="Arial"/>
                      <w:iCs/>
                      <w:sz w:val="18"/>
                      <w:szCs w:val="18"/>
                    </w:rPr>
                    <w:t>Per Band</w:t>
                  </w:r>
                </w:p>
              </w:tc>
              <w:tc>
                <w:tcPr>
                  <w:tcW w:w="181"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18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18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130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If a UE supports FG 23-10-1m, the signalled component values also apply to inter-cell beam management</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Candidate values of component 2: {n1, n2, n4, n7, n14, n28, n42, n56, n70, n84, n98, n112, n224, n336}</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Candidate values of component 3: {2, …, 8}</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Candidate values of component 4: {2, …, 8}</w:t>
                  </w:r>
                </w:p>
              </w:tc>
              <w:tc>
                <w:tcPr>
                  <w:tcW w:w="57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Optional with capability signalling</w:t>
                  </w:r>
                </w:p>
              </w:tc>
            </w:tr>
          </w:tbl>
          <w:p>
            <w:pPr>
              <w:pStyle w:val="14"/>
              <w:overflowPunct w:val="0"/>
              <w:autoSpaceDE w:val="0"/>
              <w:autoSpaceDN w:val="0"/>
              <w:adjustRightInd w:val="0"/>
              <w:spacing w:after="0" w:line="240" w:lineRule="auto"/>
              <w:textAlignment w:val="baseline"/>
              <w:rPr>
                <w:rFonts w:eastAsia="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[6]</w:t>
            </w:r>
          </w:p>
        </w:tc>
        <w:tc>
          <w:tcPr>
            <w:tcW w:w="1856" w:type="dxa"/>
          </w:tcPr>
          <w:p>
            <w:pPr>
              <w:overflowPunct w:val="0"/>
              <w:autoSpaceDE w:val="0"/>
              <w:autoSpaceDN w:val="0"/>
              <w:adjustRightInd w:val="0"/>
              <w:spacing w:after="0" w:line="240" w:lineRule="auto"/>
              <w:jc w:val="both"/>
              <w:textAlignment w:val="baseline"/>
              <w:rPr>
                <w:rFonts w:eastAsia="ＭＳ 明朝"/>
                <w:sz w:val="22"/>
                <w:szCs w:val="18"/>
              </w:rPr>
            </w:pPr>
            <w:r>
              <w:rPr>
                <w:sz w:val="22"/>
                <w:szCs w:val="18"/>
              </w:rPr>
              <w:t>Huawei, HiSilicon</w:t>
            </w:r>
          </w:p>
        </w:tc>
        <w:tc>
          <w:tcPr>
            <w:tcW w:w="19889" w:type="dxa"/>
          </w:tcPr>
          <w:p>
            <w:pPr>
              <w:pStyle w:val="14"/>
              <w:tabs>
                <w:tab w:val="left" w:pos="420"/>
              </w:tabs>
              <w:overflowPunct w:val="0"/>
              <w:autoSpaceDE w:val="0"/>
              <w:autoSpaceDN w:val="0"/>
              <w:adjustRightInd w:val="0"/>
              <w:spacing w:line="240" w:lineRule="auto"/>
              <w:textAlignment w:val="baseline"/>
              <w:rPr>
                <w:rFonts w:eastAsia="ＭＳ 明朝"/>
                <w:b/>
                <w:sz w:val="22"/>
                <w:u w:val="single"/>
              </w:rPr>
            </w:pPr>
            <w:r>
              <w:rPr>
                <w:rFonts w:eastAsia="ＭＳ 明朝"/>
                <w:b/>
                <w:sz w:val="22"/>
                <w:u w:val="single"/>
              </w:rPr>
              <w:t>Default QCL assumption</w:t>
            </w:r>
          </w:p>
          <w:p>
            <w:pPr>
              <w:pStyle w:val="14"/>
              <w:tabs>
                <w:tab w:val="left" w:pos="420"/>
              </w:tabs>
              <w:overflowPunct w:val="0"/>
              <w:autoSpaceDE w:val="0"/>
              <w:autoSpaceDN w:val="0"/>
              <w:adjustRightInd w:val="0"/>
              <w:spacing w:after="0" w:line="240" w:lineRule="auto"/>
              <w:textAlignment w:val="baseline"/>
              <w:rPr>
                <w:rFonts w:eastAsia="ＭＳ 明朝"/>
                <w:sz w:val="22"/>
              </w:rPr>
            </w:pPr>
            <w:r>
              <w:rPr>
                <w:rFonts w:eastAsia="ＭＳ 明朝"/>
                <w:sz w:val="22"/>
              </w:rPr>
              <w:t>For cross-carrier scheduling, the UE capability FG18-5a was introduced in Rel-16 for UE to obtain the default QCL assumption when the TCI field is not present in DCI. For multi-cell scheduling, the TCI field may also be absent in DCI format 1_3. However, in previous RAN1 discussions,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pPr>
              <w:pStyle w:val="14"/>
              <w:tabs>
                <w:tab w:val="left" w:pos="420"/>
              </w:tabs>
              <w:overflowPunct w:val="0"/>
              <w:autoSpaceDE w:val="0"/>
              <w:autoSpaceDN w:val="0"/>
              <w:adjustRightInd w:val="0"/>
              <w:spacing w:after="0"/>
              <w:jc w:val="both"/>
              <w:textAlignment w:val="baseline"/>
              <w:rPr>
                <w:rFonts w:eastAsia="ＭＳ 明朝"/>
                <w:b/>
                <w:bCs/>
                <w:sz w:val="22"/>
                <w:lang w:val="en-US"/>
              </w:rPr>
            </w:pPr>
            <w:r>
              <w:rPr>
                <w:rFonts w:eastAsia="ＭＳ 明朝"/>
                <w:b/>
                <w:bCs/>
                <w:sz w:val="22"/>
                <w:u w:val="single"/>
                <w:lang w:val="en-US"/>
              </w:rPr>
              <w:t>Proposal 1</w:t>
            </w:r>
            <w:r>
              <w:rPr>
                <w:rFonts w:eastAsia="ＭＳ 明朝"/>
                <w:b/>
                <w:bCs/>
                <w:sz w:val="22"/>
                <w:lang w:val="en-US"/>
              </w:rPr>
              <w:t>: Support FG49-13 to introduce default QCL assumption for DCI format 1_3.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862"/>
              <w:gridCol w:w="7423"/>
              <w:gridCol w:w="805"/>
              <w:gridCol w:w="272"/>
              <w:gridCol w:w="273"/>
              <w:gridCol w:w="234"/>
              <w:gridCol w:w="953"/>
              <w:gridCol w:w="234"/>
              <w:gridCol w:w="234"/>
              <w:gridCol w:w="234"/>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eastAsia="ja-JP"/>
                    </w:rPr>
                  </w:pPr>
                  <w:r>
                    <w:rPr>
                      <w:rFonts w:eastAsia="ＭＳ 明朝" w:asciiTheme="majorHAnsi" w:hAnsiTheme="majorHAnsi" w:cstheme="majorHAnsi"/>
                      <w:sz w:val="21"/>
                      <w:szCs w:val="21"/>
                      <w:lang w:eastAsia="ja-JP"/>
                    </w:rPr>
                    <w:t>49-13</w:t>
                  </w:r>
                </w:p>
              </w:tc>
              <w:tc>
                <w:tcPr>
                  <w:tcW w:w="1985"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color="auto" w:sz="4" w:space="0"/>
                    <w:left w:val="single" w:color="auto" w:sz="4" w:space="0"/>
                    <w:bottom w:val="single" w:color="auto" w:sz="4" w:space="0"/>
                    <w:right w:val="single" w:color="auto" w:sz="4" w:space="0"/>
                  </w:tcBorders>
                </w:tcPr>
                <w:p>
                  <w:pPr>
                    <w:pStyle w:val="114"/>
                    <w:rPr>
                      <w:sz w:val="21"/>
                      <w:szCs w:val="21"/>
                    </w:rPr>
                  </w:pPr>
                  <w:r>
                    <w:rPr>
                      <w:sz w:val="21"/>
                      <w:szCs w:val="21"/>
                    </w:rPr>
                    <w:t>Indicates whether the UE can be configured with enabledDefaultBeamFormultiCellS</w:t>
                  </w:r>
                  <w:r>
                    <w:rPr>
                      <w:sz w:val="21"/>
                      <w:szCs w:val="21"/>
                      <w:lang w:eastAsia="zh-CN"/>
                    </w:rPr>
                    <w:t>cheduling</w:t>
                  </w:r>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pPr>
                    <w:pStyle w:val="114"/>
                    <w:ind w:left="316" w:hanging="316"/>
                    <w:rPr>
                      <w:sz w:val="21"/>
                      <w:szCs w:val="21"/>
                    </w:rPr>
                  </w:pPr>
                  <w:r>
                    <w:rPr>
                      <w:sz w:val="21"/>
                      <w:szCs w:val="21"/>
                    </w:rPr>
                    <w:t>-</w:t>
                  </w:r>
                  <w:r>
                    <w:rPr>
                      <w:sz w:val="21"/>
                      <w:szCs w:val="21"/>
                    </w:rPr>
                    <w:tab/>
                  </w:r>
                  <w:r>
                    <w:rPr>
                      <w:sz w:val="21"/>
                      <w:szCs w:val="21"/>
                    </w:rPr>
                    <w:t>Candidate values are {different only, both}</w:t>
                  </w:r>
                </w:p>
                <w:p>
                  <w:pPr>
                    <w:pStyle w:val="114"/>
                    <w:ind w:left="796" w:leftChars="200" w:hanging="316"/>
                    <w:rPr>
                      <w:sz w:val="21"/>
                      <w:szCs w:val="21"/>
                    </w:rPr>
                  </w:pPr>
                  <w:r>
                    <w:rPr>
                      <w:sz w:val="21"/>
                      <w:szCs w:val="21"/>
                    </w:rPr>
                    <w:t>-</w:t>
                  </w:r>
                  <w:r>
                    <w:rPr>
                      <w:sz w:val="21"/>
                      <w:szCs w:val="21"/>
                    </w:rPr>
                    <w:tab/>
                  </w:r>
                  <w:r>
                    <w:rPr>
                      <w:sz w:val="21"/>
                      <w:szCs w:val="21"/>
                    </w:rPr>
                    <w:t>When "both" is reported, the UE supports this feature for same SCS and for different SCS combination(s) (low-to-high, high-to-low or both) reported for 49-1b</w:t>
                  </w:r>
                </w:p>
              </w:tc>
              <w:tc>
                <w:tcPr>
                  <w:tcW w:w="851"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eastAsia="ja-JP"/>
                    </w:rPr>
                  </w:pPr>
                </w:p>
              </w:tc>
              <w:tc>
                <w:tcPr>
                  <w:tcW w:w="284" w:type="dxa"/>
                  <w:tcBorders>
                    <w:top w:val="single" w:color="auto" w:sz="4" w:space="0"/>
                    <w:left w:val="single" w:color="auto" w:sz="4" w:space="0"/>
                    <w:bottom w:val="single" w:color="auto" w:sz="4" w:space="0"/>
                    <w:right w:val="single" w:color="auto" w:sz="4" w:space="0"/>
                  </w:tcBorders>
                </w:tcPr>
                <w:p>
                  <w:pPr>
                    <w:pStyle w:val="114"/>
                    <w:rPr>
                      <w:rFonts w:asciiTheme="majorHAnsi" w:hAnsiTheme="majorHAnsi" w:cstheme="majorHAnsi"/>
                      <w:sz w:val="21"/>
                      <w:szCs w:val="21"/>
                      <w:lang w:eastAsia="ja-JP"/>
                    </w:rPr>
                  </w:pPr>
                </w:p>
              </w:tc>
              <w:tc>
                <w:tcPr>
                  <w:tcW w:w="236"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val="en-US" w:eastAsia="ja-JP"/>
                    </w:rPr>
                  </w:pPr>
                </w:p>
              </w:tc>
              <w:tc>
                <w:tcPr>
                  <w:tcW w:w="1040"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eastAsia="ja-JP"/>
                    </w:rPr>
                  </w:pPr>
                  <w:r>
                    <w:rPr>
                      <w:rFonts w:eastAsia="ＭＳ 明朝" w:asciiTheme="majorHAnsi" w:hAnsiTheme="majorHAnsi" w:cstheme="majorHAnsi"/>
                      <w:sz w:val="21"/>
                      <w:szCs w:val="21"/>
                      <w:lang w:eastAsia="ja-JP"/>
                    </w:rPr>
                    <w:t>Per BC</w:t>
                  </w:r>
                </w:p>
              </w:tc>
              <w:tc>
                <w:tcPr>
                  <w:tcW w:w="236"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eastAsia="ja-JP"/>
                    </w:rPr>
                  </w:pPr>
                </w:p>
              </w:tc>
              <w:tc>
                <w:tcPr>
                  <w:tcW w:w="236"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eastAsia="ja-JP"/>
                    </w:rPr>
                  </w:pPr>
                </w:p>
              </w:tc>
              <w:tc>
                <w:tcPr>
                  <w:tcW w:w="236" w:type="dxa"/>
                  <w:tcBorders>
                    <w:top w:val="single" w:color="auto" w:sz="4" w:space="0"/>
                    <w:left w:val="single" w:color="auto" w:sz="4" w:space="0"/>
                    <w:bottom w:val="single" w:color="auto" w:sz="4" w:space="0"/>
                    <w:right w:val="single" w:color="auto" w:sz="4" w:space="0"/>
                  </w:tcBorders>
                </w:tcPr>
                <w:p>
                  <w:pPr>
                    <w:pStyle w:val="114"/>
                    <w:rPr>
                      <w:rFonts w:eastAsia="ＭＳ 明朝" w:asciiTheme="majorHAnsi" w:hAnsiTheme="majorHAnsi" w:cstheme="majorHAnsi"/>
                      <w:sz w:val="21"/>
                      <w:szCs w:val="21"/>
                      <w:lang w:eastAsia="ja-JP"/>
                    </w:rPr>
                  </w:pPr>
                </w:p>
              </w:tc>
              <w:tc>
                <w:tcPr>
                  <w:tcW w:w="7797" w:type="dxa"/>
                  <w:tcBorders>
                    <w:top w:val="single" w:color="auto" w:sz="4" w:space="0"/>
                    <w:left w:val="single" w:color="auto" w:sz="4" w:space="0"/>
                    <w:bottom w:val="single" w:color="auto" w:sz="4" w:space="0"/>
                    <w:right w:val="single" w:color="auto" w:sz="4" w:space="0"/>
                  </w:tcBorders>
                </w:tcPr>
                <w:p>
                  <w:pPr>
                    <w:pStyle w:val="114"/>
                    <w:rPr>
                      <w:rFonts w:asciiTheme="majorHAnsi" w:hAnsiTheme="majorHAnsi" w:cstheme="majorHAnsi"/>
                      <w:sz w:val="21"/>
                      <w:szCs w:val="21"/>
                    </w:rPr>
                  </w:pPr>
                </w:p>
              </w:tc>
            </w:tr>
          </w:tbl>
          <w:p>
            <w:pPr>
              <w:pStyle w:val="14"/>
              <w:tabs>
                <w:tab w:val="left" w:pos="420"/>
              </w:tabs>
              <w:overflowPunct w:val="0"/>
              <w:autoSpaceDE w:val="0"/>
              <w:autoSpaceDN w:val="0"/>
              <w:adjustRightInd w:val="0"/>
              <w:spacing w:after="0" w:line="240" w:lineRule="auto"/>
              <w:jc w:val="both"/>
              <w:textAlignment w:val="baseline"/>
              <w:rPr>
                <w:rFonts w:eastAsia="ＭＳ 明朝"/>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[7]</w:t>
            </w:r>
          </w:p>
        </w:tc>
        <w:tc>
          <w:tcPr>
            <w:tcW w:w="1856" w:type="dxa"/>
          </w:tcPr>
          <w:p>
            <w:pPr>
              <w:overflowPunct w:val="0"/>
              <w:autoSpaceDE w:val="0"/>
              <w:autoSpaceDN w:val="0"/>
              <w:adjustRightInd w:val="0"/>
              <w:spacing w:after="0" w:line="240" w:lineRule="auto"/>
              <w:jc w:val="both"/>
              <w:textAlignment w:val="baseline"/>
              <w:rPr>
                <w:rFonts w:eastAsia="ＭＳ 明朝"/>
                <w:sz w:val="22"/>
                <w:szCs w:val="18"/>
              </w:rPr>
            </w:pPr>
            <w:r>
              <w:rPr>
                <w:sz w:val="22"/>
                <w:szCs w:val="18"/>
              </w:rPr>
              <w:t>Ericsson</w:t>
            </w:r>
          </w:p>
        </w:tc>
        <w:tc>
          <w:tcPr>
            <w:tcW w:w="19889" w:type="dxa"/>
          </w:tcPr>
          <w:p>
            <w:pPr>
              <w:overflowPunct w:val="0"/>
              <w:autoSpaceDE w:val="0"/>
              <w:autoSpaceDN w:val="0"/>
              <w:adjustRightInd w:val="0"/>
              <w:spacing w:after="0" w:line="240" w:lineRule="auto"/>
              <w:jc w:val="both"/>
              <w:textAlignment w:val="baseline"/>
              <w:rPr>
                <w:rFonts w:eastAsia="ＭＳ 明朝"/>
                <w:sz w:val="22"/>
                <w:lang w:val="en-US"/>
              </w:rPr>
            </w:pPr>
            <w:r>
              <w:rPr>
                <w:rFonts w:eastAsia="ＭＳ 明朝"/>
                <w:sz w:val="22"/>
              </w:rPr>
              <w:t xml:space="preserve">We would be OK to introduce a new FG for support of BWP switching with DCI formats 0_3/1_3 as 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 </w:t>
            </w:r>
          </w:p>
          <w:p>
            <w:pPr>
              <w:overflowPunct w:val="0"/>
              <w:autoSpaceDE w:val="0"/>
              <w:autoSpaceDN w:val="0"/>
              <w:adjustRightInd w:val="0"/>
              <w:spacing w:after="0" w:line="240" w:lineRule="auto"/>
              <w:jc w:val="both"/>
              <w:textAlignment w:val="baseline"/>
              <w:rPr>
                <w:rFonts w:eastAsia="ＭＳ 明朝"/>
                <w:b/>
                <w:bCs/>
                <w:sz w:val="22"/>
                <w:lang w:val="en-US"/>
              </w:rPr>
            </w:pPr>
            <w:bookmarkStart w:id="5" w:name="_Toc174104893"/>
            <w:r>
              <w:rPr>
                <w:rFonts w:eastAsia="ＭＳ 明朝"/>
                <w:b/>
                <w:bCs/>
                <w:sz w:val="22"/>
                <w:lang w:val="en-US"/>
              </w:rPr>
              <w:t>For MCE, we propose the following:</w:t>
            </w:r>
            <w:bookmarkEnd w:id="5"/>
          </w:p>
          <w:p>
            <w:pPr>
              <w:numPr>
                <w:ilvl w:val="1"/>
                <w:numId w:val="19"/>
              </w:numPr>
              <w:tabs>
                <w:tab w:val="left" w:pos="1440"/>
              </w:tabs>
              <w:overflowPunct w:val="0"/>
              <w:autoSpaceDE w:val="0"/>
              <w:autoSpaceDN w:val="0"/>
              <w:adjustRightInd w:val="0"/>
              <w:spacing w:after="0" w:line="240" w:lineRule="auto"/>
              <w:jc w:val="both"/>
              <w:textAlignment w:val="baseline"/>
              <w:rPr>
                <w:rFonts w:eastAsia="ＭＳ 明朝"/>
                <w:b/>
                <w:bCs/>
                <w:sz w:val="22"/>
                <w:lang w:val="en-US"/>
              </w:rPr>
            </w:pPr>
            <w:bookmarkStart w:id="6" w:name="_Toc174104894"/>
            <w:r>
              <w:rPr>
                <w:rFonts w:eastAsia="ＭＳ 明朝"/>
                <w:b/>
                <w:bCs/>
                <w:sz w:val="22"/>
                <w:lang w:val="en-US"/>
              </w:rPr>
              <w:t>Introduce a new FG for “BWP switching with same numerology by DCI format 0_3/1_3” with per UE granularity.</w:t>
            </w:r>
            <w:bookmarkEnd w:id="6"/>
          </w:p>
          <w:p>
            <w:pPr>
              <w:numPr>
                <w:ilvl w:val="1"/>
                <w:numId w:val="19"/>
              </w:numPr>
              <w:tabs>
                <w:tab w:val="left" w:pos="1440"/>
              </w:tabs>
              <w:overflowPunct w:val="0"/>
              <w:autoSpaceDE w:val="0"/>
              <w:autoSpaceDN w:val="0"/>
              <w:adjustRightInd w:val="0"/>
              <w:spacing w:after="0" w:line="240" w:lineRule="auto"/>
              <w:jc w:val="both"/>
              <w:textAlignment w:val="baseline"/>
              <w:rPr>
                <w:rFonts w:eastAsia="ＭＳ 明朝"/>
                <w:b/>
                <w:bCs/>
                <w:sz w:val="22"/>
                <w:lang w:val="en-US"/>
              </w:rPr>
            </w:pPr>
            <w:bookmarkStart w:id="7" w:name="_Toc174104895"/>
            <w:r>
              <w:rPr>
                <w:rFonts w:eastAsia="ＭＳ 明朝"/>
                <w:b/>
                <w:bCs/>
                <w:sz w:val="22"/>
                <w:lang w:val="en-US"/>
              </w:rPr>
              <w:t>Introduce a new FG for “BWP switching with different numerology by DCI format 0_3/1_3” with per UE granularity.</w:t>
            </w:r>
            <w:bookmarkEnd w:id="7"/>
          </w:p>
        </w:tc>
      </w:tr>
    </w:tbl>
    <w:p/>
    <w:p/>
    <w:p>
      <w:pPr>
        <w:pStyle w:val="3"/>
        <w:spacing w:line="240" w:lineRule="auto"/>
        <w:rPr>
          <w:b/>
          <w:bCs/>
        </w:rPr>
      </w:pPr>
      <w:r>
        <w:rPr>
          <w:b/>
          <w:bCs/>
        </w:rPr>
        <w:t>Discussion</w:t>
      </w:r>
    </w:p>
    <w:p>
      <w:pPr>
        <w:pStyle w:val="4"/>
      </w:pPr>
      <w:r>
        <w:t>FG49-</w:t>
      </w:r>
      <w:r>
        <w:rPr>
          <w:rFonts w:hint="eastAsia"/>
        </w:rPr>
        <w:t>12/12a</w:t>
      </w:r>
    </w:p>
    <w:p>
      <w:pPr>
        <w:pStyle w:val="5"/>
        <w:jc w:val="left"/>
        <w:rPr>
          <w:rFonts w:ascii="Times New Roman" w:hAnsi="Times New Roman"/>
          <w:b/>
          <w:bCs/>
          <w:i w:val="0"/>
          <w:iCs/>
          <w:lang w:val="en-US"/>
        </w:rPr>
      </w:pPr>
      <w:r>
        <w:rPr>
          <w:rFonts w:ascii="Times New Roman" w:hAnsi="Times New Roman"/>
          <w:b/>
          <w:bCs/>
          <w:i w:val="0"/>
          <w:iCs/>
          <w:highlight w:val="yellow"/>
          <w:lang w:val="en-US"/>
        </w:rPr>
        <w:t>Proposal 2-1:</w:t>
      </w:r>
    </w:p>
    <w:p>
      <w:pPr>
        <w:spacing w:after="120" w:afterLines="50"/>
        <w:jc w:val="both"/>
        <w:rPr>
          <w:rFonts w:eastAsia="ＭＳ 明朝"/>
          <w:b/>
          <w:bCs/>
          <w:sz w:val="22"/>
          <w:szCs w:val="22"/>
        </w:rPr>
      </w:pPr>
      <w:r>
        <w:rPr>
          <w:rFonts w:hint="eastAsia" w:eastAsia="ＭＳ 明朝"/>
          <w:b/>
          <w:bCs/>
          <w:sz w:val="22"/>
          <w:szCs w:val="22"/>
        </w:rPr>
        <w:t>Update FG49-12/12a as below</w:t>
      </w:r>
      <w:r>
        <w:rPr>
          <w:rFonts w:eastAsia="ＭＳ 明朝"/>
          <w:b/>
          <w:bCs/>
          <w:sz w:val="22"/>
          <w:szCs w:val="22"/>
        </w:rPr>
        <w:t>.</w:t>
      </w:r>
    </w:p>
    <w:p>
      <w:pPr>
        <w:pStyle w:val="95"/>
        <w:numPr>
          <w:ilvl w:val="0"/>
          <w:numId w:val="20"/>
        </w:numPr>
        <w:spacing w:after="120" w:afterLines="50"/>
        <w:ind w:leftChars="0"/>
        <w:jc w:val="both"/>
        <w:rPr>
          <w:szCs w:val="21"/>
          <w:lang w:val="en-US"/>
        </w:rPr>
      </w:pPr>
      <w:r>
        <w:rPr>
          <w:rFonts w:eastAsia="ＭＳ 明朝"/>
          <w:b/>
          <w:sz w:val="22"/>
          <w:lang w:val="en-US"/>
        </w:rPr>
        <w:t>Update the name of FG 49-12 to include “inter-cell” beam management</w:t>
      </w:r>
    </w:p>
    <w:p>
      <w:pPr>
        <w:pStyle w:val="95"/>
        <w:numPr>
          <w:ilvl w:val="0"/>
          <w:numId w:val="20"/>
        </w:numPr>
        <w:spacing w:after="120" w:afterLines="50"/>
        <w:ind w:leftChars="0"/>
        <w:jc w:val="both"/>
        <w:rPr>
          <w:szCs w:val="21"/>
          <w:lang w:val="en-US"/>
        </w:rPr>
      </w:pPr>
      <w:r>
        <w:rPr>
          <w:rFonts w:eastAsia="ＭＳ 明朝"/>
          <w:b/>
          <w:sz w:val="22"/>
          <w:lang w:val="en-US"/>
        </w:rPr>
        <w:t>Clarify the DL assignment condition in Component 1 of both FGs 49-12/12a</w:t>
      </w:r>
      <w:r>
        <w:rPr>
          <w:rFonts w:hint="eastAsia" w:eastAsia="ＭＳ 明朝"/>
          <w:b/>
          <w:sz w:val="22"/>
          <w:lang w:val="en-US"/>
        </w:rPr>
        <w:t xml:space="preserve"> as follows</w:t>
      </w:r>
    </w:p>
    <w:p>
      <w:pPr>
        <w:pStyle w:val="95"/>
        <w:numPr>
          <w:ilvl w:val="1"/>
          <w:numId w:val="20"/>
        </w:numPr>
        <w:spacing w:after="120" w:afterLines="50"/>
        <w:ind w:leftChars="0"/>
        <w:jc w:val="both"/>
        <w:rPr>
          <w:b/>
          <w:bCs/>
          <w:szCs w:val="21"/>
          <w:lang w:val="en-US"/>
        </w:rPr>
      </w:pPr>
      <w:r>
        <w:rPr>
          <w:b/>
          <w:bCs/>
          <w:szCs w:val="21"/>
          <w:lang w:val="en-US"/>
        </w:rPr>
        <w:t>“a)</w:t>
      </w:r>
      <w:r>
        <w:rPr>
          <w:b/>
          <w:bCs/>
          <w:szCs w:val="21"/>
          <w:lang w:val="en-US"/>
        </w:rPr>
        <w:tab/>
      </w:r>
      <w:r>
        <w:rPr>
          <w:b/>
          <w:bCs/>
          <w:szCs w:val="21"/>
          <w:lang w:val="en-US"/>
        </w:rPr>
        <w:t>MAC-CE+DCI-based TCI state indication (use of DCI formats 1_3 with DL assignment for at least one serving cell in a scheduledCellListDCI-1-3 to provide indicated unified TCI state(s) for the CC(s) in the scheduledCellListDCI-1-3)”</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0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5"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1"/>
              </w:numPr>
              <w:overflowPunct w:val="0"/>
              <w:autoSpaceDE w:val="0"/>
              <w:autoSpaceDN w:val="0"/>
              <w:adjustRightInd w:val="0"/>
              <w:spacing w:after="120" w:afterLines="50"/>
              <w:ind w:leftChars="0"/>
              <w:jc w:val="both"/>
              <w:textAlignment w:val="baseline"/>
              <w:rPr>
                <w:szCs w:val="24"/>
              </w:rPr>
            </w:pPr>
            <w:r>
              <w:rPr>
                <w:rFonts w:hint="eastAsia"/>
                <w:szCs w:val="24"/>
              </w:rPr>
              <w:t>Samsung</w:t>
            </w:r>
            <w:r>
              <w:rPr>
                <w:szCs w:val="24"/>
              </w:rPr>
              <w:t xml:space="preserve">: </w:t>
            </w:r>
            <w:r>
              <w:rPr>
                <w:rFonts w:eastAsia="ＭＳ 明朝"/>
                <w:szCs w:val="24"/>
                <w:lang w:val="en-US"/>
              </w:rPr>
              <w:t>There is no motivation or need to limit FG 49-12 only to “intra-band” CA, hence the FG name should be updated.</w:t>
            </w:r>
          </w:p>
          <w:p>
            <w:pPr>
              <w:pStyle w:val="95"/>
              <w:numPr>
                <w:ilvl w:val="0"/>
                <w:numId w:val="21"/>
              </w:numPr>
              <w:overflowPunct w:val="0"/>
              <w:autoSpaceDE w:val="0"/>
              <w:autoSpaceDN w:val="0"/>
              <w:adjustRightInd w:val="0"/>
              <w:spacing w:after="120" w:afterLines="50"/>
              <w:ind w:leftChars="0"/>
              <w:jc w:val="both"/>
              <w:textAlignment w:val="baseline"/>
              <w:rPr>
                <w:szCs w:val="24"/>
              </w:rPr>
            </w:pPr>
            <w:r>
              <w:rPr>
                <w:rFonts w:hint="eastAsia" w:eastAsia="ＭＳ 明朝"/>
                <w:szCs w:val="24"/>
              </w:rPr>
              <w:t xml:space="preserve">Samsung: </w:t>
            </w:r>
            <w:r>
              <w:rPr>
                <w:rFonts w:eastAsia="ＭＳ 明朝"/>
                <w:szCs w:val="24"/>
              </w:rPr>
              <w:t>CR clarifies a ‘DL assignment’ condition similar to that considered in the legacy FGs 23-1-1b and 23-10-1b for single-cell scheduling, and it can be reflected in the new FGs 49-12 and 49-12a for multi-cell scheduling.</w:t>
            </w:r>
          </w:p>
          <w:p>
            <w:pPr>
              <w:overflowPunct w:val="0"/>
              <w:autoSpaceDE w:val="0"/>
              <w:autoSpaceDN w:val="0"/>
              <w:adjustRightInd w:val="0"/>
              <w:spacing w:after="120" w:afterLines="50"/>
              <w:jc w:val="both"/>
              <w:textAlignment w:val="baseline"/>
              <w:rPr>
                <w:szCs w:val="24"/>
              </w:rPr>
            </w:pPr>
          </w:p>
          <w:p>
            <w:pPr>
              <w:overflowPunct w:val="0"/>
              <w:autoSpaceDE w:val="0"/>
              <w:autoSpaceDN w:val="0"/>
              <w:adjustRightInd w:val="0"/>
              <w:spacing w:after="120" w:afterLines="50"/>
              <w:jc w:val="both"/>
              <w:textAlignment w:val="baseline"/>
              <w:rPr>
                <w:szCs w:val="24"/>
              </w:rPr>
            </w:pPr>
            <w:r>
              <w:rPr>
                <w:rFonts w:hint="eastAsia"/>
                <w:szCs w:val="24"/>
              </w:rPr>
              <w:t>Reference:</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098"/>
              <w:gridCol w:w="4792"/>
              <w:gridCol w:w="1001"/>
              <w:gridCol w:w="237"/>
              <w:gridCol w:w="237"/>
              <w:gridCol w:w="241"/>
              <w:gridCol w:w="860"/>
              <w:gridCol w:w="571"/>
              <w:gridCol w:w="575"/>
              <w:gridCol w:w="571"/>
              <w:gridCol w:w="732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9-12</w:t>
                  </w:r>
                </w:p>
              </w:tc>
              <w:tc>
                <w:tcPr>
                  <w:tcW w:w="522"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Unified TCI with joint DL/UL TCI update by DCI format 1_3 for intra-cell beam management with more than one MAC-CE activated joint TCI state per CC</w:t>
                  </w:r>
                </w:p>
              </w:tc>
              <w:tc>
                <w:tcPr>
                  <w:tcW w:w="1192" w:type="pct"/>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 xml:space="preserve">1: TCI state indication for update and activation  </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 The minimum beam application time in Y symbols per SCS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 The maximum number of MAC-CE activated joint TCI states per CC in a band</w:t>
                  </w:r>
                </w:p>
              </w:tc>
              <w:tc>
                <w:tcPr>
                  <w:tcW w:w="249"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23-1-1, At least one of {49-1, 49-1b}</w:t>
                  </w:r>
                </w:p>
              </w:tc>
              <w:tc>
                <w:tcPr>
                  <w:tcW w:w="59"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9" w:type="pct"/>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60"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214"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band</w:t>
                  </w:r>
                </w:p>
              </w:tc>
              <w:tc>
                <w:tcPr>
                  <w:tcW w:w="142"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143"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142"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1822" w:type="pct"/>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2 candidate values: {1, 2, 4, 7, 14, 28, 42, 56, 70, 84, 98, 112, 224, 336}, where {84, 98, 112, 224, 336} only can be indicated in FR2</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3 candidate values: {2, 3, 4, 5, 6, 7, 8}</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 maximum number of MAC-CE activated joint TCI states across all CC(s) in a band for more than one MAC-CE activated joint TCI state is signaled in 23-1-1, component 5</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activated joint TCI state(s) include all PDCCH/PDSCH receptions and PUSCH/PUCCH</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For component 2 and 3, same values as for FG23-1-1b are reported (if the UE also report FG23-1-1b)</w:t>
                  </w:r>
                </w:p>
              </w:tc>
              <w:tc>
                <w:tcPr>
                  <w:tcW w:w="248" w:type="pct"/>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8"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9-12a</w:t>
                  </w:r>
                </w:p>
              </w:tc>
              <w:tc>
                <w:tcPr>
                  <w:tcW w:w="522"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Unified TCI with separate DL/UL TCI update by DCI format 1_3 for intra-cell beam management with more than one MAC-CE activated separate TCI state per CC</w:t>
                  </w:r>
                </w:p>
              </w:tc>
              <w:tc>
                <w:tcPr>
                  <w:tcW w:w="1192" w:type="pct"/>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 xml:space="preserve">1. TCI state indication for update and activation </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 The minimum beam application time in Y symbols per SCS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 The maximum number of MAC-CE activated DL TCI states per CC in a band</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 The maximum number of MAC-CE activated UL TCI states per CC in a band</w:t>
                  </w:r>
                </w:p>
              </w:tc>
              <w:tc>
                <w:tcPr>
                  <w:tcW w:w="249"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23-10-1, At least one of {49-1, 49-1b}</w:t>
                  </w:r>
                </w:p>
              </w:tc>
              <w:tc>
                <w:tcPr>
                  <w:tcW w:w="59"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9" w:type="pct"/>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60"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214"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band</w:t>
                  </w:r>
                </w:p>
              </w:tc>
              <w:tc>
                <w:tcPr>
                  <w:tcW w:w="142"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143"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142" w:type="pct"/>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1822" w:type="pct"/>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a UE supports FG 23-10-1m, the signalled component values also apply to inter-cell beam management</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of component 2: {n1, n2, n4, n7, n14, n28, n42, n56, n70, n84, n98, n112, n224, n336}</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of component 3: {2, …, 8}</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of component 4: {2, …, 8}</w:t>
                  </w:r>
                </w:p>
              </w:tc>
              <w:tc>
                <w:tcPr>
                  <w:tcW w:w="248" w:type="pct"/>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bl>
          <w:p>
            <w:pPr>
              <w:overflowPunct w:val="0"/>
              <w:autoSpaceDE w:val="0"/>
              <w:autoSpaceDN w:val="0"/>
              <w:adjustRightInd w:val="0"/>
              <w:spacing w:after="120" w:afterLines="50"/>
              <w:jc w:val="both"/>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eastAsia" w:eastAsiaTheme="minorEastAsia"/>
                <w:szCs w:val="24"/>
                <w:lang w:val="en-US"/>
              </w:rPr>
            </w:pPr>
            <w:r>
              <w:rPr>
                <w:rFonts w:hint="eastAsia" w:eastAsiaTheme="minorEastAsia"/>
                <w:szCs w:val="24"/>
                <w:lang w:val="en-US"/>
              </w:rPr>
              <w:t>Qualcomm</w:t>
            </w:r>
          </w:p>
        </w:tc>
        <w:tc>
          <w:tcPr>
            <w:tcW w:w="4495" w:type="pct"/>
          </w:tcPr>
          <w:p>
            <w:pPr>
              <w:overflowPunct w:val="0"/>
              <w:autoSpaceDE w:val="0"/>
              <w:autoSpaceDN w:val="0"/>
              <w:adjustRightInd w:val="0"/>
              <w:spacing w:after="120" w:afterLines="50"/>
              <w:jc w:val="both"/>
              <w:textAlignment w:val="baseline"/>
              <w:rPr>
                <w:rFonts w:hint="eastAsia"/>
                <w:szCs w:val="24"/>
              </w:rPr>
            </w:pPr>
            <w:r>
              <w:rPr>
                <w:rFonts w:hint="eastAsia"/>
                <w:szCs w:val="24"/>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default" w:eastAsiaTheme="minorEastAsia"/>
                <w:szCs w:val="24"/>
                <w:lang w:val="en-US"/>
              </w:rPr>
            </w:pPr>
            <w:r>
              <w:rPr>
                <w:rFonts w:hint="default" w:eastAsiaTheme="minorEastAsia"/>
                <w:szCs w:val="24"/>
                <w:lang w:val="en-US"/>
              </w:rPr>
              <w:t>OPPO</w:t>
            </w:r>
          </w:p>
        </w:tc>
        <w:tc>
          <w:tcPr>
            <w:tcW w:w="4495" w:type="pct"/>
          </w:tcPr>
          <w:p>
            <w:pPr>
              <w:overflowPunct w:val="0"/>
              <w:autoSpaceDE w:val="0"/>
              <w:autoSpaceDN w:val="0"/>
              <w:adjustRightInd w:val="0"/>
              <w:spacing w:after="120" w:afterLines="50"/>
              <w:jc w:val="both"/>
              <w:textAlignment w:val="baseline"/>
              <w:rPr>
                <w:rFonts w:hint="default"/>
                <w:szCs w:val="24"/>
                <w:lang w:val="en-US"/>
              </w:rPr>
            </w:pPr>
            <w:r>
              <w:rPr>
                <w:rFonts w:hint="default"/>
                <w:szCs w:val="24"/>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p>
        </w:tc>
        <w:tc>
          <w:tcPr>
            <w:tcW w:w="4495" w:type="pct"/>
          </w:tcPr>
          <w:p>
            <w:pPr>
              <w:overflowPunct w:val="0"/>
              <w:autoSpaceDE w:val="0"/>
              <w:autoSpaceDN w:val="0"/>
              <w:adjustRightInd w:val="0"/>
              <w:spacing w:after="120" w:afterLines="50"/>
              <w:jc w:val="both"/>
              <w:textAlignment w:val="baseline"/>
              <w:rPr>
                <w:szCs w:val="24"/>
              </w:rPr>
            </w:pPr>
          </w:p>
        </w:tc>
      </w:tr>
    </w:tbl>
    <w:p>
      <w:pPr>
        <w:spacing w:after="120" w:afterLines="50"/>
        <w:jc w:val="both"/>
        <w:rPr>
          <w:sz w:val="22"/>
        </w:rPr>
      </w:pPr>
    </w:p>
    <w:p>
      <w:pPr>
        <w:spacing w:after="120" w:afterLines="50"/>
        <w:jc w:val="both"/>
        <w:rPr>
          <w:sz w:val="22"/>
        </w:rPr>
      </w:pPr>
    </w:p>
    <w:p>
      <w:pPr>
        <w:pStyle w:val="4"/>
      </w:pPr>
      <w:r>
        <w:t>BWP switching by DCI format 1_3/0_3</w:t>
      </w:r>
    </w:p>
    <w:p>
      <w:pPr>
        <w:pStyle w:val="5"/>
        <w:jc w:val="left"/>
        <w:rPr>
          <w:rFonts w:ascii="Times New Roman" w:hAnsi="Times New Roman"/>
          <w:b/>
          <w:bCs/>
          <w:i w:val="0"/>
          <w:iCs/>
          <w:lang w:val="en-US"/>
        </w:rPr>
      </w:pPr>
      <w:r>
        <w:rPr>
          <w:rFonts w:ascii="Times New Roman" w:hAnsi="Times New Roman"/>
          <w:b/>
          <w:bCs/>
          <w:i w:val="0"/>
          <w:iCs/>
          <w:highlight w:val="yellow"/>
          <w:lang w:val="en-US"/>
        </w:rPr>
        <w:t>Proposal 2-</w:t>
      </w:r>
      <w:r>
        <w:rPr>
          <w:rFonts w:hint="eastAsia" w:ascii="Times New Roman" w:hAnsi="Times New Roman"/>
          <w:b/>
          <w:bCs/>
          <w:i w:val="0"/>
          <w:iCs/>
          <w:highlight w:val="yellow"/>
          <w:lang w:val="en-US"/>
        </w:rPr>
        <w:t>2-1</w:t>
      </w:r>
      <w:r>
        <w:rPr>
          <w:rFonts w:ascii="Times New Roman" w:hAnsi="Times New Roman"/>
          <w:b/>
          <w:bCs/>
          <w:i w:val="0"/>
          <w:iCs/>
          <w:highlight w:val="yellow"/>
          <w:lang w:val="en-US"/>
        </w:rPr>
        <w:t>:</w:t>
      </w:r>
    </w:p>
    <w:p>
      <w:pPr>
        <w:spacing w:after="120" w:afterLines="50"/>
        <w:jc w:val="both"/>
        <w:rPr>
          <w:rFonts w:eastAsia="ＭＳ 明朝"/>
          <w:b/>
          <w:bCs/>
          <w:sz w:val="22"/>
          <w:szCs w:val="22"/>
        </w:rPr>
      </w:pPr>
      <w:r>
        <w:rPr>
          <w:rFonts w:eastAsia="ＭＳ 明朝"/>
          <w:b/>
          <w:bCs/>
          <w:sz w:val="22"/>
          <w:szCs w:val="22"/>
        </w:rPr>
        <w:t>Introduce following FG for BWP switching with same numerology by DCI format 0_3/1_3.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BWP switching with same numerology by DCI format 0_3/1_3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Support of BWP switching with same numerology by DCI format 0_3/1_3</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Prerequisite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At least one of {49-1, 49-1b, 49-2, 49-2b}</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Type</w:t>
      </w:r>
    </w:p>
    <w:p>
      <w:pPr>
        <w:pStyle w:val="95"/>
        <w:numPr>
          <w:ilvl w:val="1"/>
          <w:numId w:val="22"/>
        </w:numPr>
        <w:spacing w:after="120" w:afterLines="50" w:line="240" w:lineRule="auto"/>
        <w:ind w:leftChars="0"/>
        <w:jc w:val="both"/>
        <w:rPr>
          <w:rFonts w:eastAsia="ＭＳ 明朝"/>
          <w:sz w:val="22"/>
          <w:szCs w:val="22"/>
        </w:rPr>
      </w:pPr>
      <w:r>
        <w:rPr>
          <w:rFonts w:hint="eastAsia" w:eastAsia="ＭＳ 明朝"/>
          <w:sz w:val="22"/>
          <w:szCs w:val="22"/>
        </w:rPr>
        <w:t>[</w:t>
      </w:r>
      <w:r>
        <w:rPr>
          <w:rFonts w:eastAsia="ＭＳ 明朝"/>
          <w:sz w:val="22"/>
          <w:szCs w:val="22"/>
        </w:rPr>
        <w:t>Per BC</w:t>
      </w:r>
      <w:r>
        <w:rPr>
          <w:rFonts w:hint="eastAsia" w:eastAsia="ＭＳ 明朝"/>
          <w:sz w:val="22"/>
          <w:szCs w:val="22"/>
        </w:rPr>
        <w:t xml:space="preserve"> or Per UE]</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Note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None</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Optional with capability signaling</w:t>
      </w:r>
    </w:p>
    <w:p>
      <w:pPr>
        <w:pStyle w:val="5"/>
        <w:jc w:val="left"/>
        <w:rPr>
          <w:rFonts w:ascii="Times New Roman" w:hAnsi="Times New Roman"/>
          <w:b/>
          <w:bCs/>
          <w:i w:val="0"/>
          <w:iCs/>
          <w:lang w:val="en-US"/>
        </w:rPr>
      </w:pPr>
      <w:r>
        <w:rPr>
          <w:rFonts w:ascii="Times New Roman" w:hAnsi="Times New Roman"/>
          <w:b/>
          <w:bCs/>
          <w:i w:val="0"/>
          <w:iCs/>
          <w:highlight w:val="yellow"/>
          <w:lang w:val="en-US"/>
        </w:rPr>
        <w:t>Proposal 2-2</w:t>
      </w:r>
      <w:r>
        <w:rPr>
          <w:rFonts w:hint="eastAsia" w:ascii="Times New Roman" w:hAnsi="Times New Roman"/>
          <w:b/>
          <w:bCs/>
          <w:i w:val="0"/>
          <w:iCs/>
          <w:highlight w:val="yellow"/>
          <w:lang w:val="en-US"/>
        </w:rPr>
        <w:t>-2</w:t>
      </w:r>
      <w:r>
        <w:rPr>
          <w:rFonts w:ascii="Times New Roman" w:hAnsi="Times New Roman"/>
          <w:b/>
          <w:bCs/>
          <w:i w:val="0"/>
          <w:iCs/>
          <w:highlight w:val="yellow"/>
          <w:lang w:val="en-US"/>
        </w:rPr>
        <w:t>:</w:t>
      </w:r>
    </w:p>
    <w:p>
      <w:pPr>
        <w:spacing w:after="120" w:afterLines="50"/>
        <w:jc w:val="both"/>
        <w:rPr>
          <w:rFonts w:eastAsia="ＭＳ 明朝"/>
          <w:b/>
          <w:bCs/>
          <w:sz w:val="22"/>
          <w:szCs w:val="22"/>
        </w:rPr>
      </w:pPr>
      <w:r>
        <w:rPr>
          <w:rFonts w:eastAsia="ＭＳ 明朝"/>
          <w:b/>
          <w:bCs/>
          <w:sz w:val="22"/>
          <w:szCs w:val="22"/>
        </w:rPr>
        <w:t>Introduce following FG for BWP switching with different numerology by DCI format 0_3/1_3.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BWP switching with different numerology by DCI format 0_3/1_3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Support of BWP switching with different numerology by DCI format 0_3/1_3</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Prerequisite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At least one of {49-1, 49-1b, 49-2, 49-2b}</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Type</w:t>
      </w:r>
    </w:p>
    <w:p>
      <w:pPr>
        <w:pStyle w:val="95"/>
        <w:numPr>
          <w:ilvl w:val="1"/>
          <w:numId w:val="22"/>
        </w:numPr>
        <w:spacing w:after="120" w:afterLines="50" w:line="240" w:lineRule="auto"/>
        <w:ind w:leftChars="0"/>
        <w:jc w:val="both"/>
        <w:rPr>
          <w:rFonts w:eastAsia="ＭＳ 明朝"/>
          <w:sz w:val="22"/>
          <w:szCs w:val="22"/>
        </w:rPr>
      </w:pPr>
      <w:r>
        <w:rPr>
          <w:rFonts w:hint="eastAsia" w:eastAsia="ＭＳ 明朝"/>
          <w:sz w:val="22"/>
          <w:szCs w:val="22"/>
        </w:rPr>
        <w:t>[</w:t>
      </w:r>
      <w:r>
        <w:rPr>
          <w:rFonts w:eastAsia="ＭＳ 明朝"/>
          <w:sz w:val="22"/>
          <w:szCs w:val="22"/>
        </w:rPr>
        <w:t>Per BC</w:t>
      </w:r>
      <w:r>
        <w:rPr>
          <w:rFonts w:hint="eastAsia" w:eastAsia="ＭＳ 明朝"/>
          <w:sz w:val="22"/>
          <w:szCs w:val="22"/>
        </w:rPr>
        <w:t xml:space="preserve"> or Per UE]</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Note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None</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Optional with capability signaling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20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5"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1"/>
              </w:numPr>
              <w:overflowPunct w:val="0"/>
              <w:autoSpaceDE w:val="0"/>
              <w:autoSpaceDN w:val="0"/>
              <w:adjustRightInd w:val="0"/>
              <w:spacing w:after="120" w:afterLines="50"/>
              <w:ind w:leftChars="0"/>
              <w:jc w:val="both"/>
              <w:textAlignment w:val="baseline"/>
              <w:rPr>
                <w:szCs w:val="24"/>
              </w:rPr>
            </w:pPr>
            <w:r>
              <w:rPr>
                <w:szCs w:val="24"/>
              </w:rPr>
              <w:t>Support new FG</w:t>
            </w:r>
            <w:r>
              <w:rPr>
                <w:rFonts w:hint="eastAsia"/>
                <w:szCs w:val="24"/>
              </w:rPr>
              <w:t>s</w:t>
            </w:r>
            <w:r>
              <w:rPr>
                <w:szCs w:val="24"/>
              </w:rPr>
              <w:t xml:space="preserve"> for BWP switching by DCI format 1_3/0_3: </w:t>
            </w:r>
            <w:r>
              <w:rPr>
                <w:rFonts w:hint="eastAsia"/>
                <w:szCs w:val="24"/>
              </w:rPr>
              <w:t>OPPO, Ericsson</w:t>
            </w:r>
          </w:p>
          <w:p>
            <w:pPr>
              <w:pStyle w:val="95"/>
              <w:numPr>
                <w:ilvl w:val="1"/>
                <w:numId w:val="21"/>
              </w:numPr>
              <w:overflowPunct w:val="0"/>
              <w:autoSpaceDE w:val="0"/>
              <w:autoSpaceDN w:val="0"/>
              <w:adjustRightInd w:val="0"/>
              <w:spacing w:after="120" w:afterLines="50"/>
              <w:ind w:leftChars="0"/>
              <w:jc w:val="both"/>
              <w:textAlignment w:val="baseline"/>
              <w:rPr>
                <w:sz w:val="28"/>
                <w:szCs w:val="28"/>
              </w:rPr>
            </w:pPr>
            <w:r>
              <w:rPr>
                <w:rFonts w:hint="eastAsia" w:eastAsia="ＭＳ 明朝"/>
                <w:szCs w:val="21"/>
                <w:lang w:val="en-US"/>
              </w:rPr>
              <w:t xml:space="preserve">OPPO: </w:t>
            </w:r>
            <w:r>
              <w:rPr>
                <w:rFonts w:eastAsia="ＭＳ 明朝"/>
                <w:szCs w:val="21"/>
                <w:lang w:val="en-US"/>
              </w:rPr>
              <w:t>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w:t>
            </w:r>
          </w:p>
          <w:p>
            <w:pPr>
              <w:pStyle w:val="14"/>
              <w:numPr>
                <w:ilvl w:val="1"/>
                <w:numId w:val="21"/>
              </w:numPr>
              <w:overflowPunct w:val="0"/>
              <w:autoSpaceDE w:val="0"/>
              <w:autoSpaceDN w:val="0"/>
              <w:adjustRightInd w:val="0"/>
              <w:spacing w:line="240" w:lineRule="auto"/>
              <w:jc w:val="both"/>
              <w:textAlignment w:val="baseline"/>
              <w:rPr>
                <w:rFonts w:eastAsia="ＭＳ 明朝"/>
                <w:sz w:val="20"/>
                <w:lang w:val="en-US"/>
              </w:rPr>
            </w:pPr>
            <w:r>
              <w:rPr>
                <w:rFonts w:hint="eastAsia"/>
              </w:rPr>
              <w:t xml:space="preserve">OPPO: </w:t>
            </w:r>
            <w: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pPr>
              <w:pStyle w:val="14"/>
              <w:numPr>
                <w:ilvl w:val="2"/>
                <w:numId w:val="21"/>
              </w:numPr>
              <w:overflowPunct w:val="0"/>
              <w:autoSpaceDE w:val="0"/>
              <w:autoSpaceDN w:val="0"/>
              <w:adjustRightInd w:val="0"/>
              <w:spacing w:line="240" w:lineRule="auto"/>
              <w:jc w:val="both"/>
              <w:textAlignment w:val="baseline"/>
            </w:pPr>
            <w:r>
              <w:t xml:space="preserve">UE supports both BWP switching with </w:t>
            </w:r>
            <w:r>
              <w:rPr>
                <w:b/>
                <w:i/>
              </w:rPr>
              <w:t>same</w:t>
            </w:r>
            <w:r>
              <w:t xml:space="preserve"> numerology and BWP switching with </w:t>
            </w:r>
            <w:r>
              <w:rPr>
                <w:b/>
                <w:i/>
              </w:rPr>
              <w:t>different</w:t>
            </w:r>
            <w:r>
              <w:t xml:space="preserve"> numerologies (within a band) for DCI formats up to Rel-17; and meanwhile</w:t>
            </w:r>
          </w:p>
          <w:p>
            <w:pPr>
              <w:pStyle w:val="95"/>
              <w:numPr>
                <w:ilvl w:val="2"/>
                <w:numId w:val="21"/>
              </w:numPr>
              <w:overflowPunct w:val="0"/>
              <w:autoSpaceDE w:val="0"/>
              <w:autoSpaceDN w:val="0"/>
              <w:adjustRightInd w:val="0"/>
              <w:spacing w:after="120" w:afterLines="50"/>
              <w:ind w:leftChars="0"/>
              <w:jc w:val="both"/>
              <w:textAlignment w:val="baseline"/>
              <w:rPr>
                <w:sz w:val="28"/>
                <w:szCs w:val="28"/>
              </w:rPr>
            </w:pPr>
            <w:r>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FG49-1b for the BC’s).  </w:t>
            </w:r>
          </w:p>
          <w:p>
            <w:pPr>
              <w:pStyle w:val="95"/>
              <w:numPr>
                <w:ilvl w:val="1"/>
                <w:numId w:val="21"/>
              </w:numPr>
              <w:overflowPunct w:val="0"/>
              <w:autoSpaceDE w:val="0"/>
              <w:autoSpaceDN w:val="0"/>
              <w:adjustRightInd w:val="0"/>
              <w:spacing w:after="120" w:afterLines="50"/>
              <w:ind w:leftChars="0"/>
              <w:jc w:val="both"/>
              <w:textAlignment w:val="baseline"/>
              <w:rPr>
                <w:szCs w:val="24"/>
              </w:rPr>
            </w:pPr>
            <w:r>
              <w:rPr>
                <w:rFonts w:hint="eastAsia"/>
                <w:szCs w:val="24"/>
              </w:rPr>
              <w:t xml:space="preserve">Ericsson: </w:t>
            </w:r>
            <w:r>
              <w:rPr>
                <w:szCs w:val="24"/>
              </w:rPr>
              <w:t>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w:t>
            </w:r>
          </w:p>
          <w:p>
            <w:pPr>
              <w:pStyle w:val="95"/>
              <w:numPr>
                <w:ilvl w:val="0"/>
                <w:numId w:val="21"/>
              </w:numPr>
              <w:overflowPunct w:val="0"/>
              <w:autoSpaceDE w:val="0"/>
              <w:autoSpaceDN w:val="0"/>
              <w:adjustRightInd w:val="0"/>
              <w:spacing w:after="120" w:afterLines="50"/>
              <w:ind w:leftChars="0"/>
              <w:jc w:val="both"/>
              <w:textAlignment w:val="baseline"/>
              <w:rPr>
                <w:szCs w:val="24"/>
              </w:rPr>
            </w:pPr>
            <w:r>
              <w:rPr>
                <w:szCs w:val="24"/>
              </w:rPr>
              <w:t>Not support new FG for BWP switching by DCI format 1_3/0_3: ZTE</w:t>
            </w:r>
          </w:p>
          <w:p>
            <w:pPr>
              <w:pStyle w:val="95"/>
              <w:numPr>
                <w:ilvl w:val="1"/>
                <w:numId w:val="21"/>
              </w:numPr>
              <w:overflowPunct w:val="0"/>
              <w:autoSpaceDE w:val="0"/>
              <w:autoSpaceDN w:val="0"/>
              <w:adjustRightInd w:val="0"/>
              <w:ind w:leftChars="0"/>
              <w:textAlignment w:val="baseline"/>
              <w:rPr>
                <w:szCs w:val="24"/>
              </w:rPr>
            </w:pPr>
            <w:r>
              <w:rPr>
                <w:rFonts w:hint="eastAsia"/>
              </w:rPr>
              <w:t xml:space="preserve">ZTE: </w:t>
            </w:r>
            <w:r>
              <w:t>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w:t>
            </w:r>
          </w:p>
          <w:p>
            <w:pPr>
              <w:overflowPunct w:val="0"/>
              <w:autoSpaceDE w:val="0"/>
              <w:autoSpaceDN w:val="0"/>
              <w:adjustRightInd w:val="0"/>
              <w:textAlignment w:val="baseline"/>
              <w:rPr>
                <w:szCs w:val="24"/>
              </w:rPr>
            </w:pPr>
          </w:p>
          <w:p>
            <w:pPr>
              <w:overflowPunct w:val="0"/>
              <w:autoSpaceDE w:val="0"/>
              <w:autoSpaceDN w:val="0"/>
              <w:adjustRightInd w:val="0"/>
              <w:textAlignment w:val="baseline"/>
              <w:rPr>
                <w:szCs w:val="24"/>
              </w:rPr>
            </w:pPr>
            <w:r>
              <w:rPr>
                <w:rFonts w:hint="eastAsia"/>
                <w:szCs w:val="24"/>
              </w:rPr>
              <w:t>Reference:</w:t>
            </w:r>
          </w:p>
          <w:tbl>
            <w:tblPr>
              <w:tblStyle w:val="12"/>
              <w:tblW w:w="20541" w:type="dxa"/>
              <w:tblInd w:w="0" w:type="dxa"/>
              <w:tblLayout w:type="autofit"/>
              <w:tblCellMar>
                <w:top w:w="0" w:type="dxa"/>
                <w:left w:w="108" w:type="dxa"/>
                <w:bottom w:w="0" w:type="dxa"/>
                <w:right w:w="108" w:type="dxa"/>
              </w:tblCellMar>
            </w:tblPr>
            <w:tblGrid>
              <w:gridCol w:w="809"/>
              <w:gridCol w:w="1972"/>
              <w:gridCol w:w="10077"/>
              <w:gridCol w:w="567"/>
              <w:gridCol w:w="2839"/>
              <w:gridCol w:w="990"/>
              <w:gridCol w:w="567"/>
              <w:gridCol w:w="567"/>
              <w:gridCol w:w="427"/>
              <w:gridCol w:w="1726"/>
            </w:tblGrid>
            <w:tr>
              <w:tblPrEx>
                <w:tblCellMar>
                  <w:top w:w="0" w:type="dxa"/>
                  <w:left w:w="108" w:type="dxa"/>
                  <w:bottom w:w="0" w:type="dxa"/>
                  <w:right w:w="108" w:type="dxa"/>
                </w:tblCellMar>
              </w:tblPrEx>
              <w:tc>
                <w:tcPr>
                  <w:tcW w:w="197" w:type="pct"/>
                </w:tcPr>
                <w:p>
                  <w:pPr>
                    <w:pStyle w:val="114"/>
                    <w:rPr>
                      <w:rFonts w:eastAsia="Times New Roman"/>
                      <w:lang w:eastAsia="en-GB"/>
                    </w:rPr>
                  </w:pPr>
                  <w:r>
                    <w:rPr>
                      <w:lang w:eastAsia="en-GB"/>
                    </w:rPr>
                    <w:t>6-2</w:t>
                  </w:r>
                </w:p>
              </w:tc>
              <w:tc>
                <w:tcPr>
                  <w:tcW w:w="480" w:type="pct"/>
                </w:tcPr>
                <w:p>
                  <w:pPr>
                    <w:pStyle w:val="114"/>
                    <w:rPr>
                      <w:lang w:eastAsia="en-GB"/>
                    </w:rPr>
                  </w:pPr>
                  <w:r>
                    <w:rPr>
                      <w:lang w:eastAsia="en-GB"/>
                    </w:rPr>
                    <w:t>Type A BWP adaptation with same numerology</w:t>
                  </w:r>
                </w:p>
              </w:tc>
              <w:tc>
                <w:tcPr>
                  <w:tcW w:w="2453" w:type="pct"/>
                </w:tcPr>
                <w:p>
                  <w:pPr>
                    <w:pStyle w:val="114"/>
                    <w:rPr>
                      <w:lang w:eastAsia="en-GB"/>
                    </w:rPr>
                  </w:pPr>
                  <w:r>
                    <w:rPr>
                      <w:lang w:eastAsia="en-GB"/>
                    </w:rPr>
                    <w:t>1) Up to 2 UE-specific RRC configured DL BWPs per carrier</w:t>
                  </w:r>
                </w:p>
                <w:p>
                  <w:pPr>
                    <w:pStyle w:val="114"/>
                    <w:rPr>
                      <w:lang w:eastAsia="en-GB"/>
                    </w:rPr>
                  </w:pPr>
                  <w:r>
                    <w:rPr>
                      <w:lang w:eastAsia="en-GB"/>
                    </w:rPr>
                    <w:t>2) Up to 2 UE-specific RRC configured UL BWPs per carrier</w:t>
                  </w:r>
                </w:p>
                <w:p>
                  <w:pPr>
                    <w:pStyle w:val="114"/>
                    <w:rPr>
                      <w:lang w:eastAsia="en-GB"/>
                    </w:rPr>
                  </w:pPr>
                  <w:r>
                    <w:rPr>
                      <w:lang w:eastAsia="en-GB"/>
                    </w:rPr>
                    <w:t>3) Active BWP switching by DCI and timer</w:t>
                  </w:r>
                </w:p>
                <w:p>
                  <w:pPr>
                    <w:pStyle w:val="114"/>
                    <w:rPr>
                      <w:lang w:eastAsia="en-GB"/>
                    </w:rPr>
                  </w:pPr>
                  <w:r>
                    <w:rPr>
                      <w:lang w:eastAsia="en-GB"/>
                    </w:rPr>
                    <w:t>4) Same numerology for all the UE-specific RRC configured BWPs per carrier</w:t>
                  </w:r>
                </w:p>
                <w:p>
                  <w:pPr>
                    <w:pStyle w:val="114"/>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tcPr>
                <w:p>
                  <w:pPr>
                    <w:pStyle w:val="114"/>
                    <w:rPr>
                      <w:lang w:eastAsia="en-GB"/>
                    </w:rPr>
                  </w:pPr>
                  <w:r>
                    <w:rPr>
                      <w:lang w:eastAsia="en-GB"/>
                    </w:rPr>
                    <w:t>6-1</w:t>
                  </w:r>
                </w:p>
              </w:tc>
              <w:tc>
                <w:tcPr>
                  <w:tcW w:w="691" w:type="pct"/>
                </w:tcPr>
                <w:p>
                  <w:pPr>
                    <w:pStyle w:val="114"/>
                    <w:rPr>
                      <w:lang w:eastAsia="en-GB"/>
                    </w:rPr>
                  </w:pPr>
                  <w:r>
                    <w:rPr>
                      <w:i/>
                      <w:lang w:eastAsia="en-GB"/>
                    </w:rPr>
                    <w:t>upto2</w:t>
                  </w:r>
                  <w:r>
                    <w:rPr>
                      <w:lang w:eastAsia="en-GB"/>
                    </w:rPr>
                    <w:t xml:space="preserve"> in </w:t>
                  </w:r>
                  <w:r>
                    <w:rPr>
                      <w:i/>
                      <w:lang w:eastAsia="en-GB"/>
                    </w:rPr>
                    <w:t>bwp-SameNumerology</w:t>
                  </w:r>
                </w:p>
              </w:tc>
              <w:tc>
                <w:tcPr>
                  <w:tcW w:w="241" w:type="pct"/>
                </w:tcPr>
                <w:p>
                  <w:pPr>
                    <w:pStyle w:val="114"/>
                    <w:rPr>
                      <w:lang w:eastAsia="en-GB"/>
                    </w:rPr>
                  </w:pPr>
                  <w:r>
                    <w:rPr>
                      <w:i/>
                      <w:lang w:eastAsia="en-GB"/>
                    </w:rPr>
                    <w:t>BandNR</w:t>
                  </w:r>
                </w:p>
              </w:tc>
              <w:tc>
                <w:tcPr>
                  <w:tcW w:w="138" w:type="pct"/>
                </w:tcPr>
                <w:p>
                  <w:pPr>
                    <w:pStyle w:val="114"/>
                    <w:rPr>
                      <w:lang w:eastAsia="en-GB"/>
                    </w:rPr>
                  </w:pPr>
                  <w:r>
                    <w:rPr>
                      <w:lang w:eastAsia="en-GB"/>
                    </w:rPr>
                    <w:t>n/a</w:t>
                  </w:r>
                </w:p>
              </w:tc>
              <w:tc>
                <w:tcPr>
                  <w:tcW w:w="138" w:type="pct"/>
                </w:tcPr>
                <w:p>
                  <w:pPr>
                    <w:pStyle w:val="114"/>
                    <w:rPr>
                      <w:lang w:eastAsia="en-GB"/>
                    </w:rPr>
                  </w:pPr>
                  <w:r>
                    <w:rPr>
                      <w:lang w:eastAsia="en-GB"/>
                    </w:rPr>
                    <w:t>n/a</w:t>
                  </w:r>
                </w:p>
              </w:tc>
              <w:tc>
                <w:tcPr>
                  <w:tcW w:w="104" w:type="pct"/>
                </w:tcPr>
                <w:p>
                  <w:pPr>
                    <w:pStyle w:val="114"/>
                    <w:rPr>
                      <w:lang w:eastAsia="en-GB"/>
                    </w:rPr>
                  </w:pPr>
                </w:p>
              </w:tc>
              <w:tc>
                <w:tcPr>
                  <w:tcW w:w="420" w:type="pct"/>
                </w:tcPr>
                <w:p>
                  <w:pPr>
                    <w:pStyle w:val="114"/>
                    <w:rPr>
                      <w:lang w:eastAsia="en-GB"/>
                    </w:rPr>
                  </w:pPr>
                  <w:r>
                    <w:rPr>
                      <w:lang w:eastAsia="en-GB"/>
                    </w:rPr>
                    <w:t>Optional with capability signalling</w:t>
                  </w:r>
                </w:p>
              </w:tc>
            </w:tr>
            <w:tr>
              <w:tblPrEx>
                <w:tblCellMar>
                  <w:top w:w="0" w:type="dxa"/>
                  <w:left w:w="108" w:type="dxa"/>
                  <w:bottom w:w="0" w:type="dxa"/>
                  <w:right w:w="108" w:type="dxa"/>
                </w:tblCellMar>
              </w:tblPrEx>
              <w:tc>
                <w:tcPr>
                  <w:tcW w:w="197" w:type="pct"/>
                </w:tcPr>
                <w:p>
                  <w:pPr>
                    <w:pStyle w:val="114"/>
                    <w:rPr>
                      <w:lang w:eastAsia="en-GB"/>
                    </w:rPr>
                  </w:pPr>
                  <w:r>
                    <w:rPr>
                      <w:lang w:eastAsia="en-GB"/>
                    </w:rPr>
                    <w:t>6-3</w:t>
                  </w:r>
                </w:p>
              </w:tc>
              <w:tc>
                <w:tcPr>
                  <w:tcW w:w="480" w:type="pct"/>
                </w:tcPr>
                <w:p>
                  <w:pPr>
                    <w:pStyle w:val="114"/>
                    <w:rPr>
                      <w:lang w:eastAsia="en-GB"/>
                    </w:rPr>
                  </w:pPr>
                  <w:r>
                    <w:rPr>
                      <w:lang w:eastAsia="en-GB"/>
                    </w:rPr>
                    <w:t>Type B BWP adaptation with same numerology</w:t>
                  </w:r>
                </w:p>
              </w:tc>
              <w:tc>
                <w:tcPr>
                  <w:tcW w:w="2453" w:type="pct"/>
                </w:tcPr>
                <w:p>
                  <w:pPr>
                    <w:pStyle w:val="114"/>
                    <w:rPr>
                      <w:lang w:eastAsia="en-GB"/>
                    </w:rPr>
                  </w:pPr>
                  <w:r>
                    <w:rPr>
                      <w:lang w:eastAsia="en-GB"/>
                    </w:rPr>
                    <w:t>1) Up to 4 UE-specific RRC configured DL BWPs per carrier</w:t>
                  </w:r>
                </w:p>
                <w:p>
                  <w:pPr>
                    <w:pStyle w:val="114"/>
                    <w:rPr>
                      <w:lang w:eastAsia="en-GB"/>
                    </w:rPr>
                  </w:pPr>
                  <w:r>
                    <w:rPr>
                      <w:lang w:eastAsia="en-GB"/>
                    </w:rPr>
                    <w:t>2) Up to 4 UE-specific RRC configured UL BWPs per carrier</w:t>
                  </w:r>
                </w:p>
                <w:p>
                  <w:pPr>
                    <w:pStyle w:val="114"/>
                    <w:rPr>
                      <w:lang w:eastAsia="en-GB"/>
                    </w:rPr>
                  </w:pPr>
                  <w:r>
                    <w:rPr>
                      <w:lang w:eastAsia="en-GB"/>
                    </w:rPr>
                    <w:t>3) Active BWP switching by DCI and timer</w:t>
                  </w:r>
                </w:p>
                <w:p>
                  <w:pPr>
                    <w:pStyle w:val="114"/>
                    <w:rPr>
                      <w:lang w:eastAsia="en-GB"/>
                    </w:rPr>
                  </w:pPr>
                  <w:r>
                    <w:rPr>
                      <w:lang w:eastAsia="en-GB"/>
                    </w:rPr>
                    <w:t>4) Same numerology for all the UE-specific RRC configured BWPs per carrier</w:t>
                  </w:r>
                </w:p>
                <w:p>
                  <w:pPr>
                    <w:pStyle w:val="114"/>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tcPr>
                <w:p>
                  <w:pPr>
                    <w:pStyle w:val="114"/>
                    <w:rPr>
                      <w:lang w:eastAsia="en-GB"/>
                    </w:rPr>
                  </w:pPr>
                  <w:r>
                    <w:rPr>
                      <w:lang w:eastAsia="en-GB"/>
                    </w:rPr>
                    <w:t>6-1</w:t>
                  </w:r>
                </w:p>
              </w:tc>
              <w:tc>
                <w:tcPr>
                  <w:tcW w:w="691" w:type="pct"/>
                </w:tcPr>
                <w:p>
                  <w:pPr>
                    <w:pStyle w:val="114"/>
                    <w:rPr>
                      <w:lang w:eastAsia="en-GB"/>
                    </w:rPr>
                  </w:pPr>
                  <w:r>
                    <w:rPr>
                      <w:i/>
                      <w:lang w:eastAsia="en-GB"/>
                    </w:rPr>
                    <w:t>upto4</w:t>
                  </w:r>
                  <w:r>
                    <w:rPr>
                      <w:lang w:eastAsia="en-GB"/>
                    </w:rPr>
                    <w:t xml:space="preserve"> in </w:t>
                  </w:r>
                  <w:r>
                    <w:rPr>
                      <w:i/>
                      <w:lang w:eastAsia="en-GB"/>
                    </w:rPr>
                    <w:t>bwp-SameNumerology</w:t>
                  </w:r>
                </w:p>
              </w:tc>
              <w:tc>
                <w:tcPr>
                  <w:tcW w:w="241" w:type="pct"/>
                </w:tcPr>
                <w:p>
                  <w:pPr>
                    <w:pStyle w:val="114"/>
                    <w:rPr>
                      <w:lang w:eastAsia="en-GB"/>
                    </w:rPr>
                  </w:pPr>
                  <w:r>
                    <w:rPr>
                      <w:i/>
                      <w:lang w:eastAsia="en-GB"/>
                    </w:rPr>
                    <w:t>BandNR</w:t>
                  </w:r>
                </w:p>
              </w:tc>
              <w:tc>
                <w:tcPr>
                  <w:tcW w:w="138" w:type="pct"/>
                </w:tcPr>
                <w:p>
                  <w:pPr>
                    <w:pStyle w:val="114"/>
                    <w:rPr>
                      <w:lang w:eastAsia="en-GB"/>
                    </w:rPr>
                  </w:pPr>
                  <w:r>
                    <w:rPr>
                      <w:lang w:eastAsia="en-GB"/>
                    </w:rPr>
                    <w:t>n/a</w:t>
                  </w:r>
                </w:p>
              </w:tc>
              <w:tc>
                <w:tcPr>
                  <w:tcW w:w="138" w:type="pct"/>
                </w:tcPr>
                <w:p>
                  <w:pPr>
                    <w:pStyle w:val="114"/>
                    <w:rPr>
                      <w:lang w:eastAsia="en-GB"/>
                    </w:rPr>
                  </w:pPr>
                  <w:r>
                    <w:rPr>
                      <w:lang w:eastAsia="en-GB"/>
                    </w:rPr>
                    <w:t>n/a</w:t>
                  </w:r>
                </w:p>
              </w:tc>
              <w:tc>
                <w:tcPr>
                  <w:tcW w:w="104" w:type="pct"/>
                </w:tcPr>
                <w:p>
                  <w:pPr>
                    <w:pStyle w:val="114"/>
                    <w:rPr>
                      <w:lang w:eastAsia="en-GB"/>
                    </w:rPr>
                  </w:pPr>
                </w:p>
              </w:tc>
              <w:tc>
                <w:tcPr>
                  <w:tcW w:w="420" w:type="pct"/>
                </w:tcPr>
                <w:p>
                  <w:pPr>
                    <w:pStyle w:val="114"/>
                    <w:rPr>
                      <w:lang w:eastAsia="en-GB"/>
                    </w:rPr>
                  </w:pPr>
                  <w:r>
                    <w:rPr>
                      <w:lang w:eastAsia="en-GB"/>
                    </w:rPr>
                    <w:t>Optional with capability signalling</w:t>
                  </w:r>
                </w:p>
              </w:tc>
            </w:tr>
            <w:tr>
              <w:tblPrEx>
                <w:tblCellMar>
                  <w:top w:w="0" w:type="dxa"/>
                  <w:left w:w="108" w:type="dxa"/>
                  <w:bottom w:w="0" w:type="dxa"/>
                  <w:right w:w="108" w:type="dxa"/>
                </w:tblCellMar>
              </w:tblPrEx>
              <w:tc>
                <w:tcPr>
                  <w:tcW w:w="197" w:type="pct"/>
                </w:tcPr>
                <w:p>
                  <w:pPr>
                    <w:pStyle w:val="114"/>
                    <w:rPr>
                      <w:lang w:eastAsia="en-GB"/>
                    </w:rPr>
                  </w:pPr>
                  <w:r>
                    <w:rPr>
                      <w:lang w:eastAsia="en-GB"/>
                    </w:rPr>
                    <w:t>6-4</w:t>
                  </w:r>
                </w:p>
              </w:tc>
              <w:tc>
                <w:tcPr>
                  <w:tcW w:w="480" w:type="pct"/>
                </w:tcPr>
                <w:p>
                  <w:pPr>
                    <w:pStyle w:val="114"/>
                    <w:rPr>
                      <w:lang w:eastAsia="en-GB"/>
                    </w:rPr>
                  </w:pPr>
                  <w:r>
                    <w:rPr>
                      <w:lang w:eastAsia="en-GB"/>
                    </w:rPr>
                    <w:t>BWP adaptation with different numerologies</w:t>
                  </w:r>
                </w:p>
              </w:tc>
              <w:tc>
                <w:tcPr>
                  <w:tcW w:w="2453" w:type="pct"/>
                </w:tcPr>
                <w:p>
                  <w:pPr>
                    <w:pStyle w:val="114"/>
                    <w:rPr>
                      <w:lang w:eastAsia="en-GB"/>
                    </w:rPr>
                  </w:pPr>
                  <w:r>
                    <w:rPr>
                      <w:lang w:eastAsia="en-GB"/>
                    </w:rPr>
                    <w:t>1) Up to 4 UE-specific RRC configured DL BWPs per carrier</w:t>
                  </w:r>
                </w:p>
                <w:p>
                  <w:pPr>
                    <w:pStyle w:val="114"/>
                    <w:rPr>
                      <w:lang w:eastAsia="en-GB"/>
                    </w:rPr>
                  </w:pPr>
                  <w:r>
                    <w:rPr>
                      <w:lang w:eastAsia="en-GB"/>
                    </w:rPr>
                    <w:t>2) Up to 4 UE-specific RRC configured UL BWPs per carrier</w:t>
                  </w:r>
                </w:p>
                <w:p>
                  <w:pPr>
                    <w:pStyle w:val="114"/>
                    <w:rPr>
                      <w:lang w:eastAsia="en-GB"/>
                    </w:rPr>
                  </w:pPr>
                  <w:r>
                    <w:rPr>
                      <w:lang w:eastAsia="en-GB"/>
                    </w:rPr>
                    <w:t>3) Active BWP switching by DCI and timer</w:t>
                  </w:r>
                </w:p>
                <w:p>
                  <w:pPr>
                    <w:pStyle w:val="114"/>
                    <w:rPr>
                      <w:lang w:eastAsia="en-GB"/>
                    </w:rPr>
                  </w:pPr>
                  <w:r>
                    <w:rPr>
                      <w:lang w:eastAsia="en-GB"/>
                    </w:rPr>
                    <w:t>4) More than one numerologies for the UE-specific RRC configured BWPs per carrier</w:t>
                  </w:r>
                </w:p>
                <w:p>
                  <w:pPr>
                    <w:pStyle w:val="114"/>
                    <w:rPr>
                      <w:lang w:eastAsia="en-GB"/>
                    </w:rPr>
                  </w:pPr>
                  <w:r>
                    <w:rPr>
                      <w:lang w:eastAsia="en-GB"/>
                    </w:rPr>
                    <w:t>5) Same numerology between DL and UL per cell except for SUL at a given time</w:t>
                  </w:r>
                </w:p>
                <w:p>
                  <w:pPr>
                    <w:pStyle w:val="114"/>
                    <w:rPr>
                      <w:lang w:eastAsia="en-GB"/>
                    </w:rPr>
                  </w:pPr>
                  <w:r>
                    <w:rPr>
                      <w:lang w:eastAsia="en-GB"/>
                    </w:rPr>
                    <w:t>6) BW of a UE-specific RRC configured BWP includes BW of the CORESET#0 (if CORESET#0 is present) and SSB for PCell/PSCell (if configured) and BW of the UE-specific RRC configured BWP includes SSB for SCell if there is SSB on SCell</w:t>
                  </w:r>
                </w:p>
              </w:tc>
              <w:tc>
                <w:tcPr>
                  <w:tcW w:w="138" w:type="pct"/>
                </w:tcPr>
                <w:p>
                  <w:pPr>
                    <w:pStyle w:val="114"/>
                    <w:rPr>
                      <w:lang w:eastAsia="en-GB"/>
                    </w:rPr>
                  </w:pPr>
                  <w:r>
                    <w:rPr>
                      <w:lang w:eastAsia="en-GB"/>
                    </w:rPr>
                    <w:t>6-1</w:t>
                  </w:r>
                </w:p>
              </w:tc>
              <w:tc>
                <w:tcPr>
                  <w:tcW w:w="691" w:type="pct"/>
                </w:tcPr>
                <w:p>
                  <w:pPr>
                    <w:pStyle w:val="114"/>
                    <w:rPr>
                      <w:lang w:eastAsia="en-GB"/>
                    </w:rPr>
                  </w:pPr>
                  <w:r>
                    <w:rPr>
                      <w:i/>
                      <w:lang w:eastAsia="en-GB"/>
                    </w:rPr>
                    <w:t>upto4</w:t>
                  </w:r>
                  <w:r>
                    <w:rPr>
                      <w:lang w:eastAsia="en-GB"/>
                    </w:rPr>
                    <w:t xml:space="preserve"> in </w:t>
                  </w:r>
                  <w:r>
                    <w:rPr>
                      <w:i/>
                      <w:lang w:eastAsia="en-GB"/>
                    </w:rPr>
                    <w:t>bwp-DiffNumerology</w:t>
                  </w:r>
                </w:p>
              </w:tc>
              <w:tc>
                <w:tcPr>
                  <w:tcW w:w="241" w:type="pct"/>
                </w:tcPr>
                <w:p>
                  <w:pPr>
                    <w:pStyle w:val="114"/>
                    <w:rPr>
                      <w:lang w:eastAsia="en-GB"/>
                    </w:rPr>
                  </w:pPr>
                  <w:r>
                    <w:rPr>
                      <w:i/>
                      <w:lang w:eastAsia="en-GB"/>
                    </w:rPr>
                    <w:t>BandNR</w:t>
                  </w:r>
                </w:p>
              </w:tc>
              <w:tc>
                <w:tcPr>
                  <w:tcW w:w="138" w:type="pct"/>
                </w:tcPr>
                <w:p>
                  <w:pPr>
                    <w:pStyle w:val="114"/>
                    <w:rPr>
                      <w:lang w:eastAsia="en-GB"/>
                    </w:rPr>
                  </w:pPr>
                  <w:r>
                    <w:rPr>
                      <w:lang w:eastAsia="en-GB"/>
                    </w:rPr>
                    <w:t>n/a</w:t>
                  </w:r>
                </w:p>
              </w:tc>
              <w:tc>
                <w:tcPr>
                  <w:tcW w:w="138" w:type="pct"/>
                </w:tcPr>
                <w:p>
                  <w:pPr>
                    <w:pStyle w:val="114"/>
                    <w:rPr>
                      <w:lang w:eastAsia="en-GB"/>
                    </w:rPr>
                  </w:pPr>
                  <w:r>
                    <w:rPr>
                      <w:lang w:eastAsia="en-GB"/>
                    </w:rPr>
                    <w:t>n/a</w:t>
                  </w:r>
                </w:p>
              </w:tc>
              <w:tc>
                <w:tcPr>
                  <w:tcW w:w="104" w:type="pct"/>
                </w:tcPr>
                <w:p>
                  <w:pPr>
                    <w:pStyle w:val="114"/>
                    <w:rPr>
                      <w:lang w:eastAsia="en-GB"/>
                    </w:rPr>
                  </w:pPr>
                </w:p>
              </w:tc>
              <w:tc>
                <w:tcPr>
                  <w:tcW w:w="420" w:type="pct"/>
                </w:tcPr>
                <w:p>
                  <w:pPr>
                    <w:pStyle w:val="114"/>
                    <w:rPr>
                      <w:lang w:eastAsia="en-GB"/>
                    </w:rPr>
                  </w:pPr>
                  <w:r>
                    <w:rPr>
                      <w:lang w:eastAsia="en-GB"/>
                    </w:rPr>
                    <w:t>Optional with capability signalling</w:t>
                  </w:r>
                </w:p>
              </w:tc>
            </w:tr>
          </w:tbl>
          <w:p>
            <w:pPr>
              <w:overflowPunct w:val="0"/>
              <w:autoSpaceDE w:val="0"/>
              <w:autoSpaceDN w:val="0"/>
              <w:adjustRightInd w:val="0"/>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eastAsia" w:eastAsiaTheme="minorEastAsia"/>
                <w:szCs w:val="24"/>
                <w:lang w:val="en-US"/>
              </w:rPr>
            </w:pPr>
            <w:r>
              <w:rPr>
                <w:rFonts w:hint="eastAsia" w:eastAsiaTheme="minorEastAsia"/>
                <w:szCs w:val="24"/>
                <w:lang w:val="en-US"/>
              </w:rPr>
              <w:t>Qualcomm</w:t>
            </w:r>
          </w:p>
        </w:tc>
        <w:tc>
          <w:tcPr>
            <w:tcW w:w="4495" w:type="pct"/>
          </w:tcPr>
          <w:p>
            <w:pPr>
              <w:overflowPunct w:val="0"/>
              <w:autoSpaceDE w:val="0"/>
              <w:autoSpaceDN w:val="0"/>
              <w:adjustRightInd w:val="0"/>
              <w:spacing w:after="120" w:afterLines="50"/>
              <w:jc w:val="both"/>
              <w:textAlignment w:val="baseline"/>
              <w:rPr>
                <w:szCs w:val="24"/>
              </w:rPr>
            </w:pPr>
            <w:r>
              <w:rPr>
                <w:rFonts w:hint="eastAsia"/>
                <w:szCs w:val="24"/>
              </w:rPr>
              <w:t>The BWP switching mechanism of DCI format 0_3/1_3 is different from legacy (e.g., the DCI 0_3/1_3 can indicate BWP switch for some cells and BWP stay for other cells based on validity/invalidity of FDRA fields). Therefore, we agree having new FG makes sense.</w:t>
            </w:r>
          </w:p>
          <w:p>
            <w:pPr>
              <w:overflowPunct w:val="0"/>
              <w:autoSpaceDE w:val="0"/>
              <w:autoSpaceDN w:val="0"/>
              <w:adjustRightInd w:val="0"/>
              <w:spacing w:after="120" w:afterLines="50"/>
              <w:jc w:val="both"/>
              <w:textAlignment w:val="baseline"/>
              <w:rPr>
                <w:rFonts w:hint="eastAsia"/>
                <w:szCs w:val="24"/>
              </w:rPr>
            </w:pPr>
            <w:r>
              <w:rPr>
                <w:rFonts w:hint="eastAsia"/>
                <w:szCs w:val="24"/>
              </w:rPr>
              <w:t>However, we think BWP-switching capability should still be based on 6-2, 6-3, or 6-4. Otherwise, the new FG looks new FG defines new BWP-switching FG. Rather, the new FG should be to indicate support BWP switching by DCI format 0_3/1_3.</w:t>
            </w:r>
          </w:p>
          <w:p>
            <w:pPr>
              <w:overflowPunct w:val="0"/>
              <w:autoSpaceDE w:val="0"/>
              <w:autoSpaceDN w:val="0"/>
              <w:adjustRightInd w:val="0"/>
              <w:spacing w:after="120" w:afterLines="50"/>
              <w:jc w:val="both"/>
              <w:textAlignment w:val="baseline"/>
              <w:rPr>
                <w:szCs w:val="24"/>
              </w:rPr>
            </w:pPr>
            <w:r>
              <w:rPr>
                <w:rFonts w:hint="eastAsia"/>
                <w:szCs w:val="24"/>
              </w:rPr>
              <w:t>Given this, we suggest following.</w:t>
            </w:r>
          </w:p>
          <w:p>
            <w:pPr>
              <w:overflowPunct w:val="0"/>
              <w:autoSpaceDE w:val="0"/>
              <w:autoSpaceDN w:val="0"/>
              <w:adjustRightInd w:val="0"/>
              <w:spacing w:after="120" w:afterLines="50"/>
              <w:jc w:val="both"/>
              <w:textAlignment w:val="baseline"/>
              <w:rPr>
                <w:szCs w:val="24"/>
              </w:rPr>
            </w:pPr>
          </w:p>
          <w:p>
            <w:pPr>
              <w:overflowPunct w:val="0"/>
              <w:autoSpaceDE w:val="0"/>
              <w:autoSpaceDN w:val="0"/>
              <w:adjustRightInd w:val="0"/>
              <w:spacing w:after="120" w:afterLines="50"/>
              <w:jc w:val="both"/>
              <w:textAlignment w:val="baseline"/>
              <w:rPr>
                <w:rFonts w:eastAsia="ＭＳ 明朝"/>
                <w:b/>
                <w:bCs/>
                <w:sz w:val="22"/>
                <w:szCs w:val="22"/>
              </w:rPr>
            </w:pPr>
            <w:r>
              <w:rPr>
                <w:rFonts w:eastAsia="ＭＳ 明朝"/>
                <w:b/>
                <w:bCs/>
                <w:sz w:val="22"/>
                <w:szCs w:val="22"/>
              </w:rPr>
              <w:t xml:space="preserve">Introduce following FG </w:t>
            </w:r>
            <w:r>
              <w:rPr>
                <w:rFonts w:hint="eastAsia" w:eastAsia="ＭＳ 明朝"/>
                <w:b/>
                <w:bCs/>
                <w:sz w:val="22"/>
                <w:szCs w:val="22"/>
              </w:rPr>
              <w:t xml:space="preserve">that indicates support of </w:t>
            </w:r>
            <w:r>
              <w:rPr>
                <w:rFonts w:eastAsia="ＭＳ 明朝"/>
                <w:b/>
                <w:bCs/>
                <w:sz w:val="22"/>
                <w:szCs w:val="22"/>
              </w:rPr>
              <w:t>BWP switch 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 xml:space="preserve">Support of </w:t>
            </w:r>
            <w:r>
              <w:rPr>
                <w:rFonts w:eastAsia="ＭＳ 明朝"/>
                <w:sz w:val="22"/>
                <w:szCs w:val="22"/>
              </w:rPr>
              <w:t xml:space="preserve">BWP switch </w:t>
            </w:r>
            <w:r>
              <w:rPr>
                <w:rFonts w:hint="eastAsia" w:eastAsia="ＭＳ 明朝"/>
                <w:sz w:val="22"/>
                <w:szCs w:val="22"/>
              </w:rPr>
              <w:t xml:space="preserve">indication </w:t>
            </w:r>
            <w:r>
              <w:rPr>
                <w:rFonts w:eastAsia="ＭＳ 明朝"/>
                <w:sz w:val="22"/>
                <w:szCs w:val="22"/>
              </w:rPr>
              <w:t>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Support of BWP switch</w:t>
            </w:r>
            <w:r>
              <w:rPr>
                <w:rFonts w:hint="eastAsia" w:eastAsia="ＭＳ 明朝"/>
                <w:sz w:val="22"/>
                <w:szCs w:val="22"/>
              </w:rPr>
              <w:t xml:space="preserve"> indication </w:t>
            </w:r>
            <w:r>
              <w:rPr>
                <w:rFonts w:eastAsia="ＭＳ 明朝"/>
                <w:sz w:val="22"/>
                <w:szCs w:val="22"/>
              </w:rPr>
              <w:t>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Prerequisite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At least one of {49-1, 49-1b, 49-2, 49-2b}</w:t>
            </w:r>
            <w:r>
              <w:rPr>
                <w:rFonts w:hint="eastAsia" w:eastAsia="ＭＳ 明朝"/>
                <w:sz w:val="22"/>
                <w:szCs w:val="22"/>
              </w:rPr>
              <w:t xml:space="preserve"> for the BC</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At least one of {</w:t>
            </w:r>
            <w:r>
              <w:rPr>
                <w:rFonts w:hint="eastAsia" w:eastAsia="ＭＳ 明朝"/>
                <w:sz w:val="22"/>
                <w:szCs w:val="22"/>
              </w:rPr>
              <w:t>6-2, 6-3, 6-4</w:t>
            </w:r>
            <w:r>
              <w:rPr>
                <w:rFonts w:eastAsia="ＭＳ 明朝"/>
                <w:sz w:val="22"/>
                <w:szCs w:val="22"/>
              </w:rPr>
              <w:t>}</w:t>
            </w:r>
            <w:r>
              <w:rPr>
                <w:rFonts w:hint="eastAsia" w:eastAsia="ＭＳ 明朝"/>
                <w:sz w:val="22"/>
                <w:szCs w:val="22"/>
              </w:rPr>
              <w:t xml:space="preserve"> for at least one band of the BC</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Type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Per BC</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None</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Optional with capability signaling</w:t>
            </w:r>
          </w:p>
          <w:p>
            <w:pPr>
              <w:overflowPunct w:val="0"/>
              <w:autoSpaceDE w:val="0"/>
              <w:autoSpaceDN w:val="0"/>
              <w:adjustRightInd w:val="0"/>
              <w:spacing w:after="120" w:afterLines="50"/>
              <w:jc w:val="both"/>
              <w:textAlignment w:val="baseline"/>
              <w:rPr>
                <w:rFonts w:hint="eastAsia"/>
                <w:szCs w:val="24"/>
              </w:rPr>
            </w:pPr>
          </w:p>
          <w:p>
            <w:pPr>
              <w:overflowPunct w:val="0"/>
              <w:autoSpaceDE w:val="0"/>
              <w:autoSpaceDN w:val="0"/>
              <w:adjustRightInd w:val="0"/>
              <w:spacing w:after="120" w:afterLines="50"/>
              <w:jc w:val="both"/>
              <w:textAlignment w:val="baseline"/>
              <w:rPr>
                <w:rFonts w:hint="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default" w:eastAsiaTheme="minorEastAsia"/>
                <w:szCs w:val="24"/>
                <w:lang w:val="en-US"/>
              </w:rPr>
            </w:pPr>
            <w:r>
              <w:rPr>
                <w:rFonts w:hint="default" w:eastAsiaTheme="minorEastAsia"/>
                <w:szCs w:val="24"/>
                <w:lang w:val="en-US"/>
              </w:rPr>
              <w:t>OPPO</w:t>
            </w:r>
          </w:p>
        </w:tc>
        <w:tc>
          <w:tcPr>
            <w:tcW w:w="4495" w:type="pct"/>
          </w:tcPr>
          <w:p>
            <w:pPr>
              <w:overflowPunct w:val="0"/>
              <w:autoSpaceDE w:val="0"/>
              <w:autoSpaceDN w:val="0"/>
              <w:adjustRightInd w:val="0"/>
              <w:spacing w:after="120" w:afterLines="50"/>
              <w:jc w:val="both"/>
              <w:textAlignment w:val="baseline"/>
              <w:rPr>
                <w:rFonts w:hint="default"/>
                <w:szCs w:val="24"/>
                <w:lang w:val="en-US"/>
              </w:rPr>
            </w:pPr>
            <w:r>
              <w:rPr>
                <w:rFonts w:hint="default"/>
                <w:szCs w:val="24"/>
                <w:lang w:val="en-US"/>
              </w:rPr>
              <w:t xml:space="preserve">We support having new FG, and are ok to the proposals 2-2-1 and 2-2-2 (both in “per BC” granularity). We are also partially ok to Qualcomm’s proposal, with the concern on putting “same numerology” and “different numerology” in the same FG -- We think the “same numerology” and “different numerology” should belong to different FGs, because the following combination of prerequisites means nothing.  </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default"/>
                <w:szCs w:val="24"/>
                <w:lang w:val="en-US"/>
              </w:rPr>
              <w:t xml:space="preserve"> </w:t>
            </w:r>
            <w:r>
              <w:rPr>
                <w:rFonts w:eastAsia="ＭＳ 明朝"/>
                <w:sz w:val="22"/>
                <w:szCs w:val="22"/>
              </w:rPr>
              <w:t>Prerequisite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At least one of {49-1, 49-1b, 49-2, 49-2b}</w:t>
            </w:r>
            <w:r>
              <w:rPr>
                <w:rFonts w:hint="eastAsia" w:eastAsia="ＭＳ 明朝"/>
                <w:sz w:val="22"/>
                <w:szCs w:val="22"/>
              </w:rPr>
              <w:t xml:space="preserve"> for the BC</w:t>
            </w:r>
            <w:r>
              <w:rPr>
                <w:rFonts w:hint="default" w:eastAsia="ＭＳ 明朝"/>
                <w:sz w:val="22"/>
                <w:szCs w:val="22"/>
                <w:lang w:val="en-US"/>
              </w:rPr>
              <w:t xml:space="preserve">   =&gt; this support can be only for “same numerology”</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At least one of {</w:t>
            </w:r>
            <w:r>
              <w:rPr>
                <w:rFonts w:hint="eastAsia" w:eastAsia="ＭＳ 明朝"/>
                <w:sz w:val="22"/>
                <w:szCs w:val="22"/>
              </w:rPr>
              <w:t>6-2, 6-3, 6-4</w:t>
            </w:r>
            <w:r>
              <w:rPr>
                <w:rFonts w:eastAsia="ＭＳ 明朝"/>
                <w:sz w:val="22"/>
                <w:szCs w:val="22"/>
              </w:rPr>
              <w:t>}</w:t>
            </w:r>
            <w:r>
              <w:rPr>
                <w:rFonts w:hint="eastAsia" w:eastAsia="ＭＳ 明朝"/>
                <w:sz w:val="22"/>
                <w:szCs w:val="22"/>
              </w:rPr>
              <w:t xml:space="preserve"> for at least one band of the BC</w:t>
            </w:r>
            <w:r>
              <w:rPr>
                <w:rFonts w:hint="default" w:eastAsia="ＭＳ 明朝"/>
                <w:sz w:val="22"/>
                <w:szCs w:val="22"/>
                <w:lang w:val="en-US"/>
              </w:rPr>
              <w:t xml:space="preserve">   =&gt; this support may be only for “different numerology” (although this can be rare, but it is allowed</w:t>
            </w:r>
            <w:bookmarkStart w:id="9" w:name="_GoBack"/>
            <w:bookmarkEnd w:id="9"/>
            <w:r>
              <w:rPr>
                <w:rFonts w:hint="default" w:eastAsia="ＭＳ 明朝"/>
                <w:sz w:val="22"/>
                <w:szCs w:val="22"/>
                <w:lang w:val="en-US"/>
              </w:rPr>
              <w:t>)</w:t>
            </w:r>
          </w:p>
          <w:p>
            <w:pPr>
              <w:overflowPunct w:val="0"/>
              <w:autoSpaceDE w:val="0"/>
              <w:autoSpaceDN w:val="0"/>
              <w:adjustRightInd w:val="0"/>
              <w:spacing w:after="120" w:afterLines="50"/>
              <w:jc w:val="both"/>
              <w:textAlignment w:val="baseline"/>
              <w:rPr>
                <w:rFonts w:hint="default"/>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p>
        </w:tc>
        <w:tc>
          <w:tcPr>
            <w:tcW w:w="4495" w:type="pct"/>
          </w:tcPr>
          <w:p>
            <w:pPr>
              <w:overflowPunct w:val="0"/>
              <w:autoSpaceDE w:val="0"/>
              <w:autoSpaceDN w:val="0"/>
              <w:adjustRightInd w:val="0"/>
              <w:spacing w:after="120" w:afterLines="50"/>
              <w:jc w:val="both"/>
              <w:textAlignment w:val="baseline"/>
              <w:rPr>
                <w:szCs w:val="24"/>
              </w:rPr>
            </w:pPr>
          </w:p>
        </w:tc>
      </w:tr>
    </w:tbl>
    <w:p/>
    <w:p/>
    <w:p>
      <w:pPr>
        <w:pStyle w:val="4"/>
      </w:pPr>
      <w:r>
        <w:rPr>
          <w:rFonts w:hint="eastAsia"/>
        </w:rPr>
        <w:t>default</w:t>
      </w:r>
      <w:r>
        <w:t xml:space="preserve"> </w:t>
      </w:r>
      <w:r>
        <w:rPr>
          <w:rFonts w:hint="eastAsia"/>
        </w:rPr>
        <w:t xml:space="preserve">QCL assumption </w:t>
      </w:r>
      <w:r>
        <w:t>for multi-cell scheduling</w:t>
      </w:r>
    </w:p>
    <w:p>
      <w:pPr>
        <w:pStyle w:val="5"/>
        <w:jc w:val="left"/>
        <w:rPr>
          <w:rFonts w:ascii="Times New Roman" w:hAnsi="Times New Roman"/>
          <w:b/>
          <w:bCs/>
          <w:i w:val="0"/>
          <w:lang w:val="en-US"/>
        </w:rPr>
      </w:pPr>
      <w:r>
        <w:rPr>
          <w:rFonts w:ascii="Times New Roman" w:hAnsi="Times New Roman"/>
          <w:b/>
          <w:bCs/>
          <w:i w:val="0"/>
          <w:highlight w:val="yellow"/>
          <w:lang w:val="en-US"/>
        </w:rPr>
        <w:t>Proposal 2-</w:t>
      </w:r>
      <w:r>
        <w:rPr>
          <w:rFonts w:hint="eastAsia" w:ascii="Times New Roman" w:hAnsi="Times New Roman"/>
          <w:b/>
          <w:bCs/>
          <w:i w:val="0"/>
          <w:highlight w:val="yellow"/>
          <w:lang w:val="en-US"/>
        </w:rPr>
        <w:t>3</w:t>
      </w:r>
      <w:r>
        <w:rPr>
          <w:rFonts w:ascii="Times New Roman" w:hAnsi="Times New Roman"/>
          <w:b/>
          <w:bCs/>
          <w:i w:val="0"/>
          <w:highlight w:val="yellow"/>
          <w:lang w:val="en-US"/>
        </w:rPr>
        <w:t>:</w:t>
      </w:r>
    </w:p>
    <w:p>
      <w:pPr>
        <w:spacing w:after="120" w:afterLines="50"/>
        <w:jc w:val="both"/>
        <w:rPr>
          <w:rFonts w:eastAsia="ＭＳ 明朝"/>
          <w:b/>
          <w:bCs/>
          <w:sz w:val="22"/>
          <w:szCs w:val="22"/>
        </w:rPr>
      </w:pPr>
      <w:r>
        <w:rPr>
          <w:rFonts w:eastAsia="ＭＳ 明朝"/>
          <w:b/>
          <w:bCs/>
          <w:sz w:val="22"/>
          <w:szCs w:val="22"/>
        </w:rPr>
        <w:t xml:space="preserve">Introduce following FG for </w:t>
      </w:r>
      <w:r>
        <w:rPr>
          <w:rFonts w:hint="eastAsia" w:eastAsia="ＭＳ 明朝"/>
          <w:b/>
          <w:bCs/>
          <w:sz w:val="22"/>
          <w:szCs w:val="22"/>
        </w:rPr>
        <w:t>default QCL assumption for multi-cell scheduling</w:t>
      </w:r>
      <w:r>
        <w:rPr>
          <w:rFonts w:eastAsia="ＭＳ 明朝"/>
          <w:b/>
          <w:bCs/>
          <w:sz w:val="22"/>
          <w:szCs w:val="22"/>
        </w:rPr>
        <w:t>.</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Default QCL assumption for multi-cell scheduling</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Indicates whether the UE can be configured with enabledDefaultBeamFormultiCellScheduling for default QCL assumption for multi-cell scheduling for same/different numerologies</w:t>
      </w:r>
    </w:p>
    <w:p>
      <w:pPr>
        <w:pStyle w:val="95"/>
        <w:numPr>
          <w:ilvl w:val="2"/>
          <w:numId w:val="22"/>
        </w:numPr>
        <w:spacing w:after="120" w:afterLines="50" w:line="240" w:lineRule="auto"/>
        <w:ind w:leftChars="0"/>
        <w:jc w:val="both"/>
        <w:rPr>
          <w:rFonts w:eastAsia="ＭＳ 明朝"/>
          <w:sz w:val="22"/>
          <w:szCs w:val="22"/>
        </w:rPr>
      </w:pPr>
      <w:r>
        <w:rPr>
          <w:rFonts w:eastAsia="ＭＳ 明朝"/>
          <w:sz w:val="22"/>
          <w:szCs w:val="22"/>
        </w:rPr>
        <w:t>Candidate values are {different only, both}</w:t>
      </w:r>
    </w:p>
    <w:p>
      <w:pPr>
        <w:pStyle w:val="95"/>
        <w:numPr>
          <w:ilvl w:val="3"/>
          <w:numId w:val="22"/>
        </w:numPr>
        <w:spacing w:after="120" w:afterLines="50" w:line="240" w:lineRule="auto"/>
        <w:ind w:leftChars="0"/>
        <w:jc w:val="both"/>
        <w:rPr>
          <w:rFonts w:eastAsia="ＭＳ 明朝"/>
          <w:sz w:val="22"/>
          <w:szCs w:val="22"/>
        </w:rPr>
      </w:pPr>
      <w:r>
        <w:rPr>
          <w:rFonts w:eastAsia="ＭＳ 明朝"/>
          <w:sz w:val="22"/>
          <w:szCs w:val="22"/>
        </w:rPr>
        <w:t>When "both" is reported, the UE supports this feature for same SCS and for different SCS combination(s) (low-to-high, high-to-low or both) reported for 49-1b</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Prerequisite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At least one of {49-1, 49-1b}</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Type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Per BC</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Note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None</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Optional with capability signaling</w:t>
      </w:r>
    </w:p>
    <w:tbl>
      <w:tblPr>
        <w:tblStyle w:val="45"/>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4495" w:type="pct"/>
          </w:tcPr>
          <w:p>
            <w:pPr>
              <w:overflowPunct w:val="0"/>
              <w:autoSpaceDE w:val="0"/>
              <w:autoSpaceDN w:val="0"/>
              <w:adjustRightInd w:val="0"/>
              <w:textAlignment w:val="baseline"/>
              <w:rPr>
                <w:b/>
                <w:bCs/>
              </w:rPr>
            </w:pPr>
            <w:r>
              <w:rPr>
                <w:rFonts w:hint="eastAsia"/>
                <w:b/>
                <w:bCs/>
              </w:rPr>
              <w:t>S</w:t>
            </w:r>
            <w:r>
              <w:rPr>
                <w:b/>
                <w:bCs/>
              </w:rPr>
              <w:t>ummary of companies’ view:</w:t>
            </w:r>
          </w:p>
          <w:p>
            <w:pPr>
              <w:pStyle w:val="95"/>
              <w:numPr>
                <w:ilvl w:val="0"/>
                <w:numId w:val="23"/>
              </w:numPr>
              <w:overflowPunct w:val="0"/>
              <w:autoSpaceDE w:val="0"/>
              <w:autoSpaceDN w:val="0"/>
              <w:adjustRightInd w:val="0"/>
              <w:spacing w:before="120" w:after="120" w:line="256" w:lineRule="auto"/>
              <w:ind w:leftChars="0"/>
              <w:textAlignment w:val="baseline"/>
              <w:rPr>
                <w:rFonts w:eastAsiaTheme="minorEastAsia"/>
                <w:szCs w:val="24"/>
              </w:rPr>
            </w:pPr>
            <w:r>
              <w:rPr>
                <w:rFonts w:hint="eastAsia" w:eastAsiaTheme="minorEastAsia"/>
                <w:szCs w:val="24"/>
              </w:rPr>
              <w:t>Huawei/HiSilicon</w:t>
            </w:r>
            <w:r>
              <w:rPr>
                <w:rFonts w:eastAsiaTheme="minorEastAsia"/>
                <w:szCs w:val="24"/>
              </w:rPr>
              <w:t>: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pPr>
              <w:overflowPunct w:val="0"/>
              <w:autoSpaceDE w:val="0"/>
              <w:autoSpaceDN w:val="0"/>
              <w:adjustRightInd w:val="0"/>
              <w:spacing w:before="120" w:after="120" w:line="256" w:lineRule="auto"/>
              <w:textAlignment w:val="baseline"/>
              <w:rPr>
                <w:rFonts w:eastAsiaTheme="minorEastAsia"/>
                <w:szCs w:val="24"/>
              </w:rPr>
            </w:pPr>
          </w:p>
          <w:p>
            <w:pPr>
              <w:overflowPunct w:val="0"/>
              <w:autoSpaceDE w:val="0"/>
              <w:autoSpaceDN w:val="0"/>
              <w:adjustRightInd w:val="0"/>
              <w:spacing w:before="120" w:after="120" w:line="256" w:lineRule="auto"/>
              <w:textAlignment w:val="baseline"/>
              <w:rPr>
                <w:rFonts w:eastAsiaTheme="minorEastAsia"/>
                <w:szCs w:val="24"/>
              </w:rPr>
            </w:pPr>
            <w:r>
              <w:rPr>
                <w:rFonts w:hint="eastAsia" w:eastAsiaTheme="minorEastAsia"/>
                <w:szCs w:val="24"/>
              </w:rPr>
              <w:t xml:space="preserve">Reference: </w:t>
            </w:r>
          </w:p>
          <w:tbl>
            <w:tblPr>
              <w:tblStyle w:val="12"/>
              <w:tblW w:w="5000" w:type="pct"/>
              <w:tblInd w:w="0" w:type="dxa"/>
              <w:tblLayout w:type="autofit"/>
              <w:tblCellMar>
                <w:top w:w="0" w:type="dxa"/>
                <w:left w:w="108" w:type="dxa"/>
                <w:bottom w:w="0" w:type="dxa"/>
                <w:right w:w="108" w:type="dxa"/>
              </w:tblCellMar>
            </w:tblPr>
            <w:tblGrid>
              <w:gridCol w:w="1322"/>
              <w:gridCol w:w="649"/>
              <w:gridCol w:w="1449"/>
              <w:gridCol w:w="5227"/>
              <w:gridCol w:w="1863"/>
              <w:gridCol w:w="3436"/>
              <w:gridCol w:w="2436"/>
              <w:gridCol w:w="573"/>
              <w:gridCol w:w="573"/>
              <w:gridCol w:w="542"/>
              <w:gridCol w:w="1836"/>
            </w:tblGrid>
            <w:tr>
              <w:tblPrEx>
                <w:tblCellMar>
                  <w:top w:w="0" w:type="dxa"/>
                  <w:left w:w="108" w:type="dxa"/>
                  <w:bottom w:w="0" w:type="dxa"/>
                  <w:right w:w="108" w:type="dxa"/>
                </w:tblCellMar>
              </w:tblPrEx>
              <w:trPr>
                <w:trHeight w:val="20" w:hRule="atLeast"/>
              </w:trPr>
              <w:tc>
                <w:tcPr>
                  <w:tcW w:w="332" w:type="pct"/>
                  <w:tcBorders>
                    <w:top w:val="single" w:color="auto" w:sz="4" w:space="0"/>
                    <w:left w:val="single" w:color="auto" w:sz="4" w:space="0"/>
                    <w:bottom w:val="single" w:color="auto" w:sz="4" w:space="0"/>
                    <w:right w:val="single" w:color="auto" w:sz="4" w:space="0"/>
                  </w:tcBorders>
                </w:tcPr>
                <w:p>
                  <w:pPr>
                    <w:pStyle w:val="114"/>
                    <w:rPr>
                      <w:rFonts w:eastAsia="Times New Roman"/>
                      <w:lang w:eastAsia="en-GB"/>
                    </w:rPr>
                  </w:pPr>
                  <w:r>
                    <w:rPr>
                      <w:lang w:eastAsia="en-GB"/>
                    </w:rPr>
                    <w:t>18. MR-DC/CA enhancement</w:t>
                  </w:r>
                </w:p>
              </w:tc>
              <w:tc>
                <w:tcPr>
                  <w:tcW w:w="163" w:type="pct"/>
                  <w:tcBorders>
                    <w:top w:val="single" w:color="auto" w:sz="4" w:space="0"/>
                    <w:left w:val="single" w:color="auto" w:sz="4" w:space="0"/>
                    <w:bottom w:val="single" w:color="auto" w:sz="4" w:space="0"/>
                    <w:right w:val="single" w:color="auto" w:sz="4" w:space="0"/>
                  </w:tcBorders>
                </w:tcPr>
                <w:p>
                  <w:pPr>
                    <w:pStyle w:val="114"/>
                    <w:rPr>
                      <w:lang w:eastAsia="en-GB"/>
                    </w:rPr>
                  </w:pPr>
                  <w:r>
                    <w:rPr>
                      <w:lang w:eastAsia="en-GB"/>
                    </w:rPr>
                    <w:t>18-5a</w:t>
                  </w:r>
                </w:p>
              </w:tc>
              <w:tc>
                <w:tcPr>
                  <w:tcW w:w="364" w:type="pct"/>
                  <w:tcBorders>
                    <w:top w:val="single" w:color="auto" w:sz="4" w:space="0"/>
                    <w:left w:val="single" w:color="auto" w:sz="4" w:space="0"/>
                    <w:bottom w:val="single" w:color="auto" w:sz="4" w:space="0"/>
                    <w:right w:val="single" w:color="auto" w:sz="4" w:space="0"/>
                  </w:tcBorders>
                </w:tcPr>
                <w:p>
                  <w:pPr>
                    <w:pStyle w:val="114"/>
                    <w:rPr>
                      <w:lang w:eastAsia="en-GB"/>
                    </w:rPr>
                  </w:pPr>
                  <w:r>
                    <w:rPr>
                      <w:lang w:eastAsia="en-GB"/>
                    </w:rPr>
                    <w:t xml:space="preserve">Default QCL assumption for cross-carrier scheduling </w:t>
                  </w:r>
                </w:p>
              </w:tc>
              <w:tc>
                <w:tcPr>
                  <w:tcW w:w="1313" w:type="pct"/>
                  <w:tcBorders>
                    <w:top w:val="single" w:color="auto" w:sz="4" w:space="0"/>
                    <w:left w:val="single" w:color="auto" w:sz="4" w:space="0"/>
                    <w:bottom w:val="single" w:color="auto" w:sz="4" w:space="0"/>
                    <w:right w:val="single" w:color="auto" w:sz="4" w:space="0"/>
                  </w:tcBorders>
                </w:tcPr>
                <w:p>
                  <w:pPr>
                    <w:pStyle w:val="114"/>
                    <w:rPr>
                      <w:lang w:eastAsia="en-GB"/>
                    </w:rPr>
                  </w:pPr>
                  <w:r>
                    <w:rPr>
                      <w:lang w:eastAsia="en-GB"/>
                    </w:rPr>
                    <w:t>Indicates whether the UE can be configured with enabledDefaultBeamForCCS for default QCL assumption for cross-carrier scheduling for same/different numerologies</w:t>
                  </w:r>
                </w:p>
                <w:p>
                  <w:pPr>
                    <w:pStyle w:val="114"/>
                    <w:ind w:left="316" w:hanging="316"/>
                    <w:rPr>
                      <w:lang w:eastAsia="en-GB"/>
                    </w:rPr>
                  </w:pPr>
                  <w:r>
                    <w:rPr>
                      <w:lang w:eastAsia="en-GB"/>
                    </w:rPr>
                    <w:t>-</w:t>
                  </w:r>
                  <w:r>
                    <w:rPr>
                      <w:lang w:eastAsia="en-GB"/>
                    </w:rPr>
                    <w:tab/>
                  </w:r>
                  <w:r>
                    <w:rPr>
                      <w:lang w:eastAsia="en-GB"/>
                    </w:rPr>
                    <w:t>Candidate values are {different only, both}</w:t>
                  </w:r>
                </w:p>
                <w:p>
                  <w:pPr>
                    <w:pStyle w:val="114"/>
                    <w:ind w:left="599" w:hanging="283"/>
                    <w:rPr>
                      <w:lang w:eastAsia="en-GB"/>
                    </w:rPr>
                  </w:pPr>
                  <w:r>
                    <w:rPr>
                      <w:lang w:eastAsia="en-GB"/>
                    </w:rPr>
                    <w:t>-</w:t>
                  </w:r>
                  <w:r>
                    <w:rPr>
                      <w:lang w:eastAsia="en-GB"/>
                    </w:rPr>
                    <w:tab/>
                  </w:r>
                  <w:r>
                    <w:rPr>
                      <w:lang w:eastAsia="en-GB"/>
                    </w:rPr>
                    <w:t>When "both" is reported, the UE supports this feature for same SCS and for different SCS combination(s) (low-to-high, high-to-low or both) reported for 18-5</w:t>
                  </w:r>
                </w:p>
              </w:tc>
              <w:tc>
                <w:tcPr>
                  <w:tcW w:w="468" w:type="pct"/>
                  <w:tcBorders>
                    <w:top w:val="single" w:color="auto" w:sz="4" w:space="0"/>
                    <w:left w:val="single" w:color="auto" w:sz="4" w:space="0"/>
                    <w:bottom w:val="single" w:color="auto" w:sz="4" w:space="0"/>
                    <w:right w:val="single" w:color="auto" w:sz="4" w:space="0"/>
                  </w:tcBorders>
                </w:tcPr>
                <w:p>
                  <w:pPr>
                    <w:pStyle w:val="114"/>
                    <w:rPr>
                      <w:lang w:eastAsia="en-GB"/>
                    </w:rPr>
                  </w:pPr>
                  <w:r>
                    <w:rPr>
                      <w:lang w:eastAsia="en-GB"/>
                    </w:rPr>
                    <w:t>one of {6-10, 18-5}</w:t>
                  </w:r>
                </w:p>
              </w:tc>
              <w:tc>
                <w:tcPr>
                  <w:tcW w:w="863" w:type="pct"/>
                  <w:tcBorders>
                    <w:top w:val="single" w:color="auto" w:sz="4" w:space="0"/>
                    <w:left w:val="single" w:color="auto" w:sz="4" w:space="0"/>
                    <w:bottom w:val="single" w:color="auto" w:sz="4" w:space="0"/>
                    <w:right w:val="single" w:color="auto" w:sz="4" w:space="0"/>
                  </w:tcBorders>
                </w:tcPr>
                <w:p>
                  <w:pPr>
                    <w:pStyle w:val="114"/>
                    <w:rPr>
                      <w:rFonts w:cs="Arial"/>
                      <w:i/>
                      <w:iCs/>
                      <w:lang w:eastAsia="en-GB"/>
                    </w:rPr>
                  </w:pPr>
                  <w:r>
                    <w:rPr>
                      <w:rFonts w:cs="Arial"/>
                      <w:i/>
                      <w:iCs/>
                      <w:lang w:eastAsia="en-GB"/>
                    </w:rPr>
                    <w:t>crossCarrierSchedulingDefaultQCL-r16</w:t>
                  </w:r>
                </w:p>
              </w:tc>
              <w:tc>
                <w:tcPr>
                  <w:tcW w:w="612" w:type="pct"/>
                  <w:tcBorders>
                    <w:top w:val="single" w:color="auto" w:sz="4" w:space="0"/>
                    <w:left w:val="single" w:color="auto" w:sz="4" w:space="0"/>
                    <w:bottom w:val="single" w:color="auto" w:sz="4" w:space="0"/>
                    <w:right w:val="single" w:color="auto" w:sz="4" w:space="0"/>
                  </w:tcBorders>
                </w:tcPr>
                <w:p>
                  <w:pPr>
                    <w:pStyle w:val="114"/>
                    <w:rPr>
                      <w:rFonts w:cs="Arial"/>
                      <w:i/>
                      <w:iCs/>
                      <w:lang w:eastAsia="en-GB"/>
                    </w:rPr>
                  </w:pPr>
                  <w:r>
                    <w:rPr>
                      <w:rFonts w:cs="Arial"/>
                      <w:i/>
                      <w:iCs/>
                      <w:lang w:eastAsia="en-GB"/>
                    </w:rPr>
                    <w:t>CA-ParametersNR-v1610</w:t>
                  </w:r>
                </w:p>
              </w:tc>
              <w:tc>
                <w:tcPr>
                  <w:tcW w:w="144" w:type="pct"/>
                  <w:tcBorders>
                    <w:top w:val="single" w:color="auto" w:sz="4" w:space="0"/>
                    <w:left w:val="single" w:color="auto" w:sz="4" w:space="0"/>
                    <w:bottom w:val="single" w:color="auto" w:sz="4" w:space="0"/>
                    <w:right w:val="single" w:color="auto" w:sz="4" w:space="0"/>
                  </w:tcBorders>
                </w:tcPr>
                <w:p>
                  <w:pPr>
                    <w:pStyle w:val="114"/>
                    <w:rPr>
                      <w:lang w:eastAsia="en-GB"/>
                    </w:rPr>
                  </w:pPr>
                  <w:r>
                    <w:rPr>
                      <w:lang w:eastAsia="en-GB"/>
                    </w:rPr>
                    <w:t>n/a</w:t>
                  </w:r>
                </w:p>
              </w:tc>
              <w:tc>
                <w:tcPr>
                  <w:tcW w:w="144" w:type="pct"/>
                  <w:tcBorders>
                    <w:top w:val="single" w:color="auto" w:sz="4" w:space="0"/>
                    <w:left w:val="single" w:color="auto" w:sz="4" w:space="0"/>
                    <w:bottom w:val="single" w:color="auto" w:sz="4" w:space="0"/>
                    <w:right w:val="single" w:color="auto" w:sz="4" w:space="0"/>
                  </w:tcBorders>
                </w:tcPr>
                <w:p>
                  <w:pPr>
                    <w:pStyle w:val="114"/>
                    <w:rPr>
                      <w:lang w:eastAsia="en-GB"/>
                    </w:rPr>
                  </w:pPr>
                  <w:r>
                    <w:rPr>
                      <w:lang w:eastAsia="en-GB"/>
                    </w:rPr>
                    <w:t>n/a</w:t>
                  </w:r>
                </w:p>
              </w:tc>
              <w:tc>
                <w:tcPr>
                  <w:tcW w:w="136" w:type="pct"/>
                  <w:tcBorders>
                    <w:top w:val="single" w:color="auto" w:sz="4" w:space="0"/>
                    <w:left w:val="single" w:color="auto" w:sz="4" w:space="0"/>
                    <w:bottom w:val="single" w:color="auto" w:sz="4" w:space="0"/>
                    <w:right w:val="single" w:color="auto" w:sz="4" w:space="0"/>
                  </w:tcBorders>
                </w:tcPr>
                <w:p>
                  <w:pPr>
                    <w:pStyle w:val="114"/>
                    <w:rPr>
                      <w:lang w:eastAsia="en-GB"/>
                    </w:rPr>
                  </w:pPr>
                </w:p>
              </w:tc>
              <w:tc>
                <w:tcPr>
                  <w:tcW w:w="461" w:type="pct"/>
                  <w:tcBorders>
                    <w:top w:val="single" w:color="auto" w:sz="4" w:space="0"/>
                    <w:left w:val="single" w:color="auto" w:sz="4" w:space="0"/>
                    <w:bottom w:val="single" w:color="auto" w:sz="4" w:space="0"/>
                    <w:right w:val="single" w:color="auto" w:sz="4" w:space="0"/>
                  </w:tcBorders>
                </w:tcPr>
                <w:p>
                  <w:pPr>
                    <w:pStyle w:val="114"/>
                    <w:rPr>
                      <w:lang w:eastAsia="en-GB"/>
                    </w:rPr>
                  </w:pPr>
                  <w:r>
                    <w:rPr>
                      <w:lang w:eastAsia="en-GB"/>
                    </w:rPr>
                    <w:t>Optional with capability signalling</w:t>
                  </w:r>
                </w:p>
              </w:tc>
            </w:tr>
          </w:tbl>
          <w:p>
            <w:pPr>
              <w:overflowPunct w:val="0"/>
              <w:autoSpaceDE w:val="0"/>
              <w:autoSpaceDN w:val="0"/>
              <w:adjustRightInd w:val="0"/>
              <w:spacing w:before="120" w:after="120" w:line="256" w:lineRule="auto"/>
              <w:textAlignment w:val="baseline"/>
              <w:rPr>
                <w:rFonts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eastAsia" w:eastAsiaTheme="minorEastAsia"/>
                <w:szCs w:val="21"/>
                <w:lang w:val="en-US"/>
              </w:rPr>
            </w:pPr>
            <w:r>
              <w:rPr>
                <w:rFonts w:hint="eastAsia" w:eastAsiaTheme="minorEastAsia"/>
                <w:szCs w:val="21"/>
                <w:lang w:val="en-US"/>
              </w:rPr>
              <w:t>Qualcomm</w:t>
            </w:r>
          </w:p>
        </w:tc>
        <w:tc>
          <w:tcPr>
            <w:tcW w:w="4495" w:type="pct"/>
          </w:tcPr>
          <w:p>
            <w:pPr>
              <w:overflowPunct w:val="0"/>
              <w:autoSpaceDE w:val="0"/>
              <w:autoSpaceDN w:val="0"/>
              <w:adjustRightInd w:val="0"/>
              <w:spacing w:before="120" w:after="120" w:line="256" w:lineRule="auto"/>
              <w:jc w:val="both"/>
              <w:textAlignment w:val="baseline"/>
              <w:rPr>
                <w:rFonts w:hint="eastAsia" w:eastAsiaTheme="minorEastAsia"/>
                <w:sz w:val="22"/>
                <w:lang w:val="en-US"/>
              </w:rPr>
            </w:pPr>
            <w:r>
              <w:rPr>
                <w:rFonts w:hint="eastAsia" w:eastAsiaTheme="minorEastAsia"/>
                <w:sz w:val="22"/>
                <w:lang w:val="en-US"/>
              </w:rPr>
              <w:t xml:space="preserve">We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default" w:eastAsiaTheme="minorEastAsia"/>
                <w:szCs w:val="21"/>
                <w:lang w:val="en-US"/>
              </w:rPr>
            </w:pPr>
            <w:r>
              <w:rPr>
                <w:rFonts w:hint="default" w:eastAsiaTheme="minorEastAsia"/>
                <w:szCs w:val="21"/>
                <w:lang w:val="en-US"/>
              </w:rPr>
              <w:t>OPPO</w:t>
            </w:r>
          </w:p>
        </w:tc>
        <w:tc>
          <w:tcPr>
            <w:tcW w:w="4495" w:type="pct"/>
          </w:tcPr>
          <w:p>
            <w:pPr>
              <w:pStyle w:val="95"/>
              <w:numPr>
                <w:ilvl w:val="255"/>
                <w:numId w:val="0"/>
              </w:numPr>
              <w:overflowPunct w:val="0"/>
              <w:autoSpaceDE w:val="0"/>
              <w:autoSpaceDN w:val="0"/>
              <w:adjustRightInd w:val="0"/>
              <w:spacing w:after="120" w:afterLines="50"/>
              <w:jc w:val="both"/>
              <w:textAlignment w:val="baseline"/>
              <w:rPr>
                <w:rFonts w:hint="default" w:eastAsiaTheme="minorEastAsia"/>
                <w:sz w:val="22"/>
                <w:lang w:val="en-US"/>
              </w:rPr>
            </w:pPr>
            <w:r>
              <w:rPr>
                <w:rFonts w:hint="default" w:eastAsiaTheme="minorEastAsia"/>
                <w:sz w:val="22"/>
                <w:lang w:val="en-US"/>
              </w:rPr>
              <w:t xml:space="preserve">ok to proposal. We suggest to mention DCI 1_3 in FG name and component description: </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Default QCL assumption for multi-cell scheduling</w:t>
            </w:r>
            <w:r>
              <w:rPr>
                <w:rFonts w:hint="default" w:eastAsia="ＭＳ 明朝"/>
                <w:color w:val="FF0000"/>
                <w:sz w:val="22"/>
                <w:szCs w:val="22"/>
                <w:u w:val="single"/>
                <w:lang w:val="en-US"/>
              </w:rPr>
              <w:t xml:space="preserve"> by DCI 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 xml:space="preserve">Indicates whether the UE can be configured with enabledDefaultBeamFormultiCellScheduling for default QCL assumption for multi-cell scheduling </w:t>
            </w:r>
            <w:r>
              <w:rPr>
                <w:rFonts w:hint="default" w:eastAsia="ＭＳ 明朝"/>
                <w:color w:val="FF0000"/>
                <w:sz w:val="22"/>
                <w:szCs w:val="22"/>
                <w:u w:val="single"/>
                <w:lang w:val="en-US"/>
              </w:rPr>
              <w:t xml:space="preserve">by DCI 1_3 </w:t>
            </w:r>
            <w:r>
              <w:rPr>
                <w:rFonts w:eastAsia="ＭＳ 明朝"/>
                <w:sz w:val="22"/>
                <w:szCs w:val="22"/>
              </w:rPr>
              <w:t>for same/different numerologies</w:t>
            </w:r>
          </w:p>
          <w:p>
            <w:pPr>
              <w:pStyle w:val="95"/>
              <w:numPr>
                <w:ilvl w:val="255"/>
                <w:numId w:val="0"/>
              </w:numPr>
              <w:overflowPunct w:val="0"/>
              <w:autoSpaceDE w:val="0"/>
              <w:autoSpaceDN w:val="0"/>
              <w:adjustRightInd w:val="0"/>
              <w:spacing w:after="120" w:afterLines="50"/>
              <w:jc w:val="both"/>
              <w:textAlignment w:val="baseline"/>
              <w:rPr>
                <w:rFonts w:hint="default" w:eastAsiaTheme="minorEastAsia"/>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1"/>
                <w:lang w:val="en-US"/>
              </w:rPr>
            </w:pPr>
          </w:p>
        </w:tc>
        <w:tc>
          <w:tcPr>
            <w:tcW w:w="4495" w:type="pct"/>
          </w:tcPr>
          <w:p>
            <w:pPr>
              <w:pStyle w:val="95"/>
              <w:numPr>
                <w:ilvl w:val="255"/>
                <w:numId w:val="0"/>
              </w:numPr>
              <w:overflowPunct w:val="0"/>
              <w:autoSpaceDE w:val="0"/>
              <w:autoSpaceDN w:val="0"/>
              <w:adjustRightInd w:val="0"/>
              <w:spacing w:after="120" w:afterLines="50"/>
              <w:jc w:val="both"/>
              <w:textAlignment w:val="baseline"/>
              <w:rPr>
                <w:rFonts w:eastAsiaTheme="minorEastAsia"/>
                <w:sz w:val="22"/>
                <w:lang w:val="en-US"/>
              </w:rPr>
            </w:pPr>
          </w:p>
        </w:tc>
      </w:tr>
    </w:tbl>
    <w:p>
      <w:pPr>
        <w:spacing w:after="120" w:afterLines="50"/>
        <w:jc w:val="both"/>
        <w:rPr>
          <w:rFonts w:eastAsia="SimSun"/>
          <w:lang w:eastAsia="zh-CN"/>
        </w:rPr>
      </w:pPr>
    </w:p>
    <w:p>
      <w:pPr>
        <w:spacing w:after="120" w:afterLines="50"/>
        <w:jc w:val="both"/>
        <w:rPr>
          <w:rFonts w:eastAsia="SimSun"/>
          <w:lang w:eastAsia="zh-CN"/>
        </w:rPr>
      </w:pPr>
    </w:p>
    <w:p>
      <w:pPr>
        <w:pStyle w:val="2"/>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pPr>
        <w:spacing w:after="120" w:afterLines="50"/>
        <w:jc w:val="both"/>
        <w:rPr>
          <w:sz w:val="22"/>
          <w:lang w:val="en-US"/>
        </w:rPr>
      </w:pPr>
      <w:r>
        <w:rPr>
          <w:rFonts w:hint="eastAsia"/>
          <w:sz w:val="22"/>
          <w:lang w:val="en-US"/>
        </w:rPr>
        <w:t>N</w:t>
      </w:r>
      <w:r>
        <w:rPr>
          <w:sz w:val="22"/>
          <w:lang w:val="en-US"/>
        </w:rPr>
        <w:t>o inputs are provided in contributions for the RAN1#11</w:t>
      </w:r>
      <w:r>
        <w:rPr>
          <w:rFonts w:hint="eastAsia"/>
          <w:sz w:val="22"/>
          <w:lang w:val="en-US"/>
        </w:rPr>
        <w:t>8</w:t>
      </w:r>
      <w:r>
        <w:rPr>
          <w:sz w:val="22"/>
          <w:lang w:val="en-US"/>
        </w:rPr>
        <w:t xml:space="preserve"> meeting.</w:t>
      </w:r>
    </w:p>
    <w:p/>
    <w:p>
      <w:pPr>
        <w:spacing w:after="120" w:afterLines="50"/>
        <w:jc w:val="both"/>
        <w:rPr>
          <w:sz w:val="22"/>
        </w:rPr>
      </w:pPr>
    </w:p>
    <w:p>
      <w:pPr>
        <w:pStyle w:val="2"/>
        <w:numPr>
          <w:ilvl w:val="0"/>
          <w:numId w:val="12"/>
        </w:numPr>
        <w:spacing w:before="180" w:after="120"/>
        <w:rPr>
          <w:rFonts w:eastAsia="ＭＳ 明朝"/>
          <w:b/>
          <w:bCs/>
          <w:szCs w:val="24"/>
          <w:lang w:val="en-US"/>
        </w:rPr>
      </w:pPr>
      <w:r>
        <w:rPr>
          <w:rFonts w:eastAsia="ＭＳ 明朝"/>
          <w:b/>
          <w:bCs/>
          <w:szCs w:val="24"/>
          <w:lang w:val="en-US"/>
        </w:rPr>
        <w:t>Conclusions</w:t>
      </w:r>
    </w:p>
    <w:p>
      <w:pPr>
        <w:spacing w:after="120" w:afterLines="50"/>
        <w:jc w:val="both"/>
        <w:rPr>
          <w:sz w:val="22"/>
          <w:lang w:val="en-US"/>
        </w:rPr>
      </w:pPr>
      <w:r>
        <w:rPr>
          <w:sz w:val="22"/>
          <w:lang w:val="en-US"/>
        </w:rPr>
        <w:t>TBD</w:t>
      </w:r>
    </w:p>
    <w:p>
      <w:pPr>
        <w:spacing w:after="120" w:afterLines="50"/>
        <w:jc w:val="both"/>
        <w:rPr>
          <w:sz w:val="22"/>
          <w:lang w:val="en-US"/>
        </w:rPr>
      </w:pPr>
    </w:p>
    <w:p>
      <w:pPr>
        <w:spacing w:after="120" w:afterLines="50"/>
        <w:jc w:val="both"/>
        <w:rPr>
          <w:sz w:val="22"/>
          <w:lang w:val="en-US"/>
        </w:rPr>
      </w:pPr>
    </w:p>
    <w:p>
      <w:pPr>
        <w:pStyle w:val="2"/>
        <w:spacing w:before="180" w:after="120"/>
        <w:rPr>
          <w:rFonts w:eastAsia="ＭＳ 明朝"/>
          <w:b/>
          <w:bCs/>
          <w:szCs w:val="24"/>
          <w:lang w:val="en-US"/>
        </w:rPr>
      </w:pPr>
      <w:r>
        <w:rPr>
          <w:rFonts w:eastAsia="ＭＳ 明朝"/>
          <w:b/>
          <w:bCs/>
          <w:szCs w:val="24"/>
          <w:lang w:val="en-US"/>
        </w:rPr>
        <w:t>References</w:t>
      </w:r>
    </w:p>
    <w:p>
      <w:pPr>
        <w:spacing w:after="120" w:afterLines="50"/>
        <w:jc w:val="both"/>
        <w:rPr>
          <w:rFonts w:eastAsia="ＭＳ 明朝"/>
          <w:sz w:val="22"/>
        </w:rPr>
      </w:pPr>
      <w:bookmarkStart w:id="8" w:name="_Hlk87147818"/>
      <w:r>
        <w:rPr>
          <w:rFonts w:hint="eastAsia" w:eastAsia="ＭＳ 明朝"/>
          <w:sz w:val="22"/>
        </w:rPr>
        <w:t>[</w:t>
      </w:r>
      <w:r>
        <w:rPr>
          <w:rFonts w:eastAsia="ＭＳ 明朝"/>
          <w:sz w:val="22"/>
        </w:rPr>
        <w:t>1]</w:t>
      </w:r>
      <w:r>
        <w:rPr>
          <w:rFonts w:eastAsia="ＭＳ 明朝"/>
          <w:sz w:val="22"/>
        </w:rPr>
        <w:tab/>
      </w:r>
      <w:r>
        <w:rPr>
          <w:rFonts w:eastAsia="ＭＳ 明朝"/>
          <w:sz w:val="22"/>
        </w:rPr>
        <w:t>R1-240</w:t>
      </w:r>
      <w:r>
        <w:rPr>
          <w:rFonts w:hint="eastAsia" w:eastAsia="ＭＳ 明朝"/>
          <w:sz w:val="22"/>
        </w:rPr>
        <w:t>5564</w:t>
      </w:r>
      <w:r>
        <w:rPr>
          <w:rFonts w:eastAsia="ＭＳ 明朝"/>
          <w:sz w:val="22"/>
        </w:rPr>
        <w:tab/>
      </w:r>
      <w:r>
        <w:rPr>
          <w:rFonts w:eastAsia="ＭＳ 明朝"/>
          <w:sz w:val="22"/>
        </w:rPr>
        <w:t>Updated RAN1 UE features list for Rel-18 NR after RAN1#11</w:t>
      </w:r>
      <w:r>
        <w:rPr>
          <w:rFonts w:hint="eastAsia" w:eastAsia="ＭＳ 明朝"/>
          <w:sz w:val="22"/>
        </w:rPr>
        <w:t>7</w:t>
      </w:r>
      <w:r>
        <w:rPr>
          <w:rFonts w:eastAsia="ＭＳ 明朝"/>
          <w:sz w:val="22"/>
        </w:rPr>
        <w:tab/>
      </w:r>
      <w:r>
        <w:rPr>
          <w:rFonts w:eastAsia="ＭＳ 明朝"/>
          <w:sz w:val="22"/>
        </w:rPr>
        <w:tab/>
      </w:r>
      <w:r>
        <w:rPr>
          <w:rFonts w:eastAsia="ＭＳ 明朝"/>
          <w:sz w:val="22"/>
        </w:rPr>
        <w:t>Moderators (AT&amp;T, NTT DOCOMO, INC.)</w:t>
      </w:r>
    </w:p>
    <w:p>
      <w:pPr>
        <w:spacing w:after="120" w:afterLines="50"/>
        <w:jc w:val="both"/>
        <w:rPr>
          <w:rFonts w:eastAsia="ＭＳ 明朝"/>
          <w:sz w:val="22"/>
        </w:rPr>
      </w:pPr>
      <w:r>
        <w:rPr>
          <w:rFonts w:hint="eastAsia" w:eastAsia="ＭＳ 明朝"/>
          <w:sz w:val="22"/>
        </w:rPr>
        <w:t>[</w:t>
      </w:r>
      <w:r>
        <w:rPr>
          <w:rFonts w:eastAsia="ＭＳ 明朝"/>
          <w:sz w:val="22"/>
        </w:rPr>
        <w:t>2]</w:t>
      </w:r>
      <w:r>
        <w:rPr>
          <w:rFonts w:eastAsia="ＭＳ 明朝"/>
          <w:sz w:val="22"/>
        </w:rPr>
        <w:tab/>
      </w:r>
      <w:bookmarkEnd w:id="8"/>
      <w:r>
        <w:rPr>
          <w:rFonts w:hint="eastAsia" w:eastAsia="ＭＳ 明朝"/>
          <w:sz w:val="22"/>
        </w:rPr>
        <w:t>R1-2405611</w:t>
      </w:r>
      <w:r>
        <w:rPr>
          <w:rFonts w:eastAsia="ＭＳ 明朝"/>
          <w:sz w:val="22"/>
        </w:rPr>
        <w:tab/>
      </w:r>
      <w:r>
        <w:rPr>
          <w:rFonts w:eastAsia="ＭＳ 明朝"/>
          <w:sz w:val="22"/>
        </w:rPr>
        <w:t>Summary#2 of discussion on UE features for MC enhancements</w:t>
      </w:r>
      <w:r>
        <w:rPr>
          <w:rFonts w:eastAsia="ＭＳ 明朝"/>
          <w:sz w:val="22"/>
        </w:rPr>
        <w:tab/>
      </w:r>
      <w:r>
        <w:rPr>
          <w:rFonts w:hint="eastAsia" w:eastAsia="ＭＳ 明朝"/>
          <w:sz w:val="22"/>
        </w:rPr>
        <w:t>Moderator (NTT DOCOMO, INC.)</w:t>
      </w:r>
    </w:p>
    <w:p>
      <w:pPr>
        <w:spacing w:after="120" w:afterLines="50"/>
        <w:jc w:val="both"/>
        <w:rPr>
          <w:rFonts w:eastAsia="ＭＳ 明朝"/>
          <w:sz w:val="22"/>
        </w:rPr>
      </w:pPr>
      <w:r>
        <w:rPr>
          <w:rFonts w:hint="eastAsia" w:eastAsia="ＭＳ 明朝"/>
          <w:sz w:val="22"/>
        </w:rPr>
        <w:t>[3]</w:t>
      </w:r>
      <w:r>
        <w:rPr>
          <w:rFonts w:eastAsia="ＭＳ 明朝"/>
          <w:sz w:val="22"/>
        </w:rPr>
        <w:tab/>
      </w:r>
      <w:r>
        <w:rPr>
          <w:rFonts w:eastAsia="ＭＳ 明朝"/>
          <w:sz w:val="22"/>
        </w:rPr>
        <w:t>R1-2405932</w:t>
      </w:r>
      <w:r>
        <w:rPr>
          <w:rFonts w:eastAsia="ＭＳ 明朝"/>
          <w:sz w:val="22"/>
        </w:rPr>
        <w:tab/>
      </w:r>
      <w:r>
        <w:rPr>
          <w:rFonts w:eastAsia="ＭＳ 明朝"/>
          <w:sz w:val="22"/>
        </w:rPr>
        <w:t>Discussion on UE feature for topics A</w:t>
      </w:r>
      <w:r>
        <w:rPr>
          <w:rFonts w:eastAsia="ＭＳ 明朝"/>
          <w:sz w:val="22"/>
        </w:rPr>
        <w:tab/>
      </w:r>
      <w:r>
        <w:rPr>
          <w:rFonts w:eastAsia="ＭＳ 明朝"/>
          <w:sz w:val="22"/>
        </w:rPr>
        <w:t>ZTE Corporation, Sanechips</w:t>
      </w:r>
    </w:p>
    <w:p>
      <w:pPr>
        <w:spacing w:after="120" w:afterLines="50"/>
        <w:jc w:val="both"/>
        <w:rPr>
          <w:rFonts w:eastAsia="ＭＳ 明朝"/>
          <w:sz w:val="22"/>
        </w:rPr>
      </w:pPr>
      <w:r>
        <w:rPr>
          <w:rFonts w:hint="eastAsia" w:eastAsia="ＭＳ 明朝"/>
          <w:sz w:val="22"/>
        </w:rPr>
        <w:t>[4]</w:t>
      </w:r>
      <w:r>
        <w:rPr>
          <w:rFonts w:eastAsia="ＭＳ 明朝"/>
          <w:sz w:val="22"/>
        </w:rPr>
        <w:tab/>
      </w:r>
      <w:r>
        <w:rPr>
          <w:rFonts w:eastAsia="ＭＳ 明朝"/>
          <w:sz w:val="22"/>
        </w:rPr>
        <w:t>R1-2406225</w:t>
      </w:r>
      <w:r>
        <w:rPr>
          <w:rFonts w:eastAsia="ＭＳ 明朝"/>
          <w:sz w:val="22"/>
        </w:rPr>
        <w:tab/>
      </w:r>
      <w:r>
        <w:rPr>
          <w:rFonts w:eastAsia="ＭＳ 明朝"/>
          <w:sz w:val="22"/>
        </w:rPr>
        <w:t>Discussion on UE features for multi-carrier enhancement</w:t>
      </w:r>
      <w:r>
        <w:rPr>
          <w:rFonts w:eastAsia="ＭＳ 明朝"/>
          <w:sz w:val="22"/>
        </w:rPr>
        <w:tab/>
      </w:r>
      <w:r>
        <w:rPr>
          <w:rFonts w:eastAsia="ＭＳ 明朝"/>
          <w:sz w:val="22"/>
        </w:rPr>
        <w:t>OPPO</w:t>
      </w:r>
    </w:p>
    <w:p>
      <w:pPr>
        <w:spacing w:after="120" w:afterLines="50"/>
        <w:jc w:val="both"/>
        <w:rPr>
          <w:rFonts w:eastAsia="ＭＳ 明朝"/>
          <w:sz w:val="22"/>
        </w:rPr>
      </w:pPr>
      <w:r>
        <w:rPr>
          <w:rFonts w:hint="eastAsia" w:eastAsia="ＭＳ 明朝"/>
          <w:sz w:val="22"/>
        </w:rPr>
        <w:t>[5]</w:t>
      </w:r>
      <w:r>
        <w:rPr>
          <w:rFonts w:eastAsia="ＭＳ 明朝"/>
          <w:sz w:val="22"/>
        </w:rPr>
        <w:tab/>
      </w:r>
      <w:r>
        <w:rPr>
          <w:rFonts w:eastAsia="ＭＳ 明朝"/>
          <w:sz w:val="22"/>
        </w:rPr>
        <w:t>R1-2406635</w:t>
      </w:r>
      <w:r>
        <w:rPr>
          <w:rFonts w:eastAsia="ＭＳ 明朝"/>
          <w:sz w:val="22"/>
        </w:rPr>
        <w:tab/>
      </w:r>
      <w:r>
        <w:rPr>
          <w:rFonts w:eastAsia="ＭＳ 明朝"/>
          <w:sz w:val="22"/>
        </w:rPr>
        <w:t>UE features for other Rel-18 work items (Topics A)</w:t>
      </w:r>
      <w:r>
        <w:rPr>
          <w:rFonts w:eastAsia="ＭＳ 明朝"/>
          <w:sz w:val="22"/>
        </w:rPr>
        <w:tab/>
      </w:r>
      <w:r>
        <w:rPr>
          <w:rFonts w:eastAsia="ＭＳ 明朝"/>
          <w:sz w:val="22"/>
        </w:rPr>
        <w:t>Samsung</w:t>
      </w:r>
    </w:p>
    <w:p>
      <w:pPr>
        <w:spacing w:after="120" w:afterLines="50"/>
        <w:jc w:val="both"/>
        <w:rPr>
          <w:rFonts w:eastAsia="ＭＳ 明朝"/>
          <w:sz w:val="22"/>
        </w:rPr>
      </w:pPr>
      <w:r>
        <w:rPr>
          <w:rFonts w:hint="eastAsia" w:eastAsia="ＭＳ 明朝"/>
          <w:sz w:val="22"/>
        </w:rPr>
        <w:t>[6]</w:t>
      </w:r>
      <w:r>
        <w:rPr>
          <w:rFonts w:eastAsia="ＭＳ 明朝"/>
          <w:sz w:val="22"/>
        </w:rPr>
        <w:tab/>
      </w:r>
      <w:r>
        <w:rPr>
          <w:rFonts w:eastAsia="ＭＳ 明朝"/>
          <w:sz w:val="22"/>
        </w:rPr>
        <w:t>R1-2406980</w:t>
      </w:r>
      <w:r>
        <w:rPr>
          <w:rFonts w:eastAsia="ＭＳ 明朝"/>
          <w:sz w:val="22"/>
        </w:rPr>
        <w:tab/>
      </w:r>
      <w:r>
        <w:rPr>
          <w:rFonts w:eastAsia="ＭＳ 明朝"/>
          <w:sz w:val="22"/>
        </w:rPr>
        <w:t>UE features for other Rel-18 work items (Topics A)</w:t>
      </w:r>
      <w:r>
        <w:rPr>
          <w:rFonts w:eastAsia="ＭＳ 明朝"/>
          <w:sz w:val="22"/>
        </w:rPr>
        <w:tab/>
      </w:r>
      <w:r>
        <w:rPr>
          <w:rFonts w:eastAsia="ＭＳ 明朝"/>
          <w:sz w:val="22"/>
        </w:rPr>
        <w:t>Huawei, HiSilicon</w:t>
      </w:r>
    </w:p>
    <w:p>
      <w:pPr>
        <w:spacing w:after="120" w:afterLines="50"/>
        <w:jc w:val="both"/>
        <w:rPr>
          <w:rFonts w:eastAsia="ＭＳ 明朝"/>
          <w:sz w:val="22"/>
        </w:rPr>
      </w:pPr>
      <w:r>
        <w:rPr>
          <w:rFonts w:hint="eastAsia" w:eastAsia="ＭＳ 明朝"/>
          <w:sz w:val="22"/>
        </w:rPr>
        <w:t>[7]</w:t>
      </w:r>
      <w:r>
        <w:rPr>
          <w:rFonts w:eastAsia="ＭＳ 明朝"/>
          <w:sz w:val="22"/>
        </w:rPr>
        <w:tab/>
      </w:r>
      <w:r>
        <w:rPr>
          <w:rFonts w:eastAsia="ＭＳ 明朝"/>
          <w:sz w:val="22"/>
        </w:rPr>
        <w:t>R1-2407161</w:t>
      </w:r>
      <w:r>
        <w:rPr>
          <w:rFonts w:eastAsia="ＭＳ 明朝"/>
          <w:sz w:val="22"/>
        </w:rPr>
        <w:tab/>
      </w:r>
      <w:r>
        <w:rPr>
          <w:rFonts w:eastAsia="ＭＳ 明朝"/>
          <w:sz w:val="22"/>
        </w:rPr>
        <w:t>Rel-18 UE features topics set A</w:t>
      </w:r>
      <w:r>
        <w:rPr>
          <w:rFonts w:eastAsia="ＭＳ 明朝"/>
          <w:sz w:val="22"/>
        </w:rPr>
        <w:tab/>
      </w:r>
      <w:r>
        <w:rPr>
          <w:rFonts w:eastAsia="ＭＳ 明朝"/>
          <w:sz w:val="22"/>
        </w:rPr>
        <w:t>Ericsson</w:t>
      </w:r>
    </w:p>
    <w:p>
      <w:pPr>
        <w:spacing w:after="120" w:afterLines="50"/>
        <w:jc w:val="both"/>
        <w:rPr>
          <w:rFonts w:eastAsia="ＭＳ 明朝"/>
          <w:sz w:val="22"/>
        </w:rPr>
      </w:pPr>
    </w:p>
    <w:p>
      <w:pPr>
        <w:pStyle w:val="2"/>
        <w:spacing w:before="180" w:after="120"/>
        <w:rPr>
          <w:rFonts w:eastAsia="ＭＳ 明朝"/>
          <w:b/>
          <w:bCs/>
          <w:szCs w:val="24"/>
          <w:lang w:val="en-US"/>
        </w:rPr>
      </w:pPr>
      <w:r>
        <w:rPr>
          <w:rFonts w:eastAsia="ＭＳ 明朝"/>
          <w:b/>
          <w:bCs/>
          <w:szCs w:val="24"/>
          <w:lang w:val="en-US"/>
        </w:rPr>
        <w:t>Appendix: UE features list for Rel-18 NR_MC_enh</w:t>
      </w:r>
      <w:r>
        <w:rPr>
          <w:rFonts w:hint="eastAsia" w:eastAsia="ＭＳ 明朝"/>
          <w:b/>
          <w:bCs/>
          <w:szCs w:val="24"/>
          <w:lang w:val="en-US"/>
        </w:rPr>
        <w:t xml:space="preserve"> [1]</w:t>
      </w:r>
    </w:p>
    <w:p>
      <w:pPr>
        <w:spacing w:after="120" w:afterLines="50"/>
        <w:jc w:val="both"/>
        <w:rPr>
          <w:rFonts w:eastAsia="ＭＳ 明朝"/>
          <w:sz w:val="2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80"/>
        <w:gridCol w:w="2294"/>
        <w:gridCol w:w="7767"/>
        <w:gridCol w:w="737"/>
        <w:gridCol w:w="567"/>
        <w:gridCol w:w="567"/>
        <w:gridCol w:w="1512"/>
        <w:gridCol w:w="907"/>
        <w:gridCol w:w="624"/>
        <w:gridCol w:w="624"/>
        <w:gridCol w:w="624"/>
        <w:gridCol w:w="374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680"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2294"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776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73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56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56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512" w:type="dxa"/>
            <w:tcBorders>
              <w:top w:val="single" w:color="auto" w:sz="4" w:space="0"/>
              <w:left w:val="single" w:color="auto" w:sz="4" w:space="0"/>
              <w:bottom w:val="single" w:color="auto" w:sz="4" w:space="0"/>
              <w:right w:val="single" w:color="auto" w:sz="4" w:space="0"/>
            </w:tcBorders>
          </w:tcPr>
          <w:p>
            <w:pPr>
              <w:pStyle w:val="124"/>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907" w:type="dxa"/>
            <w:tcBorders>
              <w:top w:val="single" w:color="auto" w:sz="4" w:space="0"/>
              <w:left w:val="single" w:color="auto" w:sz="4" w:space="0"/>
              <w:bottom w:val="single" w:color="auto" w:sz="4" w:space="0"/>
              <w:right w:val="single" w:color="auto" w:sz="4" w:space="0"/>
            </w:tcBorders>
          </w:tcPr>
          <w:p>
            <w:pPr>
              <w:pStyle w:val="124"/>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624"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624"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624"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3742"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107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val="nl-NL"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49-1</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Multi</w:t>
            </w:r>
            <w:r>
              <w:rPr>
                <w:rFonts w:eastAsia="ＭＳ 明朝" w:asciiTheme="majorHAnsi" w:hAnsiTheme="majorHAnsi" w:cstheme="majorHAnsi"/>
                <w:szCs w:val="18"/>
                <w:lang w:eastAsia="ja-JP"/>
              </w:rPr>
              <w:t xml:space="preserve">-cell PDSCH scheduling by DCI format 1_3 on a scheduling cell </w:t>
            </w:r>
            <w:r>
              <w:t xml:space="preserve">with </w:t>
            </w:r>
            <w:r>
              <w:rPr>
                <w:rFonts w:eastAsia="ＭＳ 明朝" w:asciiTheme="majorHAnsi" w:hAnsiTheme="majorHAnsi" w:cstheme="majorHAnsi"/>
                <w:szCs w:val="18"/>
                <w:lang w:eastAsia="ja-JP"/>
              </w:rPr>
              <w:t>same SCS between scheduling cell and cells in the set</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pPr>
              <w:rPr>
                <w:rFonts w:asciiTheme="majorHAnsi" w:hAnsiTheme="majorHAnsi" w:cstheme="majorHAnsi"/>
                <w:sz w:val="18"/>
                <w:szCs w:val="18"/>
              </w:rPr>
            </w:pPr>
            <w:r>
              <w:rPr>
                <w:rFonts w:asciiTheme="majorHAnsi" w:hAnsiTheme="majorHAnsi" w:cstheme="majorHAnsi"/>
                <w:sz w:val="18"/>
                <w:szCs w:val="18"/>
              </w:rPr>
              <w:t xml:space="preserve">4) </w:t>
            </w:r>
            <w:r>
              <w:rPr>
                <w:rFonts w:hint="eastAsia" w:asciiTheme="majorHAnsi" w:hAnsiTheme="majorHAnsi" w:cstheme="majorHAnsi"/>
                <w:sz w:val="18"/>
                <w:szCs w:val="18"/>
              </w:rPr>
              <w:t>M</w:t>
            </w:r>
            <w:r>
              <w:rPr>
                <w:rFonts w:asciiTheme="majorHAnsi" w:hAnsiTheme="majorHAnsi" w:cstheme="majorHAnsi"/>
                <w:sz w:val="18"/>
                <w:szCs w:val="18"/>
              </w:rPr>
              <w:t>ax number of co-scheduled cells per set of cells supported by UE is reported with candidate value set of {2, 3, 4}</w:t>
            </w:r>
          </w:p>
          <w:p>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pPr>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Max number of sets of cells supported by UE for a same scheduling cell: Candidate value set of {1, 2, 3, 4}</w:t>
            </w:r>
          </w:p>
          <w:p>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pPr>
              <w:rPr>
                <w:rFonts w:asciiTheme="majorHAnsi" w:hAnsiTheme="majorHAnsi" w:cstheme="majorHAnsi"/>
                <w:sz w:val="18"/>
                <w:szCs w:val="18"/>
              </w:rPr>
            </w:pPr>
            <w:r>
              <w:rPr>
                <w:rFonts w:hint="eastAsia" w:asciiTheme="majorHAnsi" w:hAnsiTheme="majorHAnsi" w:cstheme="majorHAnsi"/>
                <w:sz w:val="18"/>
                <w:szCs w:val="18"/>
              </w:rPr>
              <w:t>9</w:t>
            </w:r>
            <w:r>
              <w:rPr>
                <w:rFonts w:asciiTheme="majorHAnsi" w:hAnsiTheme="majorHAnsi" w:cstheme="majorHAnsi"/>
                <w:sz w:val="18"/>
                <w:szCs w:val="18"/>
              </w:rPr>
              <w:t>) Support Type-2 for ‘Antenna port(s)’ field</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pPr>
              <w:pStyle w:val="95"/>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pPr>
              <w:pStyle w:val="95"/>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1) Monitoring SS set(s) for DCI format 1_3 for a set of cells for the following cases</w:t>
            </w:r>
          </w:p>
          <w:p>
            <w:pPr>
              <w:pStyle w:val="95"/>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pPr>
              <w:pStyle w:val="95"/>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pPr>
              <w:pStyle w:val="95"/>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pPr>
              <w:pStyle w:val="95"/>
              <w:numPr>
                <w:ilvl w:val="1"/>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1_3 for the set of cells with the same searchSpaceId are provided on both the scheduling cell and a serving cell in the set of cells with the scheduling cell being in the set of cells</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pPr>
              <w:pStyle w:val="95"/>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pPr>
              <w:pStyle w:val="95"/>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pPr>
              <w:pStyle w:val="95"/>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pPr>
              <w:rPr>
                <w:rFonts w:asciiTheme="majorHAnsi" w:hAnsiTheme="majorHAnsi" w:cstheme="majorHAnsi"/>
                <w:color w:val="000000" w:themeColor="text1"/>
                <w:sz w:val="18"/>
                <w:szCs w:val="18"/>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ＭＳ 明朝" w:asciiTheme="majorHAnsi" w:hAnsiTheme="majorHAnsi" w:cstheme="majorHAnsi"/>
                <w:szCs w:val="18"/>
                <w:lang w:val="en-US" w:eastAsia="ja-JP"/>
              </w:rPr>
              <w:t>U</w:t>
            </w:r>
            <w:r>
              <w:rPr>
                <w:rFonts w:eastAsia="ＭＳ 明朝" w:asciiTheme="majorHAnsi"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ote: Support of CCS with DL DCI formats 1_1/1_2 is according to FG 6-10</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49-1b</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Multi</w:t>
            </w:r>
            <w:r>
              <w:rPr>
                <w:rFonts w:eastAsia="ＭＳ 明朝" w:asciiTheme="majorHAnsi"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pPr>
              <w:rPr>
                <w:rFonts w:asciiTheme="majorHAnsi" w:hAnsiTheme="majorHAnsi" w:cstheme="majorHAnsi"/>
                <w:sz w:val="18"/>
                <w:szCs w:val="18"/>
              </w:rPr>
            </w:pPr>
            <w:r>
              <w:rPr>
                <w:rFonts w:asciiTheme="majorHAnsi" w:hAnsiTheme="majorHAnsi" w:cstheme="majorHAnsi"/>
                <w:sz w:val="18"/>
                <w:szCs w:val="18"/>
              </w:rPr>
              <w:t>Candidate value set for component 3a:</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pPr>
              <w:rPr>
                <w:rFonts w:asciiTheme="majorHAnsi" w:hAnsiTheme="majorHAnsi" w:cstheme="majorHAnsi"/>
                <w:sz w:val="18"/>
                <w:szCs w:val="18"/>
              </w:rPr>
            </w:pPr>
            <w:r>
              <w:rPr>
                <w:rFonts w:asciiTheme="majorHAnsi" w:hAnsiTheme="majorHAnsi" w:cstheme="majorHAnsi"/>
                <w:sz w:val="18"/>
                <w:szCs w:val="18"/>
              </w:rPr>
              <w:t>Candidate value set for component 3b:</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hint="eastAsia" w:asciiTheme="majorHAnsi" w:hAnsiTheme="majorHAnsi" w:cstheme="majorHAnsi"/>
                <w:sz w:val="18"/>
                <w:szCs w:val="18"/>
              </w:rPr>
              <w:t>{</w:t>
            </w:r>
            <w:r>
              <w:rPr>
                <w:rFonts w:asciiTheme="majorHAnsi" w:hAnsiTheme="majorHAnsi" w:cstheme="majorHAnsi"/>
                <w:sz w:val="18"/>
                <w:szCs w:val="18"/>
              </w:rPr>
              <w:t xml:space="preserve">FR1 licensed FDD, FR1 licensed TDD, FR1 unlicensed TDD, FR2-1, FR2-2} and scheduled cells from </w:t>
            </w:r>
            <w:r>
              <w:rPr>
                <w:rFonts w:hint="eastAsia" w:asciiTheme="majorHAnsi" w:hAnsiTheme="majorHAnsi" w:cstheme="majorHAnsi"/>
                <w:sz w:val="18"/>
                <w:szCs w:val="18"/>
              </w:rPr>
              <w:t>{</w:t>
            </w:r>
            <w:r>
              <w:rPr>
                <w:rFonts w:asciiTheme="majorHAnsi" w:hAnsiTheme="majorHAnsi" w:cstheme="majorHAnsi"/>
                <w:sz w:val="18"/>
                <w:szCs w:val="18"/>
              </w:rPr>
              <w:t>FR1 licensed FDD, FR1 licensed TDD, FR1 unlicensed TDD, FR2-1, FR2-2} from the band combinations</w:t>
            </w:r>
          </w:p>
          <w:p>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hint="eastAsia" w:asciiTheme="majorHAnsi" w:hAnsiTheme="majorHAnsi" w:cstheme="majorHAnsi"/>
                <w:sz w:val="18"/>
                <w:szCs w:val="18"/>
              </w:rPr>
              <w:t>M</w:t>
            </w:r>
            <w:r>
              <w:rPr>
                <w:rFonts w:asciiTheme="majorHAnsi" w:hAnsiTheme="majorHAnsi" w:cstheme="majorHAnsi"/>
                <w:sz w:val="18"/>
                <w:szCs w:val="18"/>
              </w:rPr>
              <w:t>ax number of co-scheduled cells per set of cells supported by UE is reported with candidate value set of {2, 3, 4}</w:t>
            </w:r>
          </w:p>
          <w:p>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pPr>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Max number of sets of cells supported by UE for a same scheduling cell: Candidate value set of {1, 2, 3, 4}</w:t>
            </w:r>
          </w:p>
          <w:p>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pPr>
              <w:rPr>
                <w:rFonts w:asciiTheme="majorHAnsi" w:hAnsiTheme="majorHAnsi" w:cstheme="majorHAnsi"/>
                <w:sz w:val="18"/>
                <w:szCs w:val="18"/>
              </w:rPr>
            </w:pPr>
            <w:r>
              <w:rPr>
                <w:rFonts w:hint="eastAsia" w:asciiTheme="majorHAnsi" w:hAnsiTheme="majorHAnsi" w:cstheme="majorHAnsi"/>
                <w:sz w:val="18"/>
                <w:szCs w:val="18"/>
              </w:rPr>
              <w:t>9</w:t>
            </w:r>
            <w:r>
              <w:rPr>
                <w:rFonts w:asciiTheme="majorHAnsi" w:hAnsiTheme="majorHAnsi" w:cstheme="majorHAnsi"/>
                <w:sz w:val="18"/>
                <w:szCs w:val="18"/>
              </w:rPr>
              <w:t>) Support Type-2 for ‘Antenna port(s)’ field</w:t>
            </w:r>
          </w:p>
          <w:p>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1) Monitoring SS set(s) for DCI format 1_3 for a set of cells for the following cases</w:t>
            </w:r>
          </w:p>
          <w:p>
            <w:pPr>
              <w:pStyle w:val="95"/>
              <w:numPr>
                <w:ilvl w:val="0"/>
                <w:numId w:val="27"/>
              </w:numPr>
              <w:spacing w:after="0" w:line="240" w:lineRule="auto"/>
              <w:ind w:leftChars="0"/>
              <w:rPr>
                <w:color w:val="000000" w:themeColor="text1"/>
                <w14:textFill>
                  <w14:solidFill>
                    <w14:schemeClr w14:val="tx1"/>
                  </w14:solidFill>
                </w14:textFill>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ＭＳ 明朝" w:asciiTheme="majorHAnsi" w:hAnsiTheme="majorHAnsi" w:cstheme="majorHAnsi"/>
                <w:szCs w:val="18"/>
                <w:lang w:val="en-US" w:eastAsia="ja-JP"/>
              </w:rPr>
              <w:t>U</w:t>
            </w:r>
            <w:r>
              <w:rPr>
                <w:rFonts w:eastAsia="ＭＳ 明朝" w:asciiTheme="majorHAnsi"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eastAsia="ＭＳ 明朝" w:asciiTheme="majorHAnsi" w:hAnsiTheme="majorHAnsi" w:cstheme="majorHAnsi"/>
                <w:szCs w:val="18"/>
                <w:lang w:eastAsia="ja-JP"/>
              </w:rPr>
              <w:t>scheduling cell and cells in the set</w:t>
            </w: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ote: Support of CCS with DL DCI formats 1_1/1_2 is according to FG 18-5</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49-2</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Multi</w:t>
            </w:r>
            <w:r>
              <w:rPr>
                <w:rFonts w:eastAsia="ＭＳ 明朝" w:asciiTheme="majorHAnsi" w:hAnsiTheme="majorHAnsi" w:cstheme="majorHAnsi"/>
                <w:szCs w:val="18"/>
                <w:lang w:eastAsia="ja-JP"/>
              </w:rPr>
              <w:t xml:space="preserve">-cell PUSCH scheduling by DCI format 0_3 on a scheduling cell </w:t>
            </w:r>
            <w:r>
              <w:t xml:space="preserve">with </w:t>
            </w:r>
            <w:r>
              <w:rPr>
                <w:rFonts w:eastAsia="ＭＳ 明朝" w:asciiTheme="majorHAnsi" w:hAnsiTheme="majorHAnsi" w:cstheme="majorHAnsi"/>
                <w:szCs w:val="18"/>
                <w:lang w:eastAsia="ja-JP"/>
              </w:rPr>
              <w:t>same SCS between scheduling cell and cells in the set</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pPr>
              <w:rPr>
                <w:rFonts w:asciiTheme="majorHAnsi" w:hAnsiTheme="majorHAnsi" w:cstheme="majorHAnsi"/>
                <w:sz w:val="18"/>
                <w:szCs w:val="18"/>
              </w:rPr>
            </w:pPr>
            <w:r>
              <w:rPr>
                <w:rFonts w:asciiTheme="majorHAnsi" w:hAnsiTheme="majorHAnsi" w:cstheme="majorHAnsi"/>
                <w:sz w:val="18"/>
                <w:szCs w:val="18"/>
              </w:rPr>
              <w:t xml:space="preserve">4) </w:t>
            </w:r>
            <w:r>
              <w:rPr>
                <w:rFonts w:hint="eastAsia" w:asciiTheme="majorHAnsi" w:hAnsiTheme="majorHAnsi" w:cstheme="majorHAnsi"/>
                <w:sz w:val="18"/>
                <w:szCs w:val="18"/>
              </w:rPr>
              <w:t>M</w:t>
            </w:r>
            <w:r>
              <w:rPr>
                <w:rFonts w:asciiTheme="majorHAnsi" w:hAnsiTheme="majorHAnsi" w:cstheme="majorHAnsi"/>
                <w:sz w:val="18"/>
                <w:szCs w:val="18"/>
              </w:rPr>
              <w:t>ax number of co-scheduled cells per set of cells supported by UE is reported with candidate value set of {2, 3, 4}</w:t>
            </w:r>
          </w:p>
          <w:p>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pPr>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Max number of sets of cells supported by UE for a same scheduling cell: Candidate value set of {1, 2, 3, 4}</w:t>
            </w:r>
          </w:p>
          <w:p>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pPr>
              <w:rPr>
                <w:rFonts w:asciiTheme="majorHAnsi" w:hAnsiTheme="majorHAnsi" w:cstheme="majorHAnsi"/>
                <w:sz w:val="18"/>
                <w:szCs w:val="18"/>
              </w:rPr>
            </w:pPr>
            <w:r>
              <w:rPr>
                <w:rFonts w:hint="eastAsia" w:asciiTheme="majorHAnsi" w:hAnsiTheme="majorHAnsi" w:cstheme="majorHAnsi"/>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 with the scheduling cell being NOT in the set of cells</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1) -</w:t>
            </w:r>
            <w:r>
              <w:rPr>
                <w:rFonts w:asciiTheme="majorHAnsi" w:hAnsiTheme="majorHAnsi" w:cstheme="majorHAnsi"/>
                <w:sz w:val="18"/>
                <w:szCs w:val="18"/>
              </w:rPr>
              <w:tab/>
            </w:r>
            <w:r>
              <w:rPr>
                <w:rFonts w:asciiTheme="majorHAnsi" w:hAnsiTheme="majorHAnsi" w:cstheme="majorHAnsi"/>
                <w:sz w:val="18"/>
                <w:szCs w:val="18"/>
              </w:rPr>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pPr>
              <w:pStyle w:val="95"/>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pPr>
              <w:pStyle w:val="95"/>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pPr>
              <w:pStyle w:val="95"/>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pPr>
              <w:rPr>
                <w:rFonts w:asciiTheme="majorHAnsi" w:hAnsiTheme="majorHAnsi" w:cstheme="majorHAnsi"/>
                <w:sz w:val="18"/>
                <w:szCs w:val="18"/>
              </w:rPr>
            </w:pP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p/>
          <w:p/>
          <w:p/>
          <w:p/>
          <w:p>
            <w:pPr>
              <w:rPr>
                <w:rFonts w:asciiTheme="majorHAnsi" w:hAnsiTheme="majorHAnsi" w:eastAsiaTheme="minorEastAsia" w:cstheme="majorHAnsi"/>
                <w:color w:val="000000" w:themeColor="text1"/>
                <w:sz w:val="18"/>
                <w:szCs w:val="18"/>
                <w14:textFill>
                  <w14:solidFill>
                    <w14:schemeClr w14:val="tx1"/>
                  </w14:solidFill>
                </w14:textFill>
              </w:rPr>
            </w:pPr>
          </w:p>
          <w:p>
            <w:pPr>
              <w:rPr>
                <w:rFonts w:asciiTheme="majorHAnsi" w:hAnsiTheme="majorHAnsi" w:eastAsiaTheme="minorEastAsia" w:cstheme="majorHAnsi"/>
                <w:color w:val="000000" w:themeColor="text1"/>
                <w:sz w:val="18"/>
                <w:szCs w:val="18"/>
                <w14:textFill>
                  <w14:solidFill>
                    <w14:schemeClr w14:val="tx1"/>
                  </w14:solidFill>
                </w14:textFill>
              </w:rPr>
            </w:pPr>
          </w:p>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hint="eastAsia" w:eastAsia="ＭＳ 明朝" w:asciiTheme="majorHAnsi" w:hAnsiTheme="majorHAnsi" w:cstheme="majorHAnsi"/>
                <w:szCs w:val="18"/>
                <w:lang w:val="en-US" w:eastAsia="ja-JP"/>
              </w:rPr>
              <w:t>U</w:t>
            </w:r>
            <w:r>
              <w:rPr>
                <w:rFonts w:eastAsia="ＭＳ 明朝" w:asciiTheme="majorHAnsi"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ote: Support of CCS with UL DCI formats 0_1/0_2 is according to FG 6-10</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49-2b</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Multi</w:t>
            </w:r>
            <w:r>
              <w:rPr>
                <w:rFonts w:eastAsia="ＭＳ 明朝" w:asciiTheme="majorHAnsi" w:hAnsiTheme="majorHAnsi" w:cstheme="majorHAnsi"/>
                <w:szCs w:val="18"/>
                <w:lang w:eastAsia="ja-JP"/>
              </w:rPr>
              <w:t>-cell PUSCH scheduling by DCI format 0_3 on a scheduling cell not included in a set of cells with different SCS/carrier type between scheduling cell and cells in the set</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pPr>
              <w:rPr>
                <w:rFonts w:asciiTheme="majorHAnsi" w:hAnsiTheme="majorHAnsi" w:cstheme="majorHAnsi"/>
                <w:sz w:val="18"/>
                <w:szCs w:val="18"/>
              </w:rPr>
            </w:pPr>
            <w:r>
              <w:rPr>
                <w:rFonts w:asciiTheme="majorHAnsi" w:hAnsiTheme="majorHAnsi" w:cstheme="majorHAnsi"/>
                <w:sz w:val="18"/>
                <w:szCs w:val="18"/>
              </w:rPr>
              <w:t>Candidate value set for component 3a:</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pPr>
              <w:rPr>
                <w:rFonts w:asciiTheme="majorHAnsi" w:hAnsiTheme="majorHAnsi" w:cstheme="majorHAnsi"/>
                <w:sz w:val="18"/>
                <w:szCs w:val="18"/>
              </w:rPr>
            </w:pPr>
            <w:r>
              <w:rPr>
                <w:rFonts w:asciiTheme="majorHAnsi" w:hAnsiTheme="majorHAnsi" w:cstheme="majorHAnsi"/>
                <w:sz w:val="18"/>
                <w:szCs w:val="18"/>
              </w:rPr>
              <w:t>Candidate value set for component 3b:</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hint="eastAsia" w:asciiTheme="majorHAnsi" w:hAnsiTheme="majorHAnsi" w:cstheme="majorHAnsi"/>
                <w:sz w:val="18"/>
                <w:szCs w:val="18"/>
              </w:rPr>
              <w:t>{</w:t>
            </w:r>
            <w:r>
              <w:rPr>
                <w:rFonts w:asciiTheme="majorHAnsi" w:hAnsiTheme="majorHAnsi" w:cstheme="majorHAnsi"/>
                <w:sz w:val="18"/>
                <w:szCs w:val="18"/>
              </w:rPr>
              <w:t xml:space="preserve">FR1 licensed FDD, FR1 licensed TDD, FR1 unlicensed TDD, FR2-1, FR2-2} and scheduled cells from </w:t>
            </w:r>
            <w:r>
              <w:rPr>
                <w:rFonts w:hint="eastAsia" w:asciiTheme="majorHAnsi" w:hAnsiTheme="majorHAnsi" w:cstheme="majorHAnsi"/>
                <w:sz w:val="18"/>
                <w:szCs w:val="18"/>
              </w:rPr>
              <w:t>{</w:t>
            </w:r>
            <w:r>
              <w:rPr>
                <w:rFonts w:asciiTheme="majorHAnsi" w:hAnsiTheme="majorHAnsi" w:cstheme="majorHAnsi"/>
                <w:sz w:val="18"/>
                <w:szCs w:val="18"/>
              </w:rPr>
              <w:t>FR1 licensed FDD, FR1 licensed TDD, FR1 unlicensed TDD, FR2-1, FR2-2} from the band combinations</w:t>
            </w:r>
          </w:p>
          <w:p>
            <w:pPr>
              <w:rPr>
                <w:rFonts w:asciiTheme="majorHAnsi" w:hAnsiTheme="majorHAnsi" w:cstheme="majorHAnsi"/>
                <w:sz w:val="18"/>
                <w:szCs w:val="18"/>
              </w:rPr>
            </w:pPr>
            <w:r>
              <w:rPr>
                <w:rFonts w:asciiTheme="majorHAnsi" w:hAnsiTheme="majorHAnsi" w:cstheme="majorHAnsi"/>
                <w:sz w:val="18"/>
                <w:szCs w:val="18"/>
              </w:rPr>
              <w:t xml:space="preserve">4) </w:t>
            </w:r>
            <w:r>
              <w:rPr>
                <w:rFonts w:hint="eastAsia" w:asciiTheme="majorHAnsi" w:hAnsiTheme="majorHAnsi" w:cstheme="majorHAnsi"/>
                <w:sz w:val="18"/>
                <w:szCs w:val="18"/>
              </w:rPr>
              <w:t>M</w:t>
            </w:r>
            <w:r>
              <w:rPr>
                <w:rFonts w:asciiTheme="majorHAnsi" w:hAnsiTheme="majorHAnsi" w:cstheme="majorHAnsi"/>
                <w:sz w:val="18"/>
                <w:szCs w:val="18"/>
              </w:rPr>
              <w:t>ax number of co-scheduled cells per set of cells supported by UE is reported with candidate value set of {2, 3, 4}</w:t>
            </w:r>
          </w:p>
          <w:p>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pPr>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Max number of sets of cells supported by UE for a same scheduling cell: Candidate value set of {1, 2, 3, 4}</w:t>
            </w:r>
          </w:p>
          <w:p>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pPr>
              <w:rPr>
                <w:rFonts w:asciiTheme="majorHAnsi" w:hAnsiTheme="majorHAnsi" w:cstheme="majorHAnsi"/>
                <w:sz w:val="18"/>
                <w:szCs w:val="18"/>
              </w:rPr>
            </w:pPr>
            <w:r>
              <w:rPr>
                <w:rFonts w:hint="eastAsia" w:asciiTheme="majorHAnsi" w:hAnsiTheme="majorHAnsi" w:cstheme="majorHAnsi"/>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pPr>
              <w:pStyle w:val="95"/>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0) Monitoring SS set(s) for DCI format 0_3 for a set of cells for the following cases</w:t>
            </w:r>
          </w:p>
          <w:p>
            <w:pPr>
              <w:pStyle w:val="95"/>
              <w:numPr>
                <w:ilvl w:val="0"/>
                <w:numId w:val="27"/>
              </w:numPr>
              <w:spacing w:after="0" w:line="240" w:lineRule="auto"/>
              <w:ind w:leftChars="0"/>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hint="eastAsia" w:eastAsia="ＭＳ 明朝" w:asciiTheme="majorHAnsi" w:hAnsiTheme="majorHAnsi" w:cstheme="majorHAnsi"/>
                <w:szCs w:val="18"/>
                <w:lang w:val="en-US" w:eastAsia="ja-JP"/>
              </w:rPr>
              <w:t>U</w:t>
            </w:r>
            <w:r>
              <w:rPr>
                <w:rFonts w:eastAsia="ＭＳ 明朝" w:asciiTheme="majorHAnsi"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eastAsia="ＭＳ 明朝" w:asciiTheme="majorHAnsi" w:hAnsiTheme="majorHAnsi" w:cstheme="majorHAnsi"/>
                <w:szCs w:val="18"/>
                <w:lang w:eastAsia="ja-JP"/>
              </w:rPr>
              <w:t>scheduling cell and cells in the set</w:t>
            </w: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ote: Support of CCS with UL DCI formats 0_1/0_2 is according to FG 18-5b</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49-3x</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lang w:eastAsia="zh-CN"/>
              </w:rPr>
            </w:pPr>
            <w:r>
              <w:rPr>
                <w:rFonts w:eastAsia="SimSun"/>
                <w:lang w:eastAsia="zh-CN"/>
              </w:rPr>
              <w:t>Advanced UE capability for larger number of unicast DL DCI</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Processing up to X unicast DCI scheduling PDSCH per scheduled cell in a set of cells configured for multi-cell PDSCH scheduling by DCI format 1_3:</w:t>
            </w:r>
          </w:p>
          <w:p>
            <w:pPr>
              <w:numPr>
                <w:ilvl w:val="0"/>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X DCI formats 1_3 for the set of cells, and</w:t>
            </w:r>
          </w:p>
          <w:p>
            <w:pPr>
              <w:numPr>
                <w:ilvl w:val="0"/>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X unicast DL DCI formats 1_0/1_1/1_2 (if supported) for each of the cells in the set of cells</w:t>
            </w:r>
          </w:p>
          <w:p>
            <w:pPr>
              <w:numPr>
                <w:ilvl w:val="0"/>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For each cell in the set of cells, no more than X DCIs scheduling PDSCH for the cell</w:t>
            </w:r>
          </w:p>
          <w:p>
            <w:pPr>
              <w:numPr>
                <w:ilvl w:val="0"/>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X is based on pair of (scheduling CC SCS, scheduled CC SCS):</w:t>
            </w:r>
          </w:p>
          <w:p>
            <w:pPr>
              <w:numPr>
                <w:ilvl w:val="1"/>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Candidate value(s) of X</w:t>
            </w:r>
          </w:p>
          <w:p>
            <w:pPr>
              <w:numPr>
                <w:ilvl w:val="2"/>
                <w:numId w:val="20"/>
              </w:numPr>
              <w:spacing w:after="0" w:line="240" w:lineRule="auto"/>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X={2,4} for (15,120), (15,60), (30,120) and X={2} for (15,30), (30,60), (60,120 kHz)</w:t>
            </w:r>
          </w:p>
          <w:p>
            <w:pPr>
              <w:numPr>
                <w:ilvl w:val="1"/>
                <w:numId w:val="20"/>
              </w:numPr>
              <w:spacing w:after="0" w:line="240" w:lineRule="auto"/>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X applies per slot of scheduling CC</w:t>
            </w:r>
          </w:p>
          <w:p>
            <w:pPr>
              <w:rPr>
                <w:rFonts w:asciiTheme="majorHAnsi" w:hAnsiTheme="majorHAnsi" w:cstheme="majorHAnsi"/>
                <w:color w:val="000000" w:themeColor="text1"/>
                <w:sz w:val="18"/>
                <w:szCs w:val="18"/>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49-3y</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lang w:eastAsia="zh-CN"/>
              </w:rPr>
            </w:pPr>
            <w:r>
              <w:rPr>
                <w:rFonts w:eastAsia="SimSun"/>
                <w:lang w:eastAsia="zh-CN"/>
              </w:rPr>
              <w:t>Advanced UE capability for larger number of unicast UL DCI</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Processing up to X unicast DCI scheduling PUSCH per scheduled cell in a set of cells configured for multi-cell PUSCH scheduling by DCI format 0_3 </w:t>
            </w:r>
          </w:p>
          <w:p>
            <w:pPr>
              <w:numPr>
                <w:ilvl w:val="0"/>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X DCI formats 0_3 for the set of cells, and</w:t>
            </w:r>
          </w:p>
          <w:p>
            <w:pPr>
              <w:numPr>
                <w:ilvl w:val="0"/>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X unicast UL DCI formats 0_0/0_1/0_2 (if supported) for each of the cells in the set of cells</w:t>
            </w:r>
          </w:p>
          <w:p>
            <w:pPr>
              <w:numPr>
                <w:ilvl w:val="0"/>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For a cell in the set of cells, no more than X DCIs scheduling PUSCH for the cell</w:t>
            </w:r>
          </w:p>
          <w:p>
            <w:pPr>
              <w:numPr>
                <w:ilvl w:val="0"/>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X is based on pair of (scheduling CC SCS, scheduled CC SCS):</w:t>
            </w:r>
          </w:p>
          <w:p>
            <w:pPr>
              <w:numPr>
                <w:ilvl w:val="1"/>
                <w:numId w:val="20"/>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Candidate value(s) of X</w:t>
            </w:r>
          </w:p>
          <w:p>
            <w:pPr>
              <w:numPr>
                <w:ilvl w:val="2"/>
                <w:numId w:val="20"/>
              </w:numPr>
              <w:spacing w:after="0" w:line="240" w:lineRule="auto"/>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X={2,4} for (15,120), (15,60), (30,120) and X={2} for (15,30), (30,60), (60,120 kHz)</w:t>
            </w:r>
          </w:p>
          <w:p>
            <w:pPr>
              <w:numPr>
                <w:ilvl w:val="1"/>
                <w:numId w:val="20"/>
              </w:numPr>
              <w:spacing w:after="0" w:line="240" w:lineRule="auto"/>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X applies per slot of scheduling CC</w:t>
            </w:r>
          </w:p>
          <w:p>
            <w:pPr>
              <w:rPr>
                <w:rFonts w:asciiTheme="majorHAnsi" w:hAnsiTheme="majorHAnsi" w:cstheme="majorHAnsi"/>
                <w:color w:val="000000" w:themeColor="text1"/>
                <w:sz w:val="18"/>
                <w:szCs w:val="18"/>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49-4a</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Nominal RBG size of Configuration 3</w:t>
            </w:r>
            <w:r>
              <w:rPr>
                <w:rFonts w:asciiTheme="majorHAnsi" w:hAnsiTheme="majorHAnsi" w:cstheme="majorHAnsi"/>
                <w:color w:val="000000" w:themeColor="text1"/>
                <w:szCs w:val="18"/>
                <w14:textFill>
                  <w14:solidFill>
                    <w14:schemeClr w14:val="tx1"/>
                  </w14:solidFill>
                </w14:textFill>
              </w:rPr>
              <w:t xml:space="preserve"> for FDRA type 0 for DCI format 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1)</w:t>
            </w:r>
            <w:r>
              <w:t xml:space="preserve"> </w:t>
            </w:r>
            <w:r>
              <w:rPr>
                <w:rFonts w:asciiTheme="majorHAnsi" w:hAnsiTheme="majorHAnsi" w:cstheme="majorHAnsi"/>
                <w:color w:val="000000" w:themeColor="text1"/>
                <w:sz w:val="18"/>
                <w:szCs w:val="18"/>
                <w14:textFill>
                  <w14:solidFill>
                    <w14:schemeClr w14:val="tx1"/>
                  </w14:solidFill>
                </w14:textFill>
              </w:rPr>
              <w:t>Support of nominal RBG size of Configuration 3 for FDRA type 0</w:t>
            </w:r>
            <w:r>
              <w:t xml:space="preserve"> </w:t>
            </w:r>
            <w:r>
              <w:rPr>
                <w:rFonts w:asciiTheme="majorHAnsi" w:hAnsiTheme="majorHAnsi" w:cstheme="majorHAnsi"/>
                <w:color w:val="000000" w:themeColor="text1"/>
                <w:sz w:val="18"/>
                <w:szCs w:val="18"/>
                <w14:textFill>
                  <w14:solidFill>
                    <w14:schemeClr w14:val="tx1"/>
                  </w14:solidFill>
                </w14:textFill>
              </w:rPr>
              <w:t>for DCI format 1_3</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highlight w:val="yellow"/>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Per UE</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49-4b</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Nominal RBG size of Configuration 3</w:t>
            </w:r>
            <w:r>
              <w:rPr>
                <w:rFonts w:asciiTheme="majorHAnsi" w:hAnsiTheme="majorHAnsi" w:cstheme="majorHAnsi"/>
                <w:color w:val="000000" w:themeColor="text1"/>
                <w:szCs w:val="18"/>
                <w14:textFill>
                  <w14:solidFill>
                    <w14:schemeClr w14:val="tx1"/>
                  </w14:solidFill>
                </w14:textFill>
              </w:rPr>
              <w:t xml:space="preserve"> for FDRA type 0 for DCI format 0_3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1)</w:t>
            </w:r>
            <w:r>
              <w:t xml:space="preserve"> </w:t>
            </w:r>
            <w:r>
              <w:rPr>
                <w:rFonts w:asciiTheme="majorHAnsi" w:hAnsiTheme="majorHAnsi" w:cstheme="majorHAnsi"/>
                <w:color w:val="000000" w:themeColor="text1"/>
                <w:sz w:val="18"/>
                <w:szCs w:val="18"/>
                <w14:textFill>
                  <w14:solidFill>
                    <w14:schemeClr w14:val="tx1"/>
                  </w14:solidFill>
                </w14:textFill>
              </w:rPr>
              <w:t>Support of nominal RBG size of Configuration 3 for FDRA type 0</w:t>
            </w:r>
            <w:r>
              <w:t xml:space="preserve"> </w:t>
            </w:r>
            <w:r>
              <w:rPr>
                <w:rFonts w:asciiTheme="majorHAnsi" w:hAnsiTheme="majorHAnsi" w:cstheme="majorHAnsi"/>
                <w:color w:val="000000" w:themeColor="text1"/>
                <w:sz w:val="18"/>
                <w:szCs w:val="18"/>
                <w14:textFill>
                  <w14:solidFill>
                    <w14:schemeClr w14:val="tx1"/>
                  </w14:solidFill>
                </w14:textFill>
              </w:rPr>
              <w:t>for DCI format 0_3</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{49-2, 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Per UE</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cs="Arial"/>
                <w:color w:val="000000"/>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cs="Arial"/>
                <w:color w:val="000000"/>
                <w:szCs w:val="18"/>
                <w:lang w:eastAsia="ja-JP"/>
              </w:rPr>
              <w:t>49-4c</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cs="Arial"/>
                <w:color w:val="000000"/>
                <w:szCs w:val="18"/>
                <w:lang w:eastAsia="ja-JP"/>
              </w:rPr>
              <w:t>Configurable Type-1A fields for DCI format 0_3/</w:t>
            </w:r>
            <w:r>
              <w:rPr>
                <w:rFonts w:eastAsia="ＭＳ ゴシック" w:cs="Arial"/>
                <w:color w:val="000000"/>
                <w:szCs w:val="18"/>
                <w:lang w:eastAsia="ja-JP"/>
              </w:rPr>
              <w:t>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8"/>
                <w:szCs w:val="18"/>
              </w:rPr>
            </w:pPr>
            <w:r>
              <w:rPr>
                <w:rFonts w:ascii="Arial" w:hAnsi="Arial" w:cs="Arial"/>
                <w:color w:val="000000"/>
                <w:sz w:val="18"/>
                <w:szCs w:val="18"/>
              </w:rPr>
              <w:t>1) Support Type-1A for ‘Antenna port(s)’ field for DCI format 1_3</w:t>
            </w:r>
          </w:p>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sz w:val="18"/>
                <w:szCs w:val="18"/>
              </w:rPr>
              <w:t>2) Support Type-1A for ‘Antenna port(s)’, ‘Precoding information and number of layers’ and ‘SRS resource indicator’ fields for DCI format 0_3</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cs="Arial"/>
                <w:color w:val="000000"/>
                <w:szCs w:val="18"/>
                <w:lang w:eastAsia="ja-JP"/>
              </w:rPr>
              <w:t>At least one of {49-1, 49-1b, 49-2, 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cs="Arial"/>
                <w:color w:val="000000"/>
                <w:szCs w:val="18"/>
                <w:lang w:eastAsia="ja-JP"/>
              </w:rPr>
              <w:t>Y</w:t>
            </w:r>
            <w:r>
              <w:rPr>
                <w:rFonts w:eastAsia="ＭＳ 明朝" w:cs="Arial"/>
                <w:color w:val="000000"/>
                <w:szCs w:val="18"/>
                <w:lang w:eastAsia="ja-JP"/>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cs="Arial"/>
                <w:color w:val="000000"/>
                <w:szCs w:val="18"/>
                <w:lang w:eastAsia="ja-JP"/>
              </w:rPr>
              <w:t>Per UE</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hint="eastAsia" w:eastAsia="ＭＳ 明朝" w:cs="Arial"/>
                <w:color w:val="000000"/>
                <w:szCs w:val="18"/>
                <w:lang w:eastAsia="ja-JP"/>
              </w:rPr>
              <w:t>N</w:t>
            </w:r>
            <w:r>
              <w:rPr>
                <w:rFonts w:eastAsia="ＭＳ 明朝" w:cs="Arial"/>
                <w:color w:val="000000"/>
                <w:szCs w:val="18"/>
                <w:lang w:eastAsia="ja-JP"/>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cs="Arial"/>
                <w:color w:val="000000"/>
                <w:szCs w:val="18"/>
                <w:lang w:eastAsia="ja-JP"/>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hint="eastAsia" w:eastAsia="ＭＳ 明朝" w:cs="Arial"/>
                <w:color w:val="000000"/>
                <w:szCs w:val="18"/>
                <w:lang w:eastAsia="ja-JP"/>
              </w:rPr>
              <w:t>N</w:t>
            </w:r>
            <w:r>
              <w:rPr>
                <w:rFonts w:eastAsia="ＭＳ 明朝" w:cs="Arial"/>
                <w:color w:val="000000"/>
                <w:szCs w:val="18"/>
                <w:lang w:eastAsia="ja-JP"/>
              </w:rPr>
              <w:t>o</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eastAsia="ＭＳ 明朝" w:cs="Arial"/>
                <w:color w:val="000000"/>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49-4d</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FDRA Type 1 granularity of 2, 4, 8, or 16 consecutive RBs based RIV</w:t>
            </w:r>
            <w:r>
              <w:rPr>
                <w:rFonts w:asciiTheme="majorHAnsi" w:hAnsiTheme="majorHAnsi" w:cstheme="majorHAnsi"/>
                <w:color w:val="000000" w:themeColor="text1"/>
                <w:szCs w:val="18"/>
                <w14:textFill>
                  <w14:solidFill>
                    <w14:schemeClr w14:val="tx1"/>
                  </w14:solidFill>
                </w14:textFill>
              </w:rPr>
              <w:t xml:space="preserve"> for DCI format 1_3/0_3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1)</w:t>
            </w:r>
            <w:r>
              <w:t xml:space="preserve"> </w:t>
            </w:r>
            <w:r>
              <w:rPr>
                <w:rFonts w:asciiTheme="majorHAnsi" w:hAnsiTheme="majorHAnsi" w:cstheme="majorHAnsi"/>
                <w:color w:val="000000" w:themeColor="text1"/>
                <w:sz w:val="18"/>
                <w:szCs w:val="18"/>
                <w14:textFill>
                  <w14:solidFill>
                    <w14:schemeClr w14:val="tx1"/>
                  </w14:solidFill>
                </w14:textFill>
              </w:rPr>
              <w:t>Support of FDRA Type 1 granularity of 2, 4, 8, or 16 consecutive RBs based RIV for DCI format 0_3</w:t>
            </w:r>
          </w:p>
          <w:p>
            <w:pPr>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2)</w:t>
            </w:r>
            <w:r>
              <w:t xml:space="preserve"> </w:t>
            </w:r>
            <w:r>
              <w:rPr>
                <w:rFonts w:asciiTheme="majorHAnsi" w:hAnsiTheme="majorHAnsi" w:cstheme="majorHAnsi"/>
                <w:color w:val="000000" w:themeColor="text1"/>
                <w:sz w:val="18"/>
                <w:szCs w:val="18"/>
                <w14:textFill>
                  <w14:solidFill>
                    <w14:schemeClr w14:val="tx1"/>
                  </w14:solidFill>
                </w14:textFill>
              </w:rPr>
              <w:t>Support of FDRA Type 1 granularity of 2, 4, 8, or 16 consecutive RBs based RIV for DCI format 1_3</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 49-2, 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highlight w:val="yellow"/>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Per UE</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49-5a</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 xml:space="preserve">Trigger </w:t>
            </w:r>
            <w:r>
              <w:rPr>
                <w:rFonts w:hint="eastAsia" w:eastAsia="ＭＳ 明朝" w:asciiTheme="majorHAnsi" w:hAnsiTheme="majorHAnsi" w:cstheme="majorHAnsi"/>
                <w:color w:val="000000" w:themeColor="text1"/>
                <w:szCs w:val="18"/>
                <w:lang w:eastAsia="ja-JP"/>
                <w14:textFill>
                  <w14:solidFill>
                    <w14:schemeClr w14:val="tx1"/>
                  </w14:solidFill>
                </w14:textFill>
              </w:rPr>
              <w:t>T</w:t>
            </w:r>
            <w:r>
              <w:rPr>
                <w:rFonts w:eastAsia="ＭＳ 明朝" w:asciiTheme="majorHAnsi" w:hAnsiTheme="majorHAnsi" w:cstheme="majorHAnsi"/>
                <w:color w:val="000000" w:themeColor="text1"/>
                <w:szCs w:val="18"/>
                <w:lang w:eastAsia="ja-JP"/>
                <w14:textFill>
                  <w14:solidFill>
                    <w14:schemeClr w14:val="tx1"/>
                  </w14:solidFill>
                </w14:textFill>
              </w:rPr>
              <w:t xml:space="preserve">ype </w:t>
            </w:r>
            <w:r>
              <w:rPr>
                <w:rFonts w:hint="eastAsia" w:eastAsia="ＭＳ 明朝" w:asciiTheme="majorHAnsi" w:hAnsiTheme="majorHAnsi" w:cstheme="majorHAnsi"/>
                <w:color w:val="000000" w:themeColor="text1"/>
                <w:szCs w:val="18"/>
                <w:lang w:eastAsia="ja-JP"/>
                <w14:textFill>
                  <w14:solidFill>
                    <w14:schemeClr w14:val="tx1"/>
                  </w14:solidFill>
                </w14:textFill>
              </w:rPr>
              <w:t>3</w:t>
            </w:r>
            <w:r>
              <w:rPr>
                <w:rFonts w:eastAsia="ＭＳ 明朝" w:asciiTheme="majorHAnsi" w:hAnsiTheme="majorHAnsi" w:cstheme="majorHAnsi"/>
                <w:color w:val="000000" w:themeColor="text1"/>
                <w:szCs w:val="18"/>
                <w:lang w:eastAsia="ja-JP"/>
                <w14:textFill>
                  <w14:solidFill>
                    <w14:schemeClr w14:val="tx1"/>
                  </w14:solidFill>
                </w14:textFill>
              </w:rPr>
              <w:t xml:space="preserve"> HARQ CB based feedback using DCI format 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1. Support feedback of type 3 HARQ-ACK codebook, triggered by a DCI 1_3 scheduling at least a PDSCH</w:t>
            </w:r>
          </w:p>
          <w:p>
            <w:pPr>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2. Support feedback of type 3 HARQ-ACK codebook, triggered by a DCI 1_3 without scheduling a PDSCH using a reserved FDRA value</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hint="eastAsia" w:eastAsia="ＭＳ 明朝" w:asciiTheme="majorHAnsi" w:hAnsiTheme="majorHAnsi" w:cstheme="majorHAnsi"/>
                <w:color w:val="000000" w:themeColor="text1"/>
                <w:szCs w:val="18"/>
                <w:lang w:val="en-US" w:eastAsia="ja-JP"/>
                <w14:textFill>
                  <w14:solidFill>
                    <w14:schemeClr w14:val="tx1"/>
                  </w14:solidFill>
                </w14:textFill>
              </w:rPr>
              <w:t>U</w:t>
            </w:r>
            <w:r>
              <w:rPr>
                <w:rFonts w:eastAsia="ＭＳ 明朝" w:asciiTheme="majorHAnsi" w:hAnsiTheme="majorHAnsi" w:cstheme="majorHAnsi"/>
                <w:color w:val="000000" w:themeColor="text1"/>
                <w:szCs w:val="18"/>
                <w:lang w:val="en-US" w:eastAsia="ja-JP"/>
                <w14:textFill>
                  <w14:solidFill>
                    <w14:schemeClr w14:val="tx1"/>
                  </w14:solidFill>
                </w14:textFill>
              </w:rPr>
              <w:t>E does not support HARQ feedback based on Type 3 HARQ codebook triggered by DCI format 1_3</w:t>
            </w: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Per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Upon triggering, UE reports A/N for all HARQ processes and all CCs in a PUCCH group.</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49-5b</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 xml:space="preserve">Trigger enhanced </w:t>
            </w:r>
            <w:r>
              <w:rPr>
                <w:rFonts w:hint="eastAsia" w:eastAsia="ＭＳ 明朝" w:asciiTheme="majorHAnsi" w:hAnsiTheme="majorHAnsi" w:cstheme="majorHAnsi"/>
                <w:color w:val="000000" w:themeColor="text1"/>
                <w:szCs w:val="18"/>
                <w:lang w:eastAsia="ja-JP"/>
                <w14:textFill>
                  <w14:solidFill>
                    <w14:schemeClr w14:val="tx1"/>
                  </w14:solidFill>
                </w14:textFill>
              </w:rPr>
              <w:t>T</w:t>
            </w:r>
            <w:r>
              <w:rPr>
                <w:rFonts w:eastAsia="ＭＳ 明朝" w:asciiTheme="majorHAnsi" w:hAnsiTheme="majorHAnsi" w:cstheme="majorHAnsi"/>
                <w:color w:val="000000" w:themeColor="text1"/>
                <w:szCs w:val="18"/>
                <w:lang w:eastAsia="ja-JP"/>
                <w14:textFill>
                  <w14:solidFill>
                    <w14:schemeClr w14:val="tx1"/>
                  </w14:solidFill>
                </w14:textFill>
              </w:rPr>
              <w:t>ype 3 HARQ CB based feedback using DCI format 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1. Support feedback of enhanced type 3 HARQ-ACK codebook, triggered by a DCI 1_3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 Support configuration of up to 8 enhanced type 3 HARQ-ACK codebooks.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 Support feedback of a dynamically selected enhanced type 3 HARQ-ACK codebook based on triggering information in DCI 1_3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 Support transmission of enhanced type 3 HARQ-ACK codebook using the first or second PUCCH configuration based on PHY priority indication in the triggering DCI (for a UE supporting two HARQ-ACK codebooks / PUCCH config in 49-6)</w:t>
            </w:r>
          </w:p>
          <w:p>
            <w:pPr>
              <w:rPr>
                <w:rFonts w:asciiTheme="majorHAnsi" w:hAnsiTheme="majorHAnsi" w:cstheme="majorHAnsi"/>
                <w:sz w:val="18"/>
                <w:szCs w:val="18"/>
              </w:rPr>
            </w:pPr>
            <w:r>
              <w:rPr>
                <w:rFonts w:eastAsia="ＭＳ 明朝" w:asciiTheme="majorHAnsi" w:hAnsiTheme="majorHAnsi" w:cstheme="majorHAnsi"/>
                <w:color w:val="000000" w:themeColor="text1"/>
                <w:sz w:val="18"/>
                <w:szCs w:val="10"/>
                <w14:textFill>
                  <w14:solidFill>
                    <w14:schemeClr w14:val="tx1"/>
                  </w14:solidFill>
                </w14:textFill>
              </w:rPr>
              <w:t>5. Supported maximum number of actual PUCCH transmissions for type 3 or enhanced type 3 HARQ-ACK codebook feedback within a slot</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hint="eastAsia" w:eastAsia="ＭＳ 明朝" w:asciiTheme="majorHAnsi" w:hAnsiTheme="majorHAnsi" w:cstheme="majorHAnsi"/>
                <w:color w:val="000000" w:themeColor="text1"/>
                <w:szCs w:val="18"/>
                <w:lang w:val="en-US" w:eastAsia="ja-JP"/>
                <w14:textFill>
                  <w14:solidFill>
                    <w14:schemeClr w14:val="tx1"/>
                  </w14:solidFill>
                </w14:textFill>
              </w:rPr>
              <w:t>U</w:t>
            </w:r>
            <w:r>
              <w:rPr>
                <w:rFonts w:eastAsia="ＭＳ 明朝" w:asciiTheme="majorHAnsi" w:hAnsiTheme="majorHAnsi" w:cstheme="majorHAnsi"/>
                <w:color w:val="000000" w:themeColor="text1"/>
                <w:szCs w:val="18"/>
                <w:lang w:val="en-US" w:eastAsia="ja-JP"/>
                <w14:textFill>
                  <w14:solidFill>
                    <w14:schemeClr w14:val="tx1"/>
                  </w14:solidFill>
                </w14:textFill>
              </w:rPr>
              <w:t>E does not support HARQ feedback based on enhanced Type 3 HARQ codebook triggered by DCI format 1_3</w:t>
            </w: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Per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the UE indicates its capability in the number of enhanced type 3 HARQ-ACK codebooks: {1, 2, 4, 8}</w:t>
            </w: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the dynamic indication is only supported if the UE for component 2 supports more than one enhanced type 3 HARQ-ACK codebook to be configured</w:t>
            </w: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for component 5 is: {1, 2, 3, 4, 5, 6, 7}.</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lang w:val="en-US" w:eastAsia="zh-CN"/>
              </w:rPr>
              <w:t>For component 2 and 5, same values as for FG25-6 are reported (if the UE also report FG25-6)</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49-6</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Two HARQ-ACK codebooks with up to one sub-slot based HARQ-ACK codebook simultaneously constructed for supporting HARQ-ACK codebooks with different priorities by DCI format 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1.</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two HARQ-ACK codebooks with different priorities to be simultaneously constructed with the restriction up to one sub-slot based HARQ-ACK codebook.</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2.</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separate PUCCH configuration for different HARQ-ACK codebooks.</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3.</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2-level priority of HARQ-ACK for dynamically scheduled PDSCH and SPS PDSCH.</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4.</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a DCI format 1_3 scheduling PDSCH with different HARQ-ACK priorities when only DCI format 0_3/1_3 is configured per BWP.</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5.</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separate configuration of parameters PDSCH-HARQ-ACK-Codebook, UCI-OnPUSCH and 'codeBlockGroupTransmission" for different HARQ-ACK codebooks.</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6.</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Supported maximum number of actual PUCCH transmissions for HARQ-ACK within a slot</w:t>
            </w:r>
          </w:p>
          <w:p>
            <w:pPr>
              <w:numPr>
                <w:ilvl w:val="0"/>
                <w:numId w:val="20"/>
              </w:numPr>
              <w:spacing w:after="0" w:line="240" w:lineRule="auto"/>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Candidate values for the component 6 of this FG is: For NCP, {4, 5, 6, 7} for 2-symbol*7 sub-slot configuration; For ECP, the candidate value is {4,5,6} for 2-symbol*6 sub-slot configuration</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7.</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 intra-UE multiplexing/prioritization of UL overlapping channels/signals with two priority levels for HARQ-ACK</w:t>
            </w:r>
          </w:p>
          <w:p>
            <w:pPr>
              <w:rPr>
                <w:rFonts w:eastAsia="ＭＳ 明朝" w:asciiTheme="majorHAnsi" w:hAnsiTheme="majorHAnsi" w:cstheme="majorHAnsi"/>
                <w:color w:val="000000" w:themeColor="text1"/>
                <w:sz w:val="18"/>
                <w:szCs w:val="10"/>
                <w:lang w:val="en-US"/>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FS</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a UE reports both 11-3 and this FG, it can support two slot-based HARQ-ACK codebooks, and one slot-based and one-sub-slot-based HARQ-ACK codebooks. If a UE reports this FG but not 11-3, it can only support two slot-based HARQ-ACK codebooks.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number of PUCCHs for CSI reporting per slot is not impacted compared with Rel-15 by introducing the new HARQ-ACK CBs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6 is applied to the sub-slot HARQ-ACK codebook. It is assumed that only 1 actual PUCCH transmission for HARQ-ACK within a slot for slot-based HARQ-ACK codebook.</w:t>
            </w:r>
          </w:p>
          <w:p>
            <w:pPr>
              <w:pStyle w:val="114"/>
              <w:numPr>
                <w:ilvl w:val="0"/>
                <w:numId w:val="20"/>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6 is reported for 2-symbol*7 sub-slot configuration. For 7-symbol*2 sub-slot configuration, the value of component 6 is {2} for both NCP and ECP cases.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6, maximum of 1 actual PUCCH transmission for HARQ-ACK within a slot for slot-based HARQ-ACK codebook. Thus value reported for component 6 has no meaning for "slot-based + slot based".</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6, same values as for FG11-4 are reported (if the UE also report FG11-4)</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49-6a</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Two HARQ-ACK codebooks with two sub-slot based HARQ-ACK codebook simultaneously constructed for supporting HARQ-ACK codebooks with different priorities by DCI format 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1.</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two subslot based HARQ-ACK codebooks with different priorities to be simultaneously constructed.</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separate PUCCH configuration for different HARQ-ACK codebooks.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2-level priority of HARQ-ACK for dynamically scheduled PDSCH and SPS PDSCH.</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a DCI format 1_3 scheduling PDSCH with different HARQ-ACK priorities when only DCI format 0_3/1_3 is configured in USS per BWP.</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5.</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separate configuration of parameters PDSCH-HARQ-ACK-Codebook, UCI-OnPUSCH and "codeBlockGroupTransmission" for different HARQ-ACK codebooks.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6.</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Supported maximum number of actual PUCCH transmissions for HARQ-ACK within a slot.</w:t>
            </w:r>
          </w:p>
          <w:p>
            <w:pPr>
              <w:numPr>
                <w:ilvl w:val="0"/>
                <w:numId w:val="20"/>
              </w:numPr>
              <w:spacing w:after="0" w:line="240" w:lineRule="auto"/>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 xml:space="preserve">Candidate </w:t>
            </w:r>
            <w:r>
              <w:rPr>
                <w:rFonts w:eastAsia="ＭＳ 明朝" w:asciiTheme="majorHAnsi" w:hAnsiTheme="majorHAnsi" w:cstheme="majorHAnsi"/>
                <w:color w:val="000000" w:themeColor="text1"/>
                <w:sz w:val="18"/>
                <w:szCs w:val="10"/>
                <w:lang w:val="en-US"/>
                <w14:textFill>
                  <w14:solidFill>
                    <w14:schemeClr w14:val="tx1"/>
                  </w14:solidFill>
                </w14:textFill>
              </w:rPr>
              <w:t>values</w:t>
            </w:r>
            <w:r>
              <w:rPr>
                <w:rFonts w:eastAsia="ＭＳ 明朝" w:asciiTheme="majorHAnsi" w:hAnsiTheme="majorHAnsi" w:cstheme="majorHAnsi"/>
                <w:color w:val="000000" w:themeColor="text1"/>
                <w:sz w:val="18"/>
                <w:szCs w:val="10"/>
                <w14:textFill>
                  <w14:solidFill>
                    <w14:schemeClr w14:val="tx1"/>
                  </w14:solidFill>
                </w14:textFill>
              </w:rPr>
              <w:t xml:space="preserve"> for the component 6 of this FG is: For NCP, {4, 5, 6, 7} for 2-symbol*7 sub-slot configuration; For ECP, the candidate value is {4,5,6} for 2-symbol*6 sub-slot configuration.</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11-3, 49-6</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FS</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number of PUCCHs for CSI reporting per slot is not impacted compared with Rel-15 by introducing the new HARQ-ACK CBs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6 is applied to the two sub-slot HARQ-ACK codebooks, respectively.</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6 is reported for 2-symbol*7 sub-slot configuration. For 7-symbol*2 sub-slot configuration, the value of component 6 is {2} for both NCP and ECP cases.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6, same values as for FG11-4a are reported (if the UE also report FG11-4a)</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49-6b</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DL priority indication in DCI with mixed DCI formats including DCI format 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Support of priority indicator field configured in DCI formats 1_3 and (1_1 or 1_2) in a BWP when configured to monitor both DCI formats 1_3 and (1_1 or 1_2) in the BWP</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49-6</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UE</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49-7</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UL intra-UE multiplexing/prioritization of overlapping channel/signals with two priority levels in physical layer for DCI format 1_3/0_3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Support intra-UE multiplexing/prioritization of overlapping PUCCH/PUCCH and PUCCH/PUSCH with two priority levels in physical layer (PHY) for DCI format 1_3/0_3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1)</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Configuration of PHY priority level for CG PUSCH and SR, and dynamic indication of priority level for dynamic PUSCH with a single DCI format 0_3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Multiplexing/prioritization between UL channels/signals with the same PHY priority level</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Prioritization between UL channels/signals with different PHY priority levels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Additional number of symbols (d1) needed beyond the PUSCH preparation time for cancelling a low priority UL transmission.</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5)</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Additional number of symbols (d2) of the preparation time needed for the high priority UL transmission that cancels a low priority UL transmission</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At least one of {49-1, 49-1b, 49-2, 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FS</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 set for component 4: {0, 1, 2}</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 set for component 5: {0, 1, 2}</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4 and 5, same values as for FG12-1 are reported (if the UE also report FG12-1)</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49-7a</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UL priority indication in DCI with mixed DCI formats including DCI format 0_3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Support of priority indicator field configured in DCI formats 0_3 and (0_1 or 0_2) in a BWP when configured to monitor both DCI formats 0_3 and (0_1 or 0_2) in the BWP</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9-7</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UE</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49-8</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Triggered HARQ-ACK codebook re-transmission for DCI format 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1. Support HARQ-ACK re-transmission from an earlier PUCCH slot based on the triggering information in DCI format 1_3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 Support the related PHY priority handling in terms of HARQ-ACK codebook selection and the applicable PUCCH configuration (for a UE supporting two HARQ-ACK codebooks / PUCCH config in 49-6)</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 Supported minimum value M for the HARQ re-tx offset</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 Supported maximum value N for the HARQ re-tx offset</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band</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for component 3 is: M = {-7, -5, …, 1}</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for component 4 is: N= {4, 6, …, 24}</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 minimum requirement for Component 3 and Component 4 of this FG is valid for HARQ CBs consisted of HARQ Processes with a single HARQ bit per HARQ Process ID</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and 4, same values as for FG25-7 are reported (if the UE also report FG25-7)</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49-9</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SCell dormancy indication within active time in DCI format 0_3/1_3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Support for SCell dormancy indication sent within the active time on PCell with DCI format 0_3/1_3</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6-5, at least one of {49-1, 49-1b, 49-2,49-2b}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One dormant BWP and one non-dormant BWP is supported per carrier</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More than one non-dormant BWP per carrier is supported only if UE feature 6-3/6-4 is also supported</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One dormant BWP and one non-dormant BWP are UE specific BWPs even for UEs not supporting 6-2 or 6-3</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49-10</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Dynamic indication of applicable minimum scheduling restriction by DCI format 0_3/1_3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1)</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Dynamic indication of applicable minimum scheduling restriction by DCI format 0_3 and 1_3</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2)</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minimumSchedulingOffset K0 configuration for PDSCH and aperiodic CSI-RS triggering offset</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3)</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minimumSchedulingOffset K2 configuration for PUSCH</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4)</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 of extended value range for aperiodic CSI-RS triggering offset</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 49-2,49-2b}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UE</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9-11</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PHY priority indication for one-shot HARQ-ACK feedback triggered by DCI format 1_3</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Support transmission of type 3 HARQ-ACK codebook using the first or second PUCCH configuration based on PHY priority indication in the triggering DCI format 1_3</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49-5a and 49-6</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UE</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9-12</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Unified TCI with joint DL/UL TCI update by DCI format 1_3 for intra-cell beam management with more than one MAC-CE activated joint TCI state per CC</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 xml:space="preserve">1: TCI state indication for update and activation  </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 The minimum beam application time in Y symbols per SCS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 The maximum number of MAC-CE activated joint TCI states per CC in a band</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23-1-1, 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band</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2 candidate values: {1, 2, 4, 7, 14, 28, 42, 56, 70, 84, 98, 112, 224, 336}, where {84, 98, 112, 224, 336} only can be indicated in FR2</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3 candidate values: {2, 3, 4, 5, 6, 7, 8}</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 maximum number of MAC-CE activated joint TCI states across all CC(s) in a band for more than one MAC-CE activated joint TCI state is signaled in 23-1-1, component 5</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activated joint TCI state(s) include all PDCCH/PDSCH receptions and PUSCH/PUCCH</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For component 2 and 3, same values as for FG23-1-1b are reported (if the UE also report FG23-1-1b)</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9-12a</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Unified TCI with separate DL/UL TCI update by DCI format 1_3 for intra-cell beam management with more than one MAC-CE activated separate TCI state per CC</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 xml:space="preserve">1. TCI state indication for update and activation </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 The minimum beam application time in Y symbols per SCS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 The maximum number of MAC-CE activated DL TCI states per CC in a band</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 The maximum number of MAC-CE activated UL TCI states per CC in a band</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23-10-1, 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band</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a UE supports FG 23-10-1m, the signalled component values also apply to inter-cell beam management</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of component 2: {n1, n2, n4, n7, n14, n28, n42, n56, n70, n84, n98, n112, n224, n336}</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of component 3: {2, …, 8}</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of component 4: {2, …, 8}</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49-X</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S</w:t>
            </w:r>
            <w:r>
              <w:rPr>
                <w:rFonts w:eastAsia="ＭＳ 明朝" w:asciiTheme="majorHAnsi" w:hAnsiTheme="majorHAnsi" w:cstheme="majorHAnsi"/>
                <w:szCs w:val="18"/>
                <w:lang w:eastAsia="ja-JP"/>
              </w:rPr>
              <w:t>upported switching option for each band pair in the band combination for UL Tx switching across more than 2 bands</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asciiTheme="majorHAnsi" w:hAnsiTheme="majorHAnsi" w:cstheme="majorHAnsi"/>
                <w:szCs w:val="18"/>
              </w:rPr>
              <w:t>I</w:t>
            </w:r>
            <w:r>
              <w:rPr>
                <w:rFonts w:asciiTheme="majorHAnsi" w:hAnsiTheme="majorHAnsi" w:cstheme="majorHAnsi"/>
                <w:szCs w:val="18"/>
              </w:rPr>
              <w:t>ndicate supported switching option</w:t>
            </w:r>
            <w:r>
              <w:rPr>
                <w:rFonts w:eastAsia="ＭＳ 明朝" w:asciiTheme="majorHAnsi" w:hAnsiTheme="majorHAnsi" w:cstheme="majorHAnsi"/>
                <w:szCs w:val="18"/>
                <w:lang w:eastAsia="ja-JP"/>
              </w:rPr>
              <w:t xml:space="preserve"> for each band pair in the band combination for UL Tx switching across more than 2 band</w:t>
            </w:r>
            <w:r>
              <w:rPr>
                <w:rFonts w:hint="eastAsia" w:eastAsia="ＭＳ 明朝" w:asciiTheme="majorHAnsi" w:hAnsiTheme="majorHAnsi" w:cstheme="majorHAnsi"/>
                <w:szCs w:val="18"/>
                <w:lang w:eastAsia="ja-JP"/>
              </w:rPr>
              <w:t>s</w:t>
            </w:r>
          </w:p>
          <w:p>
            <w:pPr>
              <w:rPr>
                <w:rFonts w:eastAsia="ＭＳ 明朝" w:asciiTheme="majorHAnsi" w:hAnsiTheme="majorHAnsi" w:cstheme="majorHAnsi"/>
                <w:color w:val="000000" w:themeColor="text1"/>
                <w:sz w:val="18"/>
                <w:szCs w:val="10"/>
                <w14:textFill>
                  <w14:solidFill>
                    <w14:schemeClr w14:val="tx1"/>
                  </w14:solidFill>
                </w14:textFill>
              </w:rPr>
            </w:pPr>
            <w:r>
              <w:rPr>
                <w:rFonts w:hint="eastAsia" w:eastAsia="ＭＳ 明朝" w:asciiTheme="majorHAnsi" w:hAnsiTheme="majorHAnsi" w:cstheme="majorHAnsi"/>
                <w:sz w:val="18"/>
                <w:szCs w:val="18"/>
              </w:rPr>
              <w:t>C</w:t>
            </w:r>
            <w:r>
              <w:rPr>
                <w:rFonts w:eastAsia="ＭＳ 明朝" w:asciiTheme="majorHAnsi" w:hAnsiTheme="majorHAnsi" w:cstheme="majorHAnsi"/>
                <w:sz w:val="18"/>
                <w:szCs w:val="18"/>
              </w:rPr>
              <w:t>andidate value set is {switchedUL, dualUL, both}</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szCs w:val="18"/>
                <w:lang w:eastAsia="ja-JP"/>
              </w:rPr>
              <w:t>UL Tx switching across more than 2 bands cannot be supported for the band pair in the band combination</w:t>
            </w: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band pair per band combination, details up to RAN2</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eastAsia="ＭＳ 明朝" w:asciiTheme="majorHAnsi" w:hAnsiTheme="majorHAnsi" w:cstheme="majorHAnsi"/>
                <w:szCs w:val="18"/>
                <w:lang w:val="en-US" w:eastAsia="ja-JP"/>
              </w:rPr>
              <w:t>This FG is based on the following agreements. RAN1 will not discuss the detail of this FG and the detail is up to RAN2</w:t>
            </w:r>
          </w:p>
          <w:p>
            <w:pPr>
              <w:pStyle w:val="114"/>
              <w:rPr>
                <w:rFonts w:eastAsia="ＭＳ 明朝" w:asciiTheme="majorHAnsi" w:hAnsiTheme="majorHAnsi" w:cstheme="majorHAnsi"/>
                <w:szCs w:val="18"/>
                <w:lang w:val="en-US" w:eastAsia="ja-JP"/>
              </w:rPr>
            </w:pPr>
          </w:p>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A</w:t>
            </w:r>
            <w:r>
              <w:rPr>
                <w:rFonts w:eastAsia="ＭＳ 明朝" w:asciiTheme="majorHAnsi" w:hAnsiTheme="majorHAnsi" w:cstheme="majorHAnsi"/>
                <w:szCs w:val="18"/>
                <w:lang w:eastAsia="ja-JP"/>
              </w:rPr>
              <w:t>greement</w:t>
            </w:r>
          </w:p>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Ask RAN2 to consider following alternatives for UE capability reporting about the supported UL Tx switching options</w:t>
            </w:r>
          </w:p>
          <w:p>
            <w:pPr>
              <w:pStyle w:val="114"/>
              <w:numPr>
                <w:ilvl w:val="0"/>
                <w:numId w:val="30"/>
              </w:numPr>
              <w:spacing w:after="0" w:line="240" w:lineRule="auto"/>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Alt.1: report {switchedUL, dualUL, both} for each band pair in the band combination</w:t>
            </w:r>
          </w:p>
          <w:p>
            <w:pPr>
              <w:pStyle w:val="114"/>
              <w:rPr>
                <w:rFonts w:eastAsia="ＭＳ 明朝" w:asciiTheme="majorHAnsi" w:hAnsiTheme="majorHAnsi" w:cstheme="majorHAnsi"/>
                <w:szCs w:val="18"/>
                <w:lang w:eastAsia="ja-JP"/>
              </w:rPr>
            </w:pPr>
          </w:p>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Agreement in RAN2#121</w:t>
            </w:r>
          </w:p>
          <w:p>
            <w:pPr>
              <w:pStyle w:val="114"/>
              <w:rPr>
                <w:rFonts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szCs w:val="18"/>
                <w:lang w:eastAsia="ja-JP"/>
              </w:rPr>
              <w:t>For UE capability of switching options, introduce a per-band-pair UE capability to report supported switching options for Rel-18 UL Tx switching.</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O</w:t>
            </w:r>
            <w:r>
              <w:rPr>
                <w:rFonts w:eastAsia="ＭＳ 明朝" w:asciiTheme="majorHAnsi" w:hAnsiTheme="majorHAnsi" w:cstheme="majorHAnsi"/>
                <w:szCs w:val="18"/>
                <w:lang w:eastAsia="ja-JP"/>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68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49-Y</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M</w:t>
            </w:r>
            <w:r>
              <w:rPr>
                <w:rFonts w:eastAsia="ＭＳ 明朝" w:asciiTheme="majorHAnsi" w:hAnsiTheme="majorHAnsi" w:cstheme="majorHAnsi"/>
                <w:szCs w:val="18"/>
                <w:lang w:eastAsia="ja-JP"/>
              </w:rPr>
              <w:t>inimum separation time for two uplink switching on more than 2 bands within any two consecutive reference slots</w:t>
            </w:r>
          </w:p>
        </w:tc>
        <w:tc>
          <w:tcPr>
            <w:tcW w:w="77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pPr>
              <w:pStyle w:val="114"/>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pPr>
              <w:pStyle w:val="114"/>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pPr>
              <w:rPr>
                <w:rFonts w:eastAsia="ＭＳ 明朝" w:asciiTheme="majorHAnsi" w:hAnsiTheme="majorHAnsi" w:cstheme="majorHAnsi"/>
                <w:color w:val="000000" w:themeColor="text1"/>
                <w:sz w:val="18"/>
                <w:szCs w:val="10"/>
                <w14:textFill>
                  <w14:solidFill>
                    <w14:schemeClr w14:val="tx1"/>
                  </w14:solidFill>
                </w14:textFill>
              </w:rPr>
            </w:pPr>
            <w:r>
              <w:rPr>
                <w:rFonts w:asciiTheme="majorHAnsi" w:hAnsiTheme="majorHAnsi" w:cstheme="majorHAnsi"/>
                <w:sz w:val="18"/>
                <w:szCs w:val="18"/>
              </w:rPr>
              <w:t>Note: If the UE reports 0us, the minimum separation time is not applied</w:t>
            </w:r>
          </w:p>
        </w:tc>
        <w:tc>
          <w:tcPr>
            <w:tcW w:w="73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9-X</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O</w:t>
            </w:r>
            <w:r>
              <w:rPr>
                <w:rFonts w:eastAsia="ＭＳ 明朝" w:asciiTheme="majorHAnsi" w:hAnsiTheme="majorHAnsi" w:cstheme="majorHAnsi"/>
                <w:szCs w:val="18"/>
                <w:lang w:eastAsia="ja-JP"/>
              </w:rPr>
              <w:t>ptional with capability signaling</w:t>
            </w:r>
          </w:p>
        </w:tc>
      </w:tr>
    </w:tbl>
    <w:p>
      <w:pPr>
        <w:spacing w:after="120" w:afterLines="50"/>
        <w:jc w:val="both"/>
        <w:rPr>
          <w:rFonts w:eastAsia="ＭＳ 明朝"/>
          <w:sz w:val="22"/>
        </w:rPr>
      </w:pPr>
    </w:p>
    <w:sectPr>
      <w:pgSz w:w="23811" w:h="16838" w:orient="landscape"/>
      <w:pgMar w:top="1134" w:right="851" w:bottom="1134" w:left="567"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Gubbi"/>
    <w:panose1 w:val="02030600000101010101"/>
    <w:charset w:val="81"/>
    <w:family w:val="roman"/>
    <w:pitch w:val="default"/>
    <w:sig w:usb0="00000000" w:usb1="00000000" w:usb2="00000030" w:usb3="00000000" w:csb0="0008009F" w:csb1="00000000"/>
  </w:font>
  <w:font w:name="Century">
    <w:altName w:val="Gubbi"/>
    <w:panose1 w:val="00000000000000000000"/>
    <w:charset w:val="00"/>
    <w:family w:val="auto"/>
    <w:pitch w:val="default"/>
    <w:sig w:usb0="00000000" w:usb1="00000000" w:usb2="00000000" w:usb3="00000000" w:csb0="00000000" w:csb1="00000000"/>
  </w:font>
  <w:font w:name="ＭＳ 明朝">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ＭＳ ゴシック">
    <w:altName w:val="Gubbi"/>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ＭＳ 明朝">
    <w:altName w:val="Gubbi"/>
    <w:panose1 w:val="02020609040205080304"/>
    <w:charset w:val="80"/>
    <w:family w:val="roman"/>
    <w:pitch w:val="default"/>
    <w:sig w:usb0="00000000" w:usb1="00000000" w:usb2="08000012" w:usb3="00000000" w:csb0="0002009F" w:csb1="00000000"/>
  </w:font>
  <w:font w:name="MS PGothic">
    <w:altName w:val="Gubbi"/>
    <w:panose1 w:val="020B06000702050802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Mincho">
    <w:altName w:val="Gubbi"/>
    <w:panose1 w:val="02020609040305080305"/>
    <w:charset w:val="80"/>
    <w:family w:val="roman"/>
    <w:pitch w:val="default"/>
    <w:sig w:usb0="00000000" w:usb1="00000000" w:usb2="00000010" w:usb3="00000000" w:csb0="00020000" w:csb1="00000000"/>
  </w:font>
  <w:font w:name="ZapfDingbats">
    <w:altName w:val="Wingdings"/>
    <w:panose1 w:val="00000000000000000000"/>
    <w:charset w:val="00"/>
    <w:family w:val="roman"/>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Malgun Gothic">
    <w:altName w:val="Gubbi"/>
    <w:panose1 w:val="020B0503020000020004"/>
    <w:charset w:val="81"/>
    <w:family w:val="swiss"/>
    <w:pitch w:val="default"/>
    <w:sig w:usb0="00000000" w:usb1="00000000" w:usb2="00000012" w:usb3="00000000" w:csb0="00080001" w:csb1="00000000"/>
  </w:font>
  <w:font w:name="Gulim">
    <w:altName w:val="Gubbi"/>
    <w:panose1 w:val="020B0600000101010101"/>
    <w:charset w:val="81"/>
    <w:family w:val="swiss"/>
    <w:pitch w:val="default"/>
    <w:sig w:usb0="00000000" w:usb1="00000000" w:usb2="00000030" w:usb3="00000000" w:csb0="0008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2"/>
      </w:rPr>
    </w:pPr>
    <w:r>
      <w:rPr>
        <w:rStyle w:val="42"/>
        <w:rFonts w:eastAsia="ＭＳ ゴシック"/>
      </w:rPr>
      <w:t xml:space="preserve">- </w:t>
    </w:r>
    <w:r>
      <w:rPr>
        <w:rStyle w:val="42"/>
        <w:rFonts w:eastAsia="ＭＳ ゴシック"/>
      </w:rPr>
      <w:fldChar w:fldCharType="begin"/>
    </w:r>
    <w:r>
      <w:rPr>
        <w:rStyle w:val="42"/>
        <w:rFonts w:eastAsia="ＭＳ ゴシック"/>
      </w:rPr>
      <w:instrText xml:space="preserve"> PAGE </w:instrText>
    </w:r>
    <w:r>
      <w:rPr>
        <w:rStyle w:val="42"/>
        <w:rFonts w:eastAsia="ＭＳ ゴシック"/>
      </w:rPr>
      <w:fldChar w:fldCharType="separate"/>
    </w:r>
    <w:r>
      <w:rPr>
        <w:rStyle w:val="42"/>
        <w:rFonts w:eastAsia="ＭＳ ゴシック"/>
      </w:rPr>
      <w:t>95</w:t>
    </w:r>
    <w:r>
      <w:rPr>
        <w:rStyle w:val="42"/>
        <w:rFonts w:eastAsia="ＭＳ ゴシック"/>
      </w:rPr>
      <w:fldChar w:fldCharType="end"/>
    </w:r>
    <w:r>
      <w:rPr>
        <w:rStyle w:val="42"/>
        <w:rFonts w:eastAsia="ＭＳ ゴシック"/>
      </w:rPr>
      <w:t>/</w:t>
    </w:r>
    <w:r>
      <w:rPr>
        <w:rStyle w:val="42"/>
        <w:rFonts w:eastAsia="ＭＳ ゴシック"/>
      </w:rPr>
      <w:fldChar w:fldCharType="begin"/>
    </w:r>
    <w:r>
      <w:rPr>
        <w:rStyle w:val="42"/>
        <w:rFonts w:eastAsia="ＭＳ ゴシック"/>
      </w:rPr>
      <w:instrText xml:space="preserve"> NUMPAGES </w:instrText>
    </w:r>
    <w:r>
      <w:rPr>
        <w:rStyle w:val="42"/>
        <w:rFonts w:eastAsia="ＭＳ ゴシック"/>
      </w:rPr>
      <w:fldChar w:fldCharType="separate"/>
    </w:r>
    <w:r>
      <w:rPr>
        <w:rStyle w:val="42"/>
        <w:rFonts w:eastAsia="ＭＳ ゴシック"/>
      </w:rPr>
      <w:t>103</w:t>
    </w:r>
    <w:r>
      <w:rPr>
        <w:rStyle w:val="42"/>
        <w:rFonts w:eastAsia="ＭＳ ゴシック"/>
      </w:rPr>
      <w:fldChar w:fldCharType="end"/>
    </w:r>
    <w:r>
      <w:rPr>
        <w:rStyle w:val="42"/>
        <w:rFonts w:eastAsia="ＭＳ ゴシック"/>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81A19"/>
    <w:multiLevelType w:val="multilevel"/>
    <w:tmpl w:val="0A481A1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16B73BA"/>
    <w:multiLevelType w:val="multilevel"/>
    <w:tmpl w:val="116B73BA"/>
    <w:lvl w:ilvl="0" w:tentative="0">
      <w:start w:val="1"/>
      <w:numFmt w:val="decimal"/>
      <w:pStyle w:val="3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B6F1F17"/>
    <w:multiLevelType w:val="multilevel"/>
    <w:tmpl w:val="1B6F1F17"/>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D21819"/>
    <w:multiLevelType w:val="multilevel"/>
    <w:tmpl w:val="22D21819"/>
    <w:lvl w:ilvl="0" w:tentative="0">
      <w:start w:val="1"/>
      <w:numFmt w:val="bullet"/>
      <w:pStyle w:val="13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46E4813"/>
    <w:multiLevelType w:val="multilevel"/>
    <w:tmpl w:val="246E48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AD50B3"/>
    <w:multiLevelType w:val="multilevel"/>
    <w:tmpl w:val="2EAD50B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541149"/>
    <w:multiLevelType w:val="multilevel"/>
    <w:tmpl w:val="31541149"/>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3420764B"/>
    <w:multiLevelType w:val="multilevel"/>
    <w:tmpl w:val="3420764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D5045A"/>
    <w:multiLevelType w:val="singleLevel"/>
    <w:tmpl w:val="34D5045A"/>
    <w:lvl w:ilvl="0" w:tentative="0">
      <w:start w:val="1"/>
      <w:numFmt w:val="bullet"/>
      <w:pStyle w:val="64"/>
      <w:lvlText w:val=""/>
      <w:lvlJc w:val="left"/>
      <w:pPr>
        <w:tabs>
          <w:tab w:val="left" w:pos="360"/>
        </w:tabs>
        <w:ind w:left="340" w:hanging="340"/>
      </w:pPr>
      <w:rPr>
        <w:rFonts w:hint="default" w:ascii="Symbol" w:hAnsi="Symbol" w:eastAsia="Times New Roman"/>
        <w:color w:val="auto"/>
      </w:rPr>
    </w:lvl>
  </w:abstractNum>
  <w:abstractNum w:abstractNumId="9">
    <w:nsid w:val="36673F3C"/>
    <w:multiLevelType w:val="multilevel"/>
    <w:tmpl w:val="36673F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A46647"/>
    <w:multiLevelType w:val="multilevel"/>
    <w:tmpl w:val="3AA46647"/>
    <w:lvl w:ilvl="0" w:tentative="0">
      <w:start w:val="2"/>
      <w:numFmt w:val="decimal"/>
      <w:pStyle w:val="13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0DE34BC"/>
    <w:multiLevelType w:val="singleLevel"/>
    <w:tmpl w:val="40DE34BC"/>
    <w:lvl w:ilvl="0" w:tentative="0">
      <w:start w:val="1"/>
      <w:numFmt w:val="decimal"/>
      <w:pStyle w:val="147"/>
      <w:lvlText w:val="%1."/>
      <w:lvlJc w:val="left"/>
      <w:pPr>
        <w:tabs>
          <w:tab w:val="left" w:pos="360"/>
        </w:tabs>
        <w:ind w:left="360" w:hanging="360"/>
      </w:pPr>
    </w:lvl>
  </w:abstractNum>
  <w:abstractNum w:abstractNumId="12">
    <w:nsid w:val="43210DE1"/>
    <w:multiLevelType w:val="multilevel"/>
    <w:tmpl w:val="43210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4DB417B"/>
    <w:multiLevelType w:val="multilevel"/>
    <w:tmpl w:val="44DB417B"/>
    <w:lvl w:ilvl="0" w:tentative="0">
      <w:start w:val="1"/>
      <w:numFmt w:val="decimal"/>
      <w:pStyle w:val="161"/>
      <w:lvlText w:val="%1."/>
      <w:lvlJc w:val="left"/>
      <w:pPr>
        <w:tabs>
          <w:tab w:val="left" w:pos="840"/>
        </w:tabs>
        <w:ind w:left="1560" w:hanging="720"/>
      </w:pPr>
      <w:rPr>
        <w:rFonts w:hint="default" w:ascii="Times New Roman" w:hAnsi="Times New Roman" w:eastAsia="SimSu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554756F"/>
    <w:multiLevelType w:val="multilevel"/>
    <w:tmpl w:val="455475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101505E"/>
    <w:multiLevelType w:val="multilevel"/>
    <w:tmpl w:val="5101505E"/>
    <w:lvl w:ilvl="0" w:tentative="0">
      <w:start w:val="1"/>
      <w:numFmt w:val="decimal"/>
      <w:pStyle w:val="13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5E202AC8"/>
    <w:multiLevelType w:val="multilevel"/>
    <w:tmpl w:val="5E202AC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29373B4"/>
    <w:multiLevelType w:val="multilevel"/>
    <w:tmpl w:val="629373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4AE27F1"/>
    <w:multiLevelType w:val="singleLevel"/>
    <w:tmpl w:val="64AE27F1"/>
    <w:lvl w:ilvl="0" w:tentative="0">
      <w:start w:val="1"/>
      <w:numFmt w:val="bullet"/>
      <w:pStyle w:val="69"/>
      <w:lvlText w:val=""/>
      <w:lvlJc w:val="left"/>
      <w:pPr>
        <w:tabs>
          <w:tab w:val="left" w:pos="992"/>
        </w:tabs>
        <w:ind w:left="992" w:hanging="425"/>
      </w:pPr>
      <w:rPr>
        <w:rFonts w:hint="default" w:ascii="Symbol" w:hAnsi="Symbol" w:eastAsia="Times New Roman"/>
      </w:rPr>
    </w:lvl>
  </w:abstractNum>
  <w:abstractNum w:abstractNumId="21">
    <w:nsid w:val="68111AB5"/>
    <w:multiLevelType w:val="multilevel"/>
    <w:tmpl w:val="68111A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6AEE69FC"/>
    <w:multiLevelType w:val="multilevel"/>
    <w:tmpl w:val="6AEE69F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
    <w:nsid w:val="6B1543C6"/>
    <w:multiLevelType w:val="multilevel"/>
    <w:tmpl w:val="6B1543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2"/>
      <w:numFmt w:val="bullet"/>
      <w:lvlText w:val="-"/>
      <w:lvlJc w:val="left"/>
      <w:pPr>
        <w:ind w:left="840" w:hanging="420"/>
      </w:pPr>
      <w:rPr>
        <w:rFonts w:hint="default" w:ascii="Times New Roman" w:hAnsi="Times New Roman" w:eastAsia="ＭＳ 明朝"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0146DC0"/>
    <w:multiLevelType w:val="multilevel"/>
    <w:tmpl w:val="70146DC0"/>
    <w:lvl w:ilvl="0" w:tentative="0">
      <w:start w:val="1"/>
      <w:numFmt w:val="bullet"/>
      <w:pStyle w:val="17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3B41015"/>
    <w:multiLevelType w:val="multilevel"/>
    <w:tmpl w:val="73B4101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7">
    <w:nsid w:val="75F62DA0"/>
    <w:multiLevelType w:val="multilevel"/>
    <w:tmpl w:val="75F62DA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8">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20"/>
  </w:num>
  <w:num w:numId="4">
    <w:abstractNumId w:val="28"/>
  </w:num>
  <w:num w:numId="5">
    <w:abstractNumId w:val="3"/>
  </w:num>
  <w:num w:numId="6">
    <w:abstractNumId w:val="10"/>
  </w:num>
  <w:num w:numId="7">
    <w:abstractNumId w:val="16"/>
  </w:num>
  <w:num w:numId="8">
    <w:abstractNumId w:val="11"/>
  </w:num>
  <w:num w:numId="9">
    <w:abstractNumId w:val="6"/>
  </w:num>
  <w:num w:numId="10">
    <w:abstractNumId w:val="13"/>
  </w:num>
  <w:num w:numId="11">
    <w:abstractNumId w:val="25"/>
  </w:num>
  <w:num w:numId="12">
    <w:abstractNumId w:val="17"/>
  </w:num>
  <w:num w:numId="13">
    <w:abstractNumId w:val="15"/>
  </w:num>
  <w:num w:numId="14">
    <w:abstractNumId w:val="12"/>
  </w:num>
  <w:num w:numId="15">
    <w:abstractNumId w:val="7"/>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0"/>
  </w:num>
  <w:num w:numId="22">
    <w:abstractNumId w:val="27"/>
  </w:num>
  <w:num w:numId="23">
    <w:abstractNumId w:val="4"/>
  </w:num>
  <w:num w:numId="24">
    <w:abstractNumId w:val="14"/>
  </w:num>
  <w:num w:numId="25">
    <w:abstractNumId w:val="23"/>
  </w:num>
  <w:num w:numId="26">
    <w:abstractNumId w:val="22"/>
  </w:num>
  <w:num w:numId="27">
    <w:abstractNumId w:val="19"/>
  </w:num>
  <w:num w:numId="28">
    <w:abstractNumId w:val="9"/>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8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199"/>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63F"/>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4FE1"/>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25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CC1"/>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1A7"/>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38"/>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400"/>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CF7C7A"/>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85"/>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7C9395D"/>
    <w:rsid w:val="3AB15D6E"/>
    <w:rsid w:val="3BCD5B0E"/>
    <w:rsid w:val="3CAD0173"/>
    <w:rsid w:val="3F2E17FD"/>
    <w:rsid w:val="41E751C5"/>
    <w:rsid w:val="47400430"/>
    <w:rsid w:val="475144AF"/>
    <w:rsid w:val="4B000506"/>
    <w:rsid w:val="4B5A58D2"/>
    <w:rsid w:val="511B402B"/>
    <w:rsid w:val="557948E8"/>
    <w:rsid w:val="5AC47D24"/>
    <w:rsid w:val="5BAED0C8"/>
    <w:rsid w:val="5E12378B"/>
    <w:rsid w:val="5EFE2A23"/>
    <w:rsid w:val="66DC09C7"/>
    <w:rsid w:val="679A3B08"/>
    <w:rsid w:val="6FFED76F"/>
    <w:rsid w:val="7372333A"/>
    <w:rsid w:val="7747762D"/>
    <w:rsid w:val="77F9332A"/>
    <w:rsid w:val="7BDB6EFC"/>
    <w:rsid w:val="7C976908"/>
    <w:rsid w:val="9EFE1EA3"/>
    <w:rsid w:val="BF456529"/>
    <w:rsid w:val="F3B79D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ＭＳ ゴシック" w:cs="Times New Roman"/>
      <w:sz w:val="24"/>
      <w:lang w:val="en-GB" w:eastAsia="ja-JP" w:bidi="ar-SA"/>
    </w:rPr>
  </w:style>
  <w:style w:type="paragraph" w:styleId="2">
    <w:name w:val="heading 1"/>
    <w:basedOn w:val="1"/>
    <w:next w:val="1"/>
    <w:link w:val="145"/>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7"/>
    <w:qFormat/>
    <w:uiPriority w:val="0"/>
    <w:pPr>
      <w:keepNext/>
      <w:spacing w:line="480" w:lineRule="auto"/>
      <w:outlineLvl w:val="1"/>
    </w:pPr>
    <w:rPr>
      <w:rFonts w:ascii="Arial" w:hAnsi="Arial"/>
    </w:rPr>
  </w:style>
  <w:style w:type="paragraph" w:styleId="4">
    <w:name w:val="heading 3"/>
    <w:basedOn w:val="1"/>
    <w:next w:val="1"/>
    <w:link w:val="179"/>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2"/>
    <w:qFormat/>
    <w:uiPriority w:val="0"/>
    <w:rPr>
      <w:rFonts w:ascii="Arial" w:hAnsi="Arial"/>
      <w:sz w:val="18"/>
    </w:rPr>
  </w:style>
  <w:style w:type="paragraph" w:styleId="14">
    <w:name w:val="Body Text"/>
    <w:basedOn w:val="1"/>
    <w:link w:val="153"/>
    <w:qFormat/>
    <w:uiPriority w:val="0"/>
    <w:pPr>
      <w:spacing w:after="120"/>
    </w:pPr>
  </w:style>
  <w:style w:type="paragraph" w:styleId="15">
    <w:name w:val="Body Text 3"/>
    <w:basedOn w:val="1"/>
    <w:qFormat/>
    <w:uiPriority w:val="0"/>
    <w:pPr>
      <w:jc w:val="both"/>
    </w:pPr>
  </w:style>
  <w:style w:type="paragraph" w:styleId="16">
    <w:name w:val="Body Text Indent"/>
    <w:basedOn w:val="1"/>
    <w:qFormat/>
    <w:uiPriority w:val="0"/>
    <w:pPr>
      <w:ind w:left="360"/>
    </w:pPr>
  </w:style>
  <w:style w:type="paragraph" w:styleId="17">
    <w:name w:val="Body Text Indent 2"/>
    <w:basedOn w:val="1"/>
    <w:qFormat/>
    <w:uiPriority w:val="0"/>
    <w:pPr>
      <w:widowControl w:val="0"/>
      <w:autoSpaceDE w:val="0"/>
      <w:autoSpaceDN w:val="0"/>
      <w:adjustRightInd w:val="0"/>
      <w:ind w:left="1656"/>
      <w:jc w:val="both"/>
      <w:textAlignment w:val="baseline"/>
    </w:pPr>
    <w:rPr>
      <w:kern w:val="2"/>
    </w:rPr>
  </w:style>
  <w:style w:type="paragraph" w:styleId="18">
    <w:name w:val="caption"/>
    <w:basedOn w:val="1"/>
    <w:next w:val="1"/>
    <w:link w:val="163"/>
    <w:qFormat/>
    <w:uiPriority w:val="0"/>
    <w:pPr>
      <w:spacing w:before="120" w:after="120"/>
    </w:pPr>
    <w:rPr>
      <w:b/>
    </w:rPr>
  </w:style>
  <w:style w:type="paragraph" w:styleId="19">
    <w:name w:val="Closing"/>
    <w:basedOn w:val="1"/>
    <w:link w:val="101"/>
    <w:qFormat/>
    <w:uiPriority w:val="0"/>
    <w:pPr>
      <w:jc w:val="right"/>
    </w:pPr>
    <w:rPr>
      <w:b/>
      <w:color w:val="FF0000"/>
      <w:szCs w:val="21"/>
      <w:lang w:val="en-US"/>
    </w:rPr>
  </w:style>
  <w:style w:type="character" w:styleId="20">
    <w:name w:val="annotation reference"/>
    <w:qFormat/>
    <w:uiPriority w:val="99"/>
    <w:rPr>
      <w:rFonts w:eastAsia="Times New Roman"/>
      <w:kern w:val="2"/>
      <w:sz w:val="16"/>
      <w:lang w:val="en-GB"/>
    </w:rPr>
  </w:style>
  <w:style w:type="paragraph" w:styleId="21">
    <w:name w:val="annotation text"/>
    <w:basedOn w:val="1"/>
    <w:link w:val="75"/>
    <w:qFormat/>
    <w:uiPriority w:val="99"/>
    <w:rPr>
      <w:sz w:val="20"/>
    </w:rPr>
  </w:style>
  <w:style w:type="paragraph" w:styleId="22">
    <w:name w:val="annotation subject"/>
    <w:basedOn w:val="21"/>
    <w:next w:val="21"/>
    <w:link w:val="79"/>
    <w:qFormat/>
    <w:uiPriority w:val="0"/>
    <w:rPr>
      <w:b/>
      <w:sz w:val="24"/>
    </w:rPr>
  </w:style>
  <w:style w:type="paragraph" w:styleId="23">
    <w:name w:val="Document Map"/>
    <w:basedOn w:val="1"/>
    <w:semiHidden/>
    <w:qFormat/>
    <w:uiPriority w:val="0"/>
    <w:pPr>
      <w:shd w:val="clear" w:color="auto" w:fill="000080"/>
    </w:pPr>
    <w:rPr>
      <w:rFonts w:ascii="Tahoma" w:hAnsi="Tahoma"/>
    </w:rPr>
  </w:style>
  <w:style w:type="character" w:styleId="24">
    <w:name w:val="Emphasis"/>
    <w:qFormat/>
    <w:uiPriority w:val="20"/>
    <w:rPr>
      <w:i/>
      <w:iCs/>
    </w:rPr>
  </w:style>
  <w:style w:type="character" w:styleId="25">
    <w:name w:val="FollowedHyperlink"/>
    <w:qFormat/>
    <w:uiPriority w:val="0"/>
    <w:rPr>
      <w:rFonts w:eastAsia="Times New Roman"/>
      <w:color w:val="800080"/>
      <w:kern w:val="2"/>
      <w:sz w:val="21"/>
      <w:u w:val="single"/>
      <w:lang w:val="en-GB"/>
    </w:rPr>
  </w:style>
  <w:style w:type="paragraph" w:styleId="26">
    <w:name w:val="footer"/>
    <w:basedOn w:val="1"/>
    <w:link w:val="160"/>
    <w:qFormat/>
    <w:uiPriority w:val="0"/>
    <w:pPr>
      <w:tabs>
        <w:tab w:val="center" w:pos="4536"/>
        <w:tab w:val="right" w:pos="9072"/>
      </w:tabs>
      <w:spacing w:before="120"/>
    </w:pPr>
    <w:rPr>
      <w:lang w:val="de-DE"/>
    </w:rPr>
  </w:style>
  <w:style w:type="character" w:styleId="27">
    <w:name w:val="footnote reference"/>
    <w:semiHidden/>
    <w:qFormat/>
    <w:uiPriority w:val="0"/>
    <w:rPr>
      <w:rFonts w:eastAsia="Times New Roman"/>
      <w:b/>
      <w:kern w:val="2"/>
      <w:position w:val="6"/>
      <w:sz w:val="16"/>
      <w:lang w:val="en-GB"/>
    </w:rPr>
  </w:style>
  <w:style w:type="paragraph" w:styleId="28">
    <w:name w:val="footnote text"/>
    <w:basedOn w:val="1"/>
    <w:semiHidden/>
    <w:qFormat/>
    <w:uiPriority w:val="0"/>
    <w:pPr>
      <w:keepLines/>
      <w:ind w:left="454" w:hanging="454"/>
    </w:pPr>
    <w:rPr>
      <w:sz w:val="16"/>
    </w:rPr>
  </w:style>
  <w:style w:type="paragraph" w:styleId="29">
    <w:name w:val="header"/>
    <w:basedOn w:val="1"/>
    <w:link w:val="54"/>
    <w:qFormat/>
    <w:uiPriority w:val="0"/>
    <w:pPr>
      <w:widowControl w:val="0"/>
    </w:pPr>
    <w:rPr>
      <w:rFonts w:ascii="Arial" w:hAnsi="Arial" w:eastAsia="ＭＳ 明朝"/>
      <w:b/>
      <w:sz w:val="18"/>
      <w:lang w:eastAsia="zh-CN"/>
    </w:rPr>
  </w:style>
  <w:style w:type="paragraph" w:styleId="30">
    <w:name w:val="HTML Preformatted"/>
    <w:basedOn w:val="1"/>
    <w:link w:val="14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31">
    <w:name w:val="Hyperlink"/>
    <w:qFormat/>
    <w:uiPriority w:val="0"/>
    <w:rPr>
      <w:rFonts w:eastAsia="Times New Roman"/>
      <w:color w:val="0000FF"/>
      <w:kern w:val="2"/>
      <w:sz w:val="21"/>
      <w:u w:val="single"/>
      <w:lang w:val="en-GB"/>
    </w:rPr>
  </w:style>
  <w:style w:type="paragraph" w:styleId="32">
    <w:name w:val="index 1"/>
    <w:basedOn w:val="1"/>
    <w:next w:val="1"/>
    <w:semiHidden/>
    <w:unhideWhenUsed/>
    <w:qFormat/>
    <w:uiPriority w:val="0"/>
    <w:pPr>
      <w:ind w:left="240" w:hanging="240" w:hangingChars="100"/>
    </w:pPr>
  </w:style>
  <w:style w:type="paragraph" w:styleId="33">
    <w:name w:val="index 2"/>
    <w:basedOn w:val="32"/>
    <w:next w:val="1"/>
    <w:semiHidden/>
    <w:qFormat/>
    <w:uiPriority w:val="0"/>
    <w:pPr>
      <w:keepLines/>
      <w:overflowPunct w:val="0"/>
      <w:autoSpaceDE w:val="0"/>
      <w:autoSpaceDN w:val="0"/>
      <w:adjustRightInd w:val="0"/>
      <w:spacing w:after="0" w:line="240" w:lineRule="auto"/>
      <w:ind w:left="284" w:firstLine="0" w:firstLineChars="0"/>
      <w:textAlignment w:val="baseline"/>
    </w:pPr>
    <w:rPr>
      <w:rFonts w:eastAsia="SimSun"/>
      <w:sz w:val="20"/>
      <w:lang w:eastAsia="en-US"/>
    </w:rPr>
  </w:style>
  <w:style w:type="paragraph" w:styleId="34">
    <w:name w:val="List"/>
    <w:basedOn w:val="1"/>
    <w:qFormat/>
    <w:uiPriority w:val="0"/>
    <w:pPr>
      <w:spacing w:after="180"/>
      <w:ind w:left="568" w:hanging="284"/>
    </w:pPr>
  </w:style>
  <w:style w:type="paragraph" w:styleId="35">
    <w:name w:val="List 2"/>
    <w:basedOn w:val="34"/>
    <w:qFormat/>
    <w:uiPriority w:val="0"/>
    <w:pPr>
      <w:ind w:left="851"/>
    </w:pPr>
  </w:style>
  <w:style w:type="paragraph" w:styleId="36">
    <w:name w:val="List 3"/>
    <w:basedOn w:val="1"/>
    <w:qFormat/>
    <w:uiPriority w:val="0"/>
    <w:pPr>
      <w:ind w:left="100" w:leftChars="400" w:hanging="200" w:hangingChars="200"/>
    </w:pPr>
  </w:style>
  <w:style w:type="paragraph" w:styleId="37">
    <w:name w:val="List Bullet"/>
    <w:basedOn w:val="1"/>
    <w:qFormat/>
    <w:uiPriority w:val="0"/>
    <w:pPr>
      <w:tabs>
        <w:tab w:val="left" w:pos="360"/>
      </w:tabs>
      <w:ind w:left="360" w:hanging="360"/>
    </w:pPr>
  </w:style>
  <w:style w:type="paragraph" w:styleId="38">
    <w:name w:val="List Bullet 2"/>
    <w:basedOn w:val="37"/>
    <w:qFormat/>
    <w:uiPriority w:val="0"/>
    <w:pPr>
      <w:tabs>
        <w:tab w:val="clear" w:pos="360"/>
      </w:tabs>
      <w:spacing w:after="60"/>
      <w:ind w:left="1080" w:hanging="357"/>
    </w:pPr>
    <w:rPr>
      <w:rFonts w:ascii="Arial" w:hAnsi="Arial"/>
    </w:rPr>
  </w:style>
  <w:style w:type="paragraph" w:styleId="39">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40">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41">
    <w:name w:val="Note Heading"/>
    <w:basedOn w:val="1"/>
    <w:next w:val="1"/>
    <w:link w:val="100"/>
    <w:qFormat/>
    <w:uiPriority w:val="0"/>
    <w:pPr>
      <w:jc w:val="center"/>
    </w:pPr>
    <w:rPr>
      <w:b/>
      <w:color w:val="FF0000"/>
      <w:szCs w:val="21"/>
      <w:lang w:val="en-US"/>
    </w:rPr>
  </w:style>
  <w:style w:type="character" w:styleId="42">
    <w:name w:val="page number"/>
    <w:qFormat/>
    <w:uiPriority w:val="0"/>
    <w:rPr>
      <w:rFonts w:eastAsia="Times New Roman"/>
      <w:kern w:val="2"/>
      <w:sz w:val="21"/>
      <w:lang w:val="en-GB"/>
    </w:rPr>
  </w:style>
  <w:style w:type="paragraph" w:styleId="43">
    <w:name w:val="Plain Text"/>
    <w:basedOn w:val="1"/>
    <w:qFormat/>
    <w:uiPriority w:val="0"/>
    <w:rPr>
      <w:rFonts w:ascii="Courier New" w:hAnsi="Courier New"/>
    </w:rPr>
  </w:style>
  <w:style w:type="character" w:styleId="44">
    <w:name w:val="Strong"/>
    <w:basedOn w:val="11"/>
    <w:qFormat/>
    <w:uiPriority w:val="22"/>
    <w:rPr>
      <w:b/>
      <w:bCs/>
    </w:rPr>
  </w:style>
  <w:style w:type="table" w:styleId="45">
    <w:name w:val="Table Grid"/>
    <w:basedOn w:val="12"/>
    <w:qFormat/>
    <w:uiPriority w:val="3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table of figures"/>
    <w:basedOn w:val="47"/>
    <w:next w:val="1"/>
    <w:semiHidden/>
    <w:qFormat/>
    <w:uiPriority w:val="0"/>
    <w:pPr>
      <w:tabs>
        <w:tab w:val="right" w:leader="dot" w:pos="9360"/>
      </w:tabs>
      <w:spacing w:before="120" w:after="120"/>
    </w:pPr>
    <w:rPr>
      <w:caps/>
    </w:rPr>
  </w:style>
  <w:style w:type="paragraph" w:styleId="47">
    <w:name w:val="toc 1"/>
    <w:basedOn w:val="1"/>
    <w:next w:val="1"/>
    <w:qFormat/>
    <w:uiPriority w:val="39"/>
  </w:style>
  <w:style w:type="paragraph" w:styleId="48">
    <w:name w:val="Title"/>
    <w:basedOn w:val="1"/>
    <w:qFormat/>
    <w:uiPriority w:val="0"/>
    <w:pPr>
      <w:jc w:val="center"/>
    </w:pPr>
    <w:rPr>
      <w:rFonts w:ascii="Arial" w:hAnsi="Arial"/>
      <w:b/>
    </w:rPr>
  </w:style>
  <w:style w:type="paragraph" w:styleId="49">
    <w:name w:val="toc 2"/>
    <w:basedOn w:val="4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50">
    <w:name w:val="toc 8"/>
    <w:basedOn w:val="4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51">
    <w:name w:val="toc 9"/>
    <w:basedOn w:val="50"/>
    <w:next w:val="1"/>
    <w:qFormat/>
    <w:uiPriority w:val="39"/>
    <w:pPr>
      <w:ind w:left="1418" w:hanging="1418"/>
    </w:pPr>
  </w:style>
  <w:style w:type="character" w:customStyle="1" w:styleId="52">
    <w:name w:val="Balloon Text Char"/>
    <w:link w:val="13"/>
    <w:qFormat/>
    <w:uiPriority w:val="0"/>
    <w:rPr>
      <w:rFonts w:ascii="Arial" w:hAnsi="Arial" w:eastAsia="ＭＳ ゴシック"/>
      <w:sz w:val="18"/>
      <w:lang w:val="en-GB"/>
    </w:rPr>
  </w:style>
  <w:style w:type="paragraph" w:customStyle="1" w:styleId="53">
    <w:name w:val="Heading 1 unnumbered"/>
    <w:basedOn w:val="2"/>
    <w:next w:val="14"/>
    <w:qFormat/>
    <w:uiPriority w:val="0"/>
    <w:pPr>
      <w:tabs>
        <w:tab w:val="left" w:pos="360"/>
      </w:tabs>
      <w:spacing w:before="360" w:after="240"/>
      <w:ind w:left="360" w:hanging="360"/>
      <w:outlineLvl w:val="9"/>
    </w:pPr>
    <w:rPr>
      <w:rFonts w:ascii="Times New Roman" w:hAnsi="Times New Roman"/>
      <w:sz w:val="32"/>
    </w:rPr>
  </w:style>
  <w:style w:type="character" w:customStyle="1" w:styleId="54">
    <w:name w:val="Header Char"/>
    <w:link w:val="29"/>
    <w:qFormat/>
    <w:locked/>
    <w:uiPriority w:val="0"/>
    <w:rPr>
      <w:rFonts w:ascii="Arial" w:hAnsi="Arial"/>
      <w:b/>
      <w:sz w:val="18"/>
      <w:lang w:val="en-GB"/>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ＭＳ 明朝" w:cs="Times New Roman"/>
      <w:b/>
      <w:sz w:val="34"/>
      <w:lang w:val="en-GB" w:eastAsia="ja-JP" w:bidi="ar-SA"/>
    </w:rPr>
  </w:style>
  <w:style w:type="character" w:customStyle="1" w:styleId="56">
    <w:name w:val="ZGSM"/>
    <w:qFormat/>
    <w:uiPriority w:val="0"/>
  </w:style>
  <w:style w:type="paragraph" w:customStyle="1" w:styleId="57">
    <w:name w:val="TF"/>
    <w:basedOn w:val="58"/>
    <w:qFormat/>
    <w:uiPriority w:val="0"/>
    <w:pPr>
      <w:keepNext w:val="0"/>
      <w:spacing w:before="0" w:after="240"/>
    </w:pPr>
  </w:style>
  <w:style w:type="paragraph" w:customStyle="1" w:styleId="58">
    <w:name w:val="TH"/>
    <w:basedOn w:val="1"/>
    <w:link w:val="59"/>
    <w:qFormat/>
    <w:uiPriority w:val="0"/>
    <w:pPr>
      <w:keepNext/>
      <w:keepLines/>
      <w:spacing w:before="60" w:after="180"/>
      <w:jc w:val="center"/>
    </w:pPr>
    <w:rPr>
      <w:rFonts w:ascii="Arial" w:hAnsi="Arial"/>
      <w:b/>
    </w:rPr>
  </w:style>
  <w:style w:type="character" w:customStyle="1" w:styleId="59">
    <w:name w:val="TH Char"/>
    <w:link w:val="58"/>
    <w:qFormat/>
    <w:uiPriority w:val="0"/>
    <w:rPr>
      <w:rFonts w:ascii="Arial" w:hAnsi="Arial" w:eastAsia="ＭＳ ゴシック"/>
      <w:b/>
      <w:sz w:val="24"/>
      <w:lang w:val="en-GB"/>
    </w:rPr>
  </w:style>
  <w:style w:type="paragraph" w:customStyle="1" w:styleId="60">
    <w:name w:val="B1"/>
    <w:basedOn w:val="34"/>
    <w:link w:val="61"/>
    <w:qFormat/>
    <w:uiPriority w:val="0"/>
  </w:style>
  <w:style w:type="character" w:customStyle="1" w:styleId="61">
    <w:name w:val="B1 Char"/>
    <w:link w:val="60"/>
    <w:qFormat/>
    <w:uiPriority w:val="0"/>
    <w:rPr>
      <w:rFonts w:ascii="Times New Roman" w:hAnsi="Times New Roman" w:eastAsia="ＭＳ ゴシック"/>
      <w:sz w:val="24"/>
      <w:lang w:val="en-GB"/>
    </w:rPr>
  </w:style>
  <w:style w:type="paragraph" w:customStyle="1" w:styleId="62">
    <w:name w:val="EQ"/>
    <w:basedOn w:val="1"/>
    <w:next w:val="1"/>
    <w:link w:val="181"/>
    <w:qFormat/>
    <w:uiPriority w:val="0"/>
    <w:pPr>
      <w:keepLines/>
      <w:tabs>
        <w:tab w:val="center" w:pos="4536"/>
        <w:tab w:val="right" w:pos="9072"/>
      </w:tabs>
      <w:spacing w:after="180"/>
    </w:pPr>
  </w:style>
  <w:style w:type="paragraph" w:customStyle="1" w:styleId="63">
    <w:name w:val="lˆptext"/>
    <w:basedOn w:val="1"/>
    <w:qFormat/>
    <w:uiPriority w:val="0"/>
    <w:pPr>
      <w:spacing w:before="100" w:after="100"/>
      <w:ind w:left="860"/>
    </w:pPr>
    <w:rPr>
      <w:rFonts w:ascii="Times" w:hAnsi="Times"/>
    </w:rPr>
  </w:style>
  <w:style w:type="paragraph" w:customStyle="1" w:styleId="64">
    <w:name w:val="佐藤２"/>
    <w:basedOn w:val="1"/>
    <w:qFormat/>
    <w:uiPriority w:val="0"/>
    <w:pPr>
      <w:numPr>
        <w:ilvl w:val="0"/>
        <w:numId w:val="2"/>
      </w:numPr>
      <w:spacing w:after="180"/>
    </w:pPr>
  </w:style>
  <w:style w:type="paragraph" w:customStyle="1" w:styleId="65">
    <w:name w:val="List Bullet Last"/>
    <w:basedOn w:val="37"/>
    <w:next w:val="14"/>
    <w:qFormat/>
    <w:uiPriority w:val="0"/>
    <w:pPr>
      <w:tabs>
        <w:tab w:val="clear" w:pos="360"/>
      </w:tabs>
      <w:spacing w:after="240"/>
      <w:ind w:left="714" w:hanging="357"/>
    </w:pPr>
    <w:rPr>
      <w:rFonts w:ascii="Arial" w:hAnsi="Arial"/>
    </w:rPr>
  </w:style>
  <w:style w:type="paragraph" w:customStyle="1" w:styleId="66">
    <w:name w:val="Title Text"/>
    <w:basedOn w:val="1"/>
    <w:next w:val="1"/>
    <w:qFormat/>
    <w:uiPriority w:val="0"/>
    <w:pPr>
      <w:spacing w:after="220"/>
    </w:pPr>
    <w:rPr>
      <w:rFonts w:ascii="Arial" w:hAnsi="Arial"/>
      <w:b/>
      <w:sz w:val="22"/>
    </w:rPr>
  </w:style>
  <w:style w:type="paragraph" w:customStyle="1" w:styleId="67">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8">
    <w:name w:val="text"/>
    <w:basedOn w:val="1"/>
    <w:qFormat/>
    <w:uiPriority w:val="0"/>
    <w:pPr>
      <w:spacing w:after="240"/>
      <w:jc w:val="both"/>
    </w:pPr>
    <w:rPr>
      <w:lang w:val="en-US"/>
    </w:rPr>
  </w:style>
  <w:style w:type="paragraph" w:customStyle="1" w:styleId="69">
    <w:name w:val="text intend 1"/>
    <w:basedOn w:val="68"/>
    <w:qFormat/>
    <w:uiPriority w:val="0"/>
    <w:pPr>
      <w:numPr>
        <w:ilvl w:val="0"/>
        <w:numId w:val="3"/>
      </w:numPr>
      <w:spacing w:after="120"/>
    </w:pPr>
  </w:style>
  <w:style w:type="paragraph" w:customStyle="1" w:styleId="70">
    <w:name w:val="shortcode"/>
    <w:basedOn w:val="14"/>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71">
    <w:name w:val="B2"/>
    <w:basedOn w:val="35"/>
    <w:link w:val="140"/>
    <w:qFormat/>
    <w:uiPriority w:val="0"/>
    <w:pPr>
      <w:overflowPunct w:val="0"/>
      <w:autoSpaceDE w:val="0"/>
      <w:autoSpaceDN w:val="0"/>
      <w:adjustRightInd w:val="0"/>
      <w:textAlignment w:val="baseline"/>
    </w:pPr>
  </w:style>
  <w:style w:type="paragraph" w:customStyle="1" w:styleId="72">
    <w:name w:val="B3"/>
    <w:basedOn w:val="36"/>
    <w:link w:val="141"/>
    <w:qFormat/>
    <w:uiPriority w:val="0"/>
    <w:pPr>
      <w:overflowPunct w:val="0"/>
      <w:autoSpaceDE w:val="0"/>
      <w:autoSpaceDN w:val="0"/>
      <w:adjustRightInd w:val="0"/>
      <w:spacing w:after="180"/>
      <w:ind w:left="1135" w:leftChars="0" w:hanging="284" w:firstLineChars="0"/>
      <w:textAlignment w:val="baseline"/>
    </w:pPr>
  </w:style>
  <w:style w:type="paragraph" w:customStyle="1" w:styleId="73">
    <w:name w:val="Rec_CCITT_#"/>
    <w:basedOn w:val="1"/>
    <w:qFormat/>
    <w:uiPriority w:val="0"/>
    <w:pPr>
      <w:keepNext/>
      <w:keepLines/>
      <w:spacing w:after="180"/>
    </w:pPr>
    <w:rPr>
      <w:b/>
    </w:rPr>
  </w:style>
  <w:style w:type="paragraph" w:customStyle="1" w:styleId="74">
    <w:name w:val="Reference"/>
    <w:basedOn w:val="1"/>
    <w:qFormat/>
    <w:uiPriority w:val="0"/>
    <w:pPr>
      <w:widowControl w:val="0"/>
      <w:ind w:left="283" w:hanging="283"/>
      <w:jc w:val="both"/>
    </w:pPr>
    <w:rPr>
      <w:rFonts w:ascii="Arial" w:hAnsi="Arial" w:eastAsia="ＭＳ 明朝"/>
      <w:kern w:val="2"/>
      <w:sz w:val="21"/>
      <w:lang w:val="de-DE"/>
    </w:rPr>
  </w:style>
  <w:style w:type="character" w:customStyle="1" w:styleId="75">
    <w:name w:val="Comment Text Char"/>
    <w:basedOn w:val="11"/>
    <w:link w:val="21"/>
    <w:qFormat/>
    <w:uiPriority w:val="99"/>
    <w:rPr>
      <w:rFonts w:ascii="Times New Roman" w:hAnsi="Times New Roman" w:eastAsia="ＭＳ ゴシック"/>
      <w:lang w:val="en-GB"/>
    </w:rPr>
  </w:style>
  <w:style w:type="paragraph" w:customStyle="1" w:styleId="7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7">
    <w:name w:val="図表番号 (文字)"/>
    <w:qFormat/>
    <w:uiPriority w:val="0"/>
    <w:rPr>
      <w:rFonts w:eastAsia="ＭＳ ゴシック"/>
      <w:b/>
      <w:kern w:val="2"/>
      <w:sz w:val="24"/>
      <w:lang w:val="en-GB"/>
    </w:rPr>
  </w:style>
  <w:style w:type="paragraph" w:customStyle="1" w:styleId="78">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9">
    <w:name w:val="Comment Subject Char"/>
    <w:basedOn w:val="75"/>
    <w:link w:val="22"/>
    <w:qFormat/>
    <w:uiPriority w:val="0"/>
    <w:rPr>
      <w:rFonts w:ascii="Times New Roman" w:hAnsi="Times New Roman" w:eastAsia="ＭＳ ゴシック"/>
      <w:b/>
      <w:sz w:val="24"/>
      <w:lang w:val="en-GB"/>
    </w:rPr>
  </w:style>
  <w:style w:type="paragraph" w:customStyle="1" w:styleId="80">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Times New Roman"/>
      <w:color w:val="0000FF"/>
      <w:kern w:val="2"/>
      <w:lang w:val="en-US" w:eastAsia="ja-JP" w:bidi="ar-SA"/>
    </w:rPr>
  </w:style>
  <w:style w:type="paragraph" w:customStyle="1" w:styleId="8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2">
    <w:name w:val="TAH"/>
    <w:basedOn w:val="83"/>
    <w:link w:val="85"/>
    <w:qFormat/>
    <w:uiPriority w:val="0"/>
    <w:rPr>
      <w:b/>
    </w:rPr>
  </w:style>
  <w:style w:type="paragraph" w:customStyle="1" w:styleId="83">
    <w:name w:val="TAC"/>
    <w:basedOn w:val="1"/>
    <w:link w:val="84"/>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4">
    <w:name w:val="TAC Char"/>
    <w:link w:val="83"/>
    <w:qFormat/>
    <w:uiPriority w:val="0"/>
    <w:rPr>
      <w:rFonts w:ascii="Arial" w:hAnsi="Arial" w:eastAsia="Times New Roman"/>
      <w:sz w:val="18"/>
      <w:lang w:val="en-GB"/>
    </w:rPr>
  </w:style>
  <w:style w:type="character" w:customStyle="1" w:styleId="85">
    <w:name w:val="TAH Car"/>
    <w:link w:val="82"/>
    <w:qFormat/>
    <w:uiPriority w:val="0"/>
    <w:rPr>
      <w:rFonts w:ascii="Arial" w:hAnsi="Arial" w:eastAsia="Times New Roman"/>
      <w:b/>
      <w:sz w:val="18"/>
      <w:lang w:val="en-GB"/>
    </w:rPr>
  </w:style>
  <w:style w:type="paragraph" w:customStyle="1" w:styleId="86">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88">
    <w:name w:val="表 (赤)  81"/>
    <w:basedOn w:val="1"/>
    <w:qFormat/>
    <w:uiPriority w:val="34"/>
    <w:pPr>
      <w:ind w:left="840" w:leftChars="400"/>
    </w:pPr>
    <w:rPr>
      <w:rFonts w:ascii="MS PGothic" w:hAnsi="MS PGothic" w:eastAsia="MS PGothic" w:cs="MS PGothic"/>
      <w:szCs w:val="24"/>
      <w:lang w:val="en-US"/>
    </w:rPr>
  </w:style>
  <w:style w:type="paragraph" w:customStyle="1" w:styleId="89">
    <w:name w:val="表 (赤)  71"/>
    <w:hidden/>
    <w:semiHidden/>
    <w:qFormat/>
    <w:uiPriority w:val="99"/>
    <w:pPr>
      <w:spacing w:after="160" w:line="259" w:lineRule="auto"/>
    </w:pPr>
    <w:rPr>
      <w:rFonts w:ascii="Times New Roman" w:hAnsi="Times New Roman" w:eastAsia="ＭＳ ゴシック" w:cs="Times New Roman"/>
      <w:sz w:val="24"/>
      <w:lang w:val="en-GB" w:eastAsia="ja-JP" w:bidi="ar-SA"/>
    </w:rPr>
  </w:style>
  <w:style w:type="paragraph" w:customStyle="1" w:styleId="90">
    <w:name w:val="Revision1"/>
    <w:hidden/>
    <w:semiHidden/>
    <w:qFormat/>
    <w:uiPriority w:val="99"/>
    <w:pPr>
      <w:spacing w:after="160" w:line="259" w:lineRule="auto"/>
    </w:pPr>
    <w:rPr>
      <w:rFonts w:ascii="Times New Roman" w:hAnsi="Times New Roman" w:eastAsia="ＭＳ ゴシック" w:cs="Times New Roman"/>
      <w:sz w:val="24"/>
      <w:lang w:val="en-GB" w:eastAsia="ja-JP" w:bidi="ar-SA"/>
    </w:rPr>
  </w:style>
  <w:style w:type="paragraph" w:customStyle="1" w:styleId="91">
    <w:name w:val="Doc-title"/>
    <w:basedOn w:val="1"/>
    <w:next w:val="92"/>
    <w:link w:val="94"/>
    <w:qFormat/>
    <w:uiPriority w:val="0"/>
    <w:pPr>
      <w:ind w:left="1260" w:hanging="1260"/>
    </w:pPr>
    <w:rPr>
      <w:rFonts w:ascii="Arial" w:hAnsi="Arial" w:eastAsia="ＭＳ 明朝"/>
      <w:sz w:val="20"/>
      <w:szCs w:val="24"/>
      <w:lang w:eastAsia="en-GB"/>
    </w:rPr>
  </w:style>
  <w:style w:type="paragraph" w:customStyle="1" w:styleId="92">
    <w:name w:val="Doc-text2"/>
    <w:basedOn w:val="1"/>
    <w:link w:val="93"/>
    <w:qFormat/>
    <w:uiPriority w:val="0"/>
    <w:pPr>
      <w:tabs>
        <w:tab w:val="left" w:pos="1622"/>
      </w:tabs>
      <w:ind w:left="1622" w:hanging="363"/>
    </w:pPr>
    <w:rPr>
      <w:rFonts w:ascii="Arial" w:hAnsi="Arial" w:eastAsia="ＭＳ 明朝"/>
      <w:sz w:val="20"/>
      <w:szCs w:val="24"/>
      <w:lang w:eastAsia="en-GB"/>
    </w:rPr>
  </w:style>
  <w:style w:type="character" w:customStyle="1" w:styleId="93">
    <w:name w:val="Doc-text2 Char"/>
    <w:link w:val="92"/>
    <w:qFormat/>
    <w:uiPriority w:val="0"/>
    <w:rPr>
      <w:rFonts w:ascii="Arial" w:hAnsi="Arial"/>
      <w:szCs w:val="24"/>
      <w:lang w:val="en-GB" w:eastAsia="en-GB"/>
    </w:rPr>
  </w:style>
  <w:style w:type="character" w:customStyle="1" w:styleId="94">
    <w:name w:val="Doc-title Char"/>
    <w:link w:val="91"/>
    <w:qFormat/>
    <w:uiPriority w:val="0"/>
    <w:rPr>
      <w:rFonts w:ascii="Arial" w:hAnsi="Arial"/>
      <w:szCs w:val="24"/>
      <w:lang w:val="en-GB" w:eastAsia="en-GB"/>
    </w:rPr>
  </w:style>
  <w:style w:type="paragraph" w:styleId="95">
    <w:name w:val="List Paragraph"/>
    <w:basedOn w:val="1"/>
    <w:link w:val="96"/>
    <w:qFormat/>
    <w:uiPriority w:val="34"/>
    <w:pPr>
      <w:ind w:left="840" w:leftChars="400"/>
    </w:pPr>
  </w:style>
  <w:style w:type="character" w:customStyle="1" w:styleId="96">
    <w:name w:val="List Paragraph Char"/>
    <w:link w:val="95"/>
    <w:qFormat/>
    <w:locked/>
    <w:uiPriority w:val="34"/>
    <w:rPr>
      <w:rFonts w:ascii="Times New Roman" w:hAnsi="Times New Roman" w:eastAsia="ＭＳ ゴシック"/>
      <w:sz w:val="24"/>
      <w:lang w:val="en-GB"/>
    </w:rPr>
  </w:style>
  <w:style w:type="paragraph" w:customStyle="1" w:styleId="97">
    <w:name w:val="TAR"/>
    <w:basedOn w:val="1"/>
    <w:qFormat/>
    <w:uiPriority w:val="0"/>
    <w:pPr>
      <w:keepNext/>
      <w:keepLines/>
      <w:jc w:val="right"/>
    </w:pPr>
    <w:rPr>
      <w:rFonts w:ascii="Arial" w:hAnsi="Arial" w:eastAsiaTheme="minorEastAsia"/>
      <w:sz w:val="18"/>
      <w:lang w:eastAsia="en-US"/>
    </w:rPr>
  </w:style>
  <w:style w:type="paragraph" w:customStyle="1" w:styleId="98">
    <w:name w:val="Comments"/>
    <w:basedOn w:val="1"/>
    <w:link w:val="99"/>
    <w:qFormat/>
    <w:uiPriority w:val="0"/>
    <w:pPr>
      <w:spacing w:before="40"/>
    </w:pPr>
    <w:rPr>
      <w:rFonts w:ascii="Arial" w:hAnsi="Arial" w:eastAsia="ＭＳ 明朝"/>
      <w:i/>
      <w:sz w:val="18"/>
      <w:szCs w:val="24"/>
      <w:lang w:eastAsia="en-GB"/>
    </w:rPr>
  </w:style>
  <w:style w:type="character" w:customStyle="1" w:styleId="99">
    <w:name w:val="Comments Char"/>
    <w:link w:val="98"/>
    <w:qFormat/>
    <w:uiPriority w:val="0"/>
    <w:rPr>
      <w:rFonts w:ascii="Arial" w:hAnsi="Arial"/>
      <w:i/>
      <w:sz w:val="18"/>
      <w:szCs w:val="24"/>
      <w:lang w:val="en-GB" w:eastAsia="en-GB"/>
    </w:rPr>
  </w:style>
  <w:style w:type="character" w:customStyle="1" w:styleId="100">
    <w:name w:val="Note Heading Char"/>
    <w:basedOn w:val="11"/>
    <w:link w:val="41"/>
    <w:qFormat/>
    <w:uiPriority w:val="0"/>
    <w:rPr>
      <w:rFonts w:ascii="Times New Roman" w:hAnsi="Times New Roman" w:eastAsia="ＭＳ ゴシック"/>
      <w:b/>
      <w:color w:val="FF0000"/>
      <w:sz w:val="24"/>
      <w:szCs w:val="21"/>
    </w:rPr>
  </w:style>
  <w:style w:type="character" w:customStyle="1" w:styleId="101">
    <w:name w:val="Closing Char"/>
    <w:basedOn w:val="11"/>
    <w:link w:val="19"/>
    <w:qFormat/>
    <w:uiPriority w:val="0"/>
    <w:rPr>
      <w:rFonts w:ascii="Times New Roman" w:hAnsi="Times New Roman" w:eastAsia="ＭＳ ゴシック"/>
      <w:b/>
      <w:color w:val="FF0000"/>
      <w:sz w:val="24"/>
      <w:szCs w:val="21"/>
    </w:rPr>
  </w:style>
  <w:style w:type="character" w:customStyle="1" w:styleId="102">
    <w:name w:val="B1 (文字)"/>
    <w:qFormat/>
    <w:uiPriority w:val="0"/>
    <w:rPr>
      <w:rFonts w:eastAsia="ＭＳ 明朝"/>
      <w:lang w:val="en-GB" w:eastAsia="en-US" w:bidi="ar-SA"/>
    </w:rPr>
  </w:style>
  <w:style w:type="paragraph" w:customStyle="1" w:styleId="103">
    <w:name w:val="3GPP Normal Text"/>
    <w:basedOn w:val="14"/>
    <w:link w:val="104"/>
    <w:qFormat/>
    <w:uiPriority w:val="0"/>
    <w:pPr>
      <w:ind w:left="720" w:hanging="720"/>
      <w:jc w:val="both"/>
    </w:pPr>
    <w:rPr>
      <w:rFonts w:eastAsia="ＭＳ 明朝"/>
      <w:sz w:val="22"/>
      <w:szCs w:val="24"/>
      <w:lang w:val="zh-CN" w:eastAsia="zh-CN"/>
    </w:rPr>
  </w:style>
  <w:style w:type="character" w:customStyle="1" w:styleId="104">
    <w:name w:val="3GPP Normal Text Char"/>
    <w:link w:val="103"/>
    <w:qFormat/>
    <w:uiPriority w:val="0"/>
    <w:rPr>
      <w:rFonts w:ascii="Times New Roman" w:hAnsi="Times New Roman"/>
      <w:sz w:val="22"/>
      <w:szCs w:val="24"/>
      <w:lang w:val="zh-CN" w:eastAsia="zh-CN"/>
    </w:rPr>
  </w:style>
  <w:style w:type="paragraph" w:customStyle="1" w:styleId="105">
    <w:name w:val="main text"/>
    <w:basedOn w:val="1"/>
    <w:link w:val="106"/>
    <w:qFormat/>
    <w:uiPriority w:val="0"/>
    <w:pPr>
      <w:spacing w:before="60" w:after="60" w:line="288" w:lineRule="auto"/>
      <w:ind w:firstLine="200" w:firstLineChars="200"/>
      <w:jc w:val="both"/>
    </w:pPr>
    <w:rPr>
      <w:rFonts w:eastAsia="Malgun Gothic"/>
      <w:sz w:val="20"/>
      <w:lang w:eastAsia="ko-KR"/>
    </w:rPr>
  </w:style>
  <w:style w:type="character" w:customStyle="1" w:styleId="106">
    <w:name w:val="main text Char"/>
    <w:link w:val="105"/>
    <w:qFormat/>
    <w:uiPriority w:val="0"/>
    <w:rPr>
      <w:rFonts w:ascii="Times New Roman" w:hAnsi="Times New Roman" w:eastAsia="Malgun Gothic"/>
      <w:lang w:val="en-GB" w:eastAsia="ko-KR"/>
    </w:rPr>
  </w:style>
  <w:style w:type="character" w:styleId="107">
    <w:name w:val="Placeholder Text"/>
    <w:basedOn w:val="11"/>
    <w:semiHidden/>
    <w:qFormat/>
    <w:uiPriority w:val="99"/>
    <w:rPr>
      <w:color w:val="808080"/>
    </w:rPr>
  </w:style>
  <w:style w:type="paragraph" w:customStyle="1" w:styleId="108">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0">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1">
    <w:name w:val="NF"/>
    <w:basedOn w:val="112"/>
    <w:qFormat/>
    <w:uiPriority w:val="0"/>
    <w:pPr>
      <w:keepNext/>
      <w:spacing w:after="0"/>
    </w:pPr>
    <w:rPr>
      <w:rFonts w:ascii="Arial" w:hAnsi="Arial"/>
      <w:sz w:val="18"/>
    </w:rPr>
  </w:style>
  <w:style w:type="paragraph" w:customStyle="1" w:styleId="112">
    <w:name w:val="NO"/>
    <w:basedOn w:val="1"/>
    <w:qFormat/>
    <w:uiPriority w:val="0"/>
    <w:pPr>
      <w:keepLines/>
      <w:spacing w:after="180"/>
      <w:ind w:left="1135" w:hanging="851"/>
    </w:pPr>
    <w:rPr>
      <w:rFonts w:eastAsiaTheme="minorEastAsia"/>
      <w:sz w:val="20"/>
      <w:lang w:eastAsia="en-US"/>
    </w:rPr>
  </w:style>
  <w:style w:type="paragraph" w:customStyle="1" w:styleId="113">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4">
    <w:name w:val="TAL"/>
    <w:basedOn w:val="1"/>
    <w:link w:val="135"/>
    <w:qFormat/>
    <w:uiPriority w:val="0"/>
    <w:pPr>
      <w:keepNext/>
      <w:keepLines/>
    </w:pPr>
    <w:rPr>
      <w:rFonts w:ascii="Arial" w:hAnsi="Arial" w:eastAsiaTheme="minorEastAsia"/>
      <w:sz w:val="18"/>
      <w:lang w:eastAsia="en-US"/>
    </w:rPr>
  </w:style>
  <w:style w:type="paragraph" w:customStyle="1" w:styleId="115">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6">
    <w:name w:val="EX"/>
    <w:basedOn w:val="1"/>
    <w:qFormat/>
    <w:uiPriority w:val="0"/>
    <w:pPr>
      <w:keepLines/>
      <w:spacing w:after="180"/>
      <w:ind w:left="1702" w:hanging="1418"/>
    </w:pPr>
    <w:rPr>
      <w:rFonts w:eastAsiaTheme="minorEastAsia"/>
      <w:sz w:val="20"/>
      <w:lang w:eastAsia="en-US"/>
    </w:rPr>
  </w:style>
  <w:style w:type="paragraph" w:customStyle="1" w:styleId="117">
    <w:name w:val="FP"/>
    <w:basedOn w:val="1"/>
    <w:qFormat/>
    <w:uiPriority w:val="99"/>
    <w:rPr>
      <w:rFonts w:eastAsiaTheme="minorEastAsia"/>
      <w:sz w:val="20"/>
      <w:lang w:eastAsia="en-US"/>
    </w:rPr>
  </w:style>
  <w:style w:type="paragraph" w:customStyle="1" w:styleId="118">
    <w:name w:val="NW"/>
    <w:basedOn w:val="112"/>
    <w:qFormat/>
    <w:uiPriority w:val="0"/>
    <w:pPr>
      <w:spacing w:after="0"/>
    </w:pPr>
  </w:style>
  <w:style w:type="paragraph" w:customStyle="1" w:styleId="119">
    <w:name w:val="EW"/>
    <w:basedOn w:val="116"/>
    <w:qFormat/>
    <w:uiPriority w:val="99"/>
    <w:pPr>
      <w:spacing w:after="0"/>
    </w:pPr>
  </w:style>
  <w:style w:type="paragraph" w:customStyle="1" w:styleId="120">
    <w:name w:val="Editor's Note"/>
    <w:basedOn w:val="112"/>
    <w:qFormat/>
    <w:uiPriority w:val="0"/>
    <w:rPr>
      <w:color w:val="FF0000"/>
    </w:rPr>
  </w:style>
  <w:style w:type="paragraph" w:customStyle="1" w:styleId="12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2">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4">
    <w:name w:val="TAN"/>
    <w:basedOn w:val="114"/>
    <w:link w:val="168"/>
    <w:qFormat/>
    <w:uiPriority w:val="0"/>
    <w:pPr>
      <w:ind w:left="851" w:hanging="851"/>
    </w:pPr>
  </w:style>
  <w:style w:type="paragraph" w:customStyle="1" w:styleId="12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7">
    <w:name w:val="B4"/>
    <w:basedOn w:val="1"/>
    <w:qFormat/>
    <w:uiPriority w:val="0"/>
    <w:pPr>
      <w:spacing w:after="180"/>
      <w:ind w:left="1418" w:hanging="284"/>
    </w:pPr>
    <w:rPr>
      <w:rFonts w:eastAsiaTheme="minorEastAsia"/>
      <w:sz w:val="20"/>
      <w:lang w:eastAsia="en-US"/>
    </w:rPr>
  </w:style>
  <w:style w:type="paragraph" w:customStyle="1" w:styleId="128">
    <w:name w:val="B5"/>
    <w:basedOn w:val="1"/>
    <w:qFormat/>
    <w:uiPriority w:val="0"/>
    <w:pPr>
      <w:spacing w:after="180"/>
      <w:ind w:left="1702" w:hanging="284"/>
    </w:pPr>
    <w:rPr>
      <w:rFonts w:eastAsiaTheme="minorEastAsia"/>
      <w:sz w:val="20"/>
      <w:lang w:eastAsia="en-US"/>
    </w:rPr>
  </w:style>
  <w:style w:type="paragraph" w:customStyle="1" w:styleId="129">
    <w:name w:val="ZTD"/>
    <w:basedOn w:val="122"/>
    <w:qFormat/>
    <w:uiPriority w:val="0"/>
    <w:pPr>
      <w:framePr w:hRule="auto" w:y="852"/>
    </w:pPr>
    <w:rPr>
      <w:i w:val="0"/>
      <w:sz w:val="40"/>
    </w:rPr>
  </w:style>
  <w:style w:type="paragraph" w:customStyle="1" w:styleId="130">
    <w:name w:val="ZV"/>
    <w:basedOn w:val="123"/>
    <w:qFormat/>
    <w:uiPriority w:val="0"/>
    <w:pPr>
      <w:framePr w:y="16161"/>
    </w:pPr>
  </w:style>
  <w:style w:type="paragraph" w:customStyle="1" w:styleId="131">
    <w:name w:val="TAJ"/>
    <w:basedOn w:val="58"/>
    <w:qFormat/>
    <w:uiPriority w:val="0"/>
    <w:rPr>
      <w:rFonts w:eastAsiaTheme="minorEastAsia"/>
      <w:sz w:val="20"/>
      <w:lang w:eastAsia="en-US"/>
    </w:rPr>
  </w:style>
  <w:style w:type="paragraph" w:customStyle="1" w:styleId="132">
    <w:name w:val="Guidance"/>
    <w:basedOn w:val="1"/>
    <w:qFormat/>
    <w:uiPriority w:val="0"/>
    <w:pPr>
      <w:spacing w:after="180"/>
    </w:pPr>
    <w:rPr>
      <w:rFonts w:eastAsiaTheme="minorEastAsia"/>
      <w:i/>
      <w:color w:val="0000FF"/>
      <w:sz w:val="20"/>
      <w:lang w:eastAsia="en-US"/>
    </w:rPr>
  </w:style>
  <w:style w:type="paragraph" w:customStyle="1" w:styleId="133">
    <w:name w:val="ComeBack"/>
    <w:basedOn w:val="92"/>
    <w:next w:val="92"/>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4">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5">
    <w:name w:val="TAL Car"/>
    <w:basedOn w:val="11"/>
    <w:link w:val="114"/>
    <w:qFormat/>
    <w:locked/>
    <w:uiPriority w:val="0"/>
    <w:rPr>
      <w:rFonts w:ascii="Arial" w:hAnsi="Arial" w:eastAsiaTheme="minorEastAsia"/>
      <w:sz w:val="18"/>
      <w:lang w:val="en-GB" w:eastAsia="en-US"/>
    </w:rPr>
  </w:style>
  <w:style w:type="character" w:customStyle="1" w:styleId="136">
    <w:name w:val="B1 Zchn"/>
    <w:qFormat/>
    <w:uiPriority w:val="0"/>
    <w:rPr>
      <w:rFonts w:asciiTheme="minorHAnsi" w:hAnsiTheme="minorHAnsi" w:eastAsiaTheme="minorEastAsia" w:cstheme="minorBidi"/>
      <w:sz w:val="22"/>
      <w:szCs w:val="22"/>
      <w:lang w:val="sv-SE"/>
    </w:rPr>
  </w:style>
  <w:style w:type="character" w:customStyle="1" w:styleId="137">
    <w:name w:val="B1 Char1"/>
    <w:basedOn w:val="11"/>
    <w:qFormat/>
    <w:locked/>
    <w:uiPriority w:val="0"/>
    <w:rPr>
      <w:lang w:eastAsia="en-US"/>
    </w:rPr>
  </w:style>
  <w:style w:type="paragraph" w:customStyle="1" w:styleId="138">
    <w:name w:val="Proposal"/>
    <w:basedOn w:val="14"/>
    <w:link w:val="152"/>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9">
    <w:name w:val="Observation"/>
    <w:basedOn w:val="138"/>
    <w:qFormat/>
    <w:uiPriority w:val="0"/>
    <w:pPr>
      <w:numPr>
        <w:ilvl w:val="0"/>
        <w:numId w:val="7"/>
      </w:numPr>
      <w:ind w:left="1701" w:hanging="1701"/>
    </w:pPr>
    <w:rPr>
      <w:lang w:eastAsia="ja-JP"/>
    </w:rPr>
  </w:style>
  <w:style w:type="character" w:customStyle="1" w:styleId="140">
    <w:name w:val="B2 Char"/>
    <w:link w:val="71"/>
    <w:qFormat/>
    <w:uiPriority w:val="0"/>
    <w:rPr>
      <w:rFonts w:ascii="Times New Roman" w:hAnsi="Times New Roman" w:eastAsia="ＭＳ ゴシック"/>
      <w:sz w:val="24"/>
      <w:lang w:val="en-GB"/>
    </w:rPr>
  </w:style>
  <w:style w:type="character" w:customStyle="1" w:styleId="141">
    <w:name w:val="B3 Char2"/>
    <w:link w:val="72"/>
    <w:qFormat/>
    <w:uiPriority w:val="0"/>
    <w:rPr>
      <w:rFonts w:ascii="Times New Roman" w:hAnsi="Times New Roman" w:eastAsia="ＭＳ ゴシック"/>
      <w:sz w:val="24"/>
      <w:lang w:val="en-GB"/>
    </w:rPr>
  </w:style>
  <w:style w:type="paragraph" w:customStyle="1" w:styleId="142">
    <w:name w:val="CR Cover Page"/>
    <w:qFormat/>
    <w:uiPriority w:val="0"/>
    <w:pPr>
      <w:spacing w:after="120" w:line="259" w:lineRule="auto"/>
    </w:pPr>
    <w:rPr>
      <w:rFonts w:ascii="Arial" w:hAnsi="Arial" w:eastAsia="ＭＳ 明朝" w:cs="Times New Roman"/>
      <w:lang w:val="en-GB" w:eastAsia="en-US" w:bidi="ar-SA"/>
    </w:rPr>
  </w:style>
  <w:style w:type="paragraph" w:customStyle="1" w:styleId="143">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4">
    <w:name w:val="TAL Char"/>
    <w:qFormat/>
    <w:locked/>
    <w:uiPriority w:val="0"/>
    <w:rPr>
      <w:rFonts w:ascii="Arial" w:hAnsi="Arial" w:eastAsia="ＭＳ 明朝"/>
      <w:sz w:val="18"/>
      <w:lang w:val="en-GB" w:eastAsia="en-US"/>
    </w:rPr>
  </w:style>
  <w:style w:type="character" w:customStyle="1" w:styleId="145">
    <w:name w:val="Heading 1 Char"/>
    <w:basedOn w:val="11"/>
    <w:link w:val="2"/>
    <w:qFormat/>
    <w:uiPriority w:val="0"/>
    <w:rPr>
      <w:rFonts w:ascii="Arial" w:hAnsi="Arial" w:eastAsia="ＭＳ ゴシック"/>
      <w:kern w:val="28"/>
      <w:sz w:val="28"/>
      <w:lang w:val="en-GB"/>
    </w:rPr>
  </w:style>
  <w:style w:type="character" w:customStyle="1" w:styleId="146">
    <w:name w:val="B3 Char"/>
    <w:qFormat/>
    <w:uiPriority w:val="0"/>
    <w:rPr>
      <w:rFonts w:ascii="Times New Roman" w:hAnsi="Times New Roman"/>
      <w:lang w:val="en-GB" w:eastAsia="en-US"/>
    </w:rPr>
  </w:style>
  <w:style w:type="paragraph" w:customStyle="1" w:styleId="147">
    <w:name w:val="Tdoc_Heading_1"/>
    <w:basedOn w:val="2"/>
    <w:next w:val="14"/>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8">
    <w:name w:val="HTML Preformatted Char"/>
    <w:basedOn w:val="11"/>
    <w:link w:val="30"/>
    <w:semiHidden/>
    <w:qFormat/>
    <w:uiPriority w:val="99"/>
    <w:rPr>
      <w:rFonts w:ascii="ＭＳ ゴシック" w:hAnsi="ＭＳ ゴシック" w:eastAsia="ＭＳ ゴシック" w:cs="ＭＳ ゴシック"/>
      <w:sz w:val="24"/>
      <w:szCs w:val="24"/>
    </w:rPr>
  </w:style>
  <w:style w:type="paragraph" w:customStyle="1" w:styleId="149">
    <w:name w:val="List Paragraph1"/>
    <w:basedOn w:val="1"/>
    <w:link w:val="173"/>
    <w:qFormat/>
    <w:uiPriority w:val="34"/>
    <w:pPr>
      <w:spacing w:after="120"/>
      <w:ind w:left="720" w:hanging="360"/>
      <w:jc w:val="both"/>
    </w:pPr>
    <w:rPr>
      <w:rFonts w:eastAsia="Calibri"/>
      <w:sz w:val="20"/>
      <w:szCs w:val="22"/>
      <w:lang w:eastAsia="en-US"/>
    </w:rPr>
  </w:style>
  <w:style w:type="paragraph" w:customStyle="1" w:styleId="150">
    <w:name w:val="3GPP Text"/>
    <w:basedOn w:val="1"/>
    <w:link w:val="151"/>
    <w:qFormat/>
    <w:uiPriority w:val="0"/>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151">
    <w:name w:val="3GPP Text Char"/>
    <w:link w:val="150"/>
    <w:qFormat/>
    <w:uiPriority w:val="0"/>
    <w:rPr>
      <w:rFonts w:ascii="Times New Roman" w:hAnsi="Times New Roman" w:eastAsia="SimSun"/>
      <w:sz w:val="22"/>
      <w:lang w:eastAsia="en-US"/>
    </w:rPr>
  </w:style>
  <w:style w:type="character" w:customStyle="1" w:styleId="152">
    <w:name w:val="Proposal Char"/>
    <w:basedOn w:val="11"/>
    <w:link w:val="138"/>
    <w:qFormat/>
    <w:uiPriority w:val="0"/>
    <w:rPr>
      <w:rFonts w:ascii="Arial" w:hAnsi="Arial" w:eastAsiaTheme="minorEastAsia" w:cstheme="minorBidi"/>
      <w:b/>
      <w:bCs/>
      <w:kern w:val="2"/>
      <w:sz w:val="21"/>
      <w:szCs w:val="22"/>
      <w:lang w:eastAsia="zh-CN"/>
    </w:rPr>
  </w:style>
  <w:style w:type="character" w:customStyle="1" w:styleId="153">
    <w:name w:val="Body Text Char"/>
    <w:basedOn w:val="11"/>
    <w:link w:val="14"/>
    <w:qFormat/>
    <w:uiPriority w:val="0"/>
    <w:rPr>
      <w:rFonts w:ascii="Times New Roman" w:hAnsi="Times New Roman" w:eastAsia="ＭＳ ゴシック"/>
      <w:sz w:val="24"/>
      <w:lang w:val="en-GB"/>
    </w:rPr>
  </w:style>
  <w:style w:type="table" w:customStyle="1" w:styleId="154">
    <w:name w:val="Table Grid7"/>
    <w:basedOn w:val="12"/>
    <w:qFormat/>
    <w:uiPriority w:val="39"/>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3GPP Agreements"/>
    <w:basedOn w:val="1"/>
    <w:link w:val="156"/>
    <w:qFormat/>
    <w:uiPriority w:val="0"/>
    <w:pPr>
      <w:numPr>
        <w:ilvl w:val="0"/>
        <w:numId w:val="9"/>
      </w:numPr>
      <w:autoSpaceDE w:val="0"/>
      <w:autoSpaceDN w:val="0"/>
      <w:adjustRightInd w:val="0"/>
      <w:snapToGrid w:val="0"/>
      <w:spacing w:after="120"/>
      <w:jc w:val="both"/>
    </w:pPr>
    <w:rPr>
      <w:rFonts w:eastAsia="SimSun"/>
      <w:sz w:val="22"/>
      <w:szCs w:val="22"/>
      <w:lang w:val="en-US" w:eastAsia="en-US"/>
    </w:rPr>
  </w:style>
  <w:style w:type="character" w:customStyle="1" w:styleId="156">
    <w:name w:val="3GPP Agreements Char"/>
    <w:link w:val="155"/>
    <w:qFormat/>
    <w:uiPriority w:val="0"/>
    <w:rPr>
      <w:rFonts w:eastAsia="SimSun"/>
      <w:sz w:val="22"/>
      <w:szCs w:val="22"/>
      <w:lang w:eastAsia="en-US"/>
    </w:rPr>
  </w:style>
  <w:style w:type="character" w:customStyle="1" w:styleId="157">
    <w:name w:val="Heading 2 Char"/>
    <w:basedOn w:val="11"/>
    <w:link w:val="3"/>
    <w:qFormat/>
    <w:uiPriority w:val="0"/>
    <w:rPr>
      <w:rFonts w:ascii="Arial" w:hAnsi="Arial" w:eastAsia="ＭＳ ゴシック"/>
      <w:sz w:val="24"/>
      <w:lang w:val="en-GB"/>
    </w:rPr>
  </w:style>
  <w:style w:type="paragraph" w:customStyle="1" w:styleId="158">
    <w:name w:val="tablecell"/>
    <w:basedOn w:val="1"/>
    <w:qFormat/>
    <w:uiPriority w:val="0"/>
    <w:pPr>
      <w:overflowPunct w:val="0"/>
      <w:autoSpaceDE w:val="0"/>
      <w:autoSpaceDN w:val="0"/>
      <w:adjustRightInd w:val="0"/>
      <w:spacing w:before="20" w:after="20" w:line="240" w:lineRule="auto"/>
    </w:pPr>
    <w:rPr>
      <w:rFonts w:eastAsia="Malgun Gothic"/>
      <w:sz w:val="20"/>
      <w:lang w:val="en-US" w:eastAsia="en-GB"/>
    </w:rPr>
  </w:style>
  <w:style w:type="character" w:customStyle="1" w:styleId="159">
    <w:name w:val="eop"/>
    <w:basedOn w:val="11"/>
    <w:qFormat/>
    <w:uiPriority w:val="0"/>
  </w:style>
  <w:style w:type="character" w:customStyle="1" w:styleId="160">
    <w:name w:val="Footer Char"/>
    <w:link w:val="26"/>
    <w:qFormat/>
    <w:uiPriority w:val="0"/>
    <w:rPr>
      <w:rFonts w:eastAsia="ＭＳ ゴシック"/>
      <w:sz w:val="24"/>
      <w:lang w:val="de-DE" w:eastAsia="ja-JP"/>
    </w:rPr>
  </w:style>
  <w:style w:type="paragraph" w:customStyle="1" w:styleId="161">
    <w:name w:val="编号2"/>
    <w:basedOn w:val="1"/>
    <w:qFormat/>
    <w:uiPriority w:val="0"/>
    <w:pPr>
      <w:numPr>
        <w:ilvl w:val="0"/>
        <w:numId w:val="10"/>
      </w:numPr>
      <w:tabs>
        <w:tab w:val="left" w:pos="704"/>
        <w:tab w:val="clear" w:pos="840"/>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162">
    <w:name w:val="PL Char"/>
    <w:link w:val="113"/>
    <w:qFormat/>
    <w:uiPriority w:val="0"/>
    <w:rPr>
      <w:rFonts w:ascii="Courier New" w:hAnsi="Courier New" w:eastAsiaTheme="minorEastAsia"/>
      <w:sz w:val="16"/>
      <w:lang w:val="en-GB" w:eastAsia="en-US"/>
    </w:rPr>
  </w:style>
  <w:style w:type="character" w:customStyle="1" w:styleId="163">
    <w:name w:val="Caption Char1"/>
    <w:link w:val="18"/>
    <w:qFormat/>
    <w:uiPriority w:val="35"/>
    <w:rPr>
      <w:rFonts w:eastAsia="ＭＳ ゴシック"/>
      <w:b/>
      <w:sz w:val="24"/>
      <w:lang w:val="en-GB" w:eastAsia="ja-JP"/>
    </w:rPr>
  </w:style>
  <w:style w:type="paragraph" w:customStyle="1" w:styleId="164">
    <w:name w:val="목록 단락1"/>
    <w:basedOn w:val="1"/>
    <w:qFormat/>
    <w:uiPriority w:val="34"/>
    <w:pPr>
      <w:ind w:left="840" w:leftChars="400"/>
    </w:pPr>
    <w:rPr>
      <w:rFonts w:ascii="ＭＳ ゴシック" w:hAnsi="ＭＳ ゴシック"/>
      <w:sz w:val="20"/>
      <w:lang w:val="en-US" w:eastAsia="zh-CN"/>
    </w:rPr>
  </w:style>
  <w:style w:type="character" w:customStyle="1" w:styleId="165">
    <w:name w:val="apple-converted-space"/>
    <w:qFormat/>
    <w:uiPriority w:val="0"/>
  </w:style>
  <w:style w:type="character" w:customStyle="1" w:styleId="166">
    <w:name w:val="リスト段落 (文字)1"/>
    <w:qFormat/>
    <w:locked/>
    <w:uiPriority w:val="34"/>
    <w:rPr>
      <w:rFonts w:eastAsia="SimSun"/>
      <w:lang w:val="en-GB" w:eastAsia="en-US"/>
    </w:rPr>
  </w:style>
  <w:style w:type="character" w:customStyle="1" w:styleId="167">
    <w:name w:val="normaltextrun"/>
    <w:basedOn w:val="11"/>
    <w:qFormat/>
    <w:uiPriority w:val="0"/>
  </w:style>
  <w:style w:type="character" w:customStyle="1" w:styleId="168">
    <w:name w:val="TAN Char"/>
    <w:link w:val="124"/>
    <w:qFormat/>
    <w:locked/>
    <w:uiPriority w:val="0"/>
    <w:rPr>
      <w:rFonts w:ascii="Arial" w:hAnsi="Arial" w:eastAsiaTheme="minorEastAsia"/>
      <w:sz w:val="18"/>
      <w:lang w:val="en-GB" w:eastAsia="en-US"/>
    </w:rPr>
  </w:style>
  <w:style w:type="character" w:customStyle="1" w:styleId="169">
    <w:name w:val="Unresolved Mention1"/>
    <w:basedOn w:val="11"/>
    <w:unhideWhenUsed/>
    <w:qFormat/>
    <w:uiPriority w:val="99"/>
    <w:rPr>
      <w:color w:val="605E5C"/>
      <w:shd w:val="clear" w:color="auto" w:fill="E1DFDD"/>
    </w:rPr>
  </w:style>
  <w:style w:type="character" w:customStyle="1" w:styleId="170">
    <w:name w:val="Mention1"/>
    <w:basedOn w:val="11"/>
    <w:unhideWhenUsed/>
    <w:qFormat/>
    <w:uiPriority w:val="99"/>
    <w:rPr>
      <w:color w:val="2B579A"/>
      <w:shd w:val="clear" w:color="auto" w:fill="E1DFDD"/>
    </w:rPr>
  </w:style>
  <w:style w:type="paragraph" w:customStyle="1" w:styleId="171">
    <w:name w:val="b1"/>
    <w:basedOn w:val="1"/>
    <w:qFormat/>
    <w:uiPriority w:val="0"/>
    <w:pPr>
      <w:spacing w:before="100" w:beforeAutospacing="1" w:after="100" w:afterAutospacing="1" w:line="240" w:lineRule="auto"/>
    </w:pPr>
    <w:rPr>
      <w:rFonts w:ascii="Calibri" w:hAnsi="Calibri" w:cs="Calibri" w:eastAsiaTheme="minorEastAsia"/>
      <w:sz w:val="22"/>
      <w:szCs w:val="22"/>
      <w:lang w:eastAsia="zh-CN"/>
    </w:rPr>
  </w:style>
  <w:style w:type="character" w:customStyle="1" w:styleId="172">
    <w:name w:val="msoins"/>
    <w:basedOn w:val="11"/>
    <w:qFormat/>
    <w:uiPriority w:val="0"/>
  </w:style>
  <w:style w:type="character" w:customStyle="1" w:styleId="173">
    <w:name w:val="リスト段落 (文字)"/>
    <w:link w:val="149"/>
    <w:qFormat/>
    <w:uiPriority w:val="34"/>
    <w:rPr>
      <w:rFonts w:eastAsia="Calibri"/>
      <w:szCs w:val="22"/>
      <w:lang w:val="en-GB" w:eastAsia="en-US"/>
    </w:rPr>
  </w:style>
  <w:style w:type="paragraph" w:customStyle="1" w:styleId="174">
    <w:name w:val="標準1"/>
    <w:qFormat/>
    <w:uiPriority w:val="0"/>
    <w:pPr>
      <w:jc w:val="both"/>
    </w:pPr>
    <w:rPr>
      <w:rFonts w:ascii="Times New Roman" w:hAnsi="Times New Roman" w:eastAsia="SimSun" w:cs="Times New Roman"/>
      <w:kern w:val="2"/>
      <w:sz w:val="21"/>
      <w:szCs w:val="21"/>
      <w:lang w:val="en-US" w:eastAsia="zh-CN" w:bidi="ar-SA"/>
    </w:rPr>
  </w:style>
  <w:style w:type="paragraph" w:customStyle="1" w:styleId="175">
    <w:name w:val="Agreement"/>
    <w:basedOn w:val="1"/>
    <w:next w:val="1"/>
    <w:qFormat/>
    <w:uiPriority w:val="99"/>
    <w:pPr>
      <w:widowControl w:val="0"/>
      <w:numPr>
        <w:ilvl w:val="0"/>
        <w:numId w:val="11"/>
      </w:numPr>
      <w:spacing w:before="60" w:after="0" w:line="240" w:lineRule="auto"/>
      <w:jc w:val="both"/>
    </w:pPr>
    <w:rPr>
      <w:rFonts w:ascii="Arial" w:hAnsi="Arial" w:eastAsia="ＭＳ 明朝" w:cstheme="minorBidi"/>
      <w:b/>
      <w:kern w:val="2"/>
      <w:sz w:val="21"/>
      <w:szCs w:val="24"/>
      <w:lang w:val="en-US"/>
    </w:rPr>
  </w:style>
  <w:style w:type="paragraph" w:customStyle="1" w:styleId="176">
    <w:name w:val="スタイル1"/>
    <w:basedOn w:val="1"/>
    <w:link w:val="177"/>
    <w:qFormat/>
    <w:uiPriority w:val="0"/>
    <w:pPr>
      <w:spacing w:after="120" w:afterLines="50"/>
      <w:jc w:val="both"/>
    </w:pPr>
    <w:rPr>
      <w:rFonts w:eastAsiaTheme="minorEastAsia"/>
      <w:b/>
      <w:bCs/>
      <w:sz w:val="32"/>
      <w:szCs w:val="22"/>
    </w:rPr>
  </w:style>
  <w:style w:type="character" w:customStyle="1" w:styleId="177">
    <w:name w:val="スタイル1 (文字)"/>
    <w:basedOn w:val="11"/>
    <w:link w:val="176"/>
    <w:qFormat/>
    <w:uiPriority w:val="0"/>
    <w:rPr>
      <w:rFonts w:eastAsiaTheme="minorEastAsia"/>
      <w:b/>
      <w:bCs/>
      <w:sz w:val="32"/>
      <w:szCs w:val="22"/>
      <w:lang w:eastAsia="ja-JP"/>
    </w:rPr>
  </w:style>
  <w:style w:type="paragraph" w:customStyle="1" w:styleId="178">
    <w:name w:val="수정1"/>
    <w:hidden/>
    <w:semiHidden/>
    <w:qFormat/>
    <w:uiPriority w:val="99"/>
    <w:rPr>
      <w:rFonts w:ascii="Times New Roman" w:hAnsi="Times New Roman" w:eastAsia="ＭＳ ゴシック" w:cs="Times New Roman"/>
      <w:sz w:val="24"/>
      <w:lang w:val="en-GB" w:eastAsia="ja-JP" w:bidi="ar-SA"/>
    </w:rPr>
  </w:style>
  <w:style w:type="character" w:customStyle="1" w:styleId="179">
    <w:name w:val="Heading 3 Char"/>
    <w:basedOn w:val="11"/>
    <w:link w:val="4"/>
    <w:qFormat/>
    <w:uiPriority w:val="99"/>
    <w:rPr>
      <w:rFonts w:ascii="Arial" w:hAnsi="Arial" w:eastAsia="ＭＳ ゴシック"/>
      <w:sz w:val="24"/>
      <w:lang w:eastAsia="ja-JP"/>
    </w:rPr>
  </w:style>
  <w:style w:type="paragraph" w:styleId="180">
    <w:name w:val="No Spacing"/>
    <w:qFormat/>
    <w:uiPriority w:val="1"/>
    <w:rPr>
      <w:rFonts w:ascii="Calibri" w:hAnsi="Calibri" w:eastAsia="SimSun" w:cs="Times New Roman"/>
      <w:sz w:val="22"/>
      <w:szCs w:val="22"/>
      <w:lang w:val="en-US" w:eastAsia="zh-CN" w:bidi="ar-SA"/>
    </w:rPr>
  </w:style>
  <w:style w:type="character" w:customStyle="1" w:styleId="181">
    <w:name w:val="EQ Char"/>
    <w:link w:val="62"/>
    <w:qFormat/>
    <w:locked/>
    <w:uiPriority w:val="0"/>
    <w:rPr>
      <w:rFonts w:eastAsia="ＭＳ ゴシック"/>
      <w:sz w:val="24"/>
      <w:lang w:val="en-GB" w:eastAsia="ja-JP"/>
    </w:rPr>
  </w:style>
  <w:style w:type="table" w:customStyle="1" w:styleId="182">
    <w:name w:val="TableGrid1"/>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3">
    <w:name w:val="TableGrid11"/>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NTTDoCoMo</Company>
  <Pages>20</Pages>
  <Words>8101</Words>
  <Characters>46182</Characters>
  <Lines>384</Lines>
  <Paragraphs>108</Paragraphs>
  <TotalTime>3</TotalTime>
  <ScaleCrop>false</ScaleCrop>
  <LinksUpToDate>false</LinksUpToDate>
  <CharactersWithSpaces>54175</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2024-08-15T18:51:00Z</dcterms:created>
  <dc:creator>USUDA</dc:creator>
  <cp:lastModifiedBy>wfzhang</cp:lastModifiedBy>
  <cp:lastPrinted>2017-08-08T16:40:00Z</cp:lastPrinted>
  <dcterms:modified xsi:type="dcterms:W3CDTF">2024-08-17T02:04:17Z</dcterms:modified>
  <dc:title>TSG-RAN Working Group 1 Meeting #26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1033-11.1.0.11720</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