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5</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r>
              <w:rPr>
                <w:rFonts w:hint="eastAsia" w:eastAsia="宋体"/>
                <w:sz w:val="32"/>
                <w:lang w:val="en-US" w:eastAsia="zh-CN"/>
              </w:rPr>
              <w:t>08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bookmarkStart w:id="6" w:name="specTitle"/>
            <w:r>
              <w:t>Technical Specification Group Services and System Aspects;</w:t>
            </w:r>
          </w:p>
          <w:p>
            <w:pPr>
              <w:pStyle w:val="116"/>
              <w:framePr w:wrap="auto" w:vAnchor="margin" w:hAnchor="text" w:yAlign="inline"/>
            </w:pPr>
            <w:r>
              <w:t>Management and orchestration;</w:t>
            </w:r>
          </w:p>
          <w:p>
            <w:pPr>
              <w:pStyle w:val="116"/>
              <w:framePr w:wrap="auto" w:vAnchor="margin" w:hAnchor="text" w:yAlign="inline"/>
            </w:pPr>
            <w:r>
              <w:rPr>
                <w:rFonts w:hint="eastAsia"/>
              </w:rPr>
              <w:t xml:space="preserve">Self-configuration of Radio Access Network </w:t>
            </w:r>
            <w:r>
              <w:rPr>
                <w:rFonts w:hint="eastAsia" w:eastAsiaTheme="minorEastAsia"/>
                <w:lang w:eastAsia="zh-CN"/>
              </w:rPr>
              <w:t>e</w:t>
            </w:r>
            <w:r>
              <w:rPr>
                <w:rFonts w:hint="eastAsia"/>
              </w:rPr>
              <w:t>ntities</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1531" w:hRule="exact"/>
        </w:trPr>
        <w:tc>
          <w:tcPr>
            <w:tcW w:w="4883" w:type="dxa"/>
            <w:shd w:val="clear" w:color="auto" w:fill="auto"/>
          </w:tcPr>
          <w:p>
            <w:r>
              <w:rPr>
                <w:i/>
                <w:lang w:val="en-US"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cstate="print"/>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20"/>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2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9</w:t>
      </w:r>
      <w:r>
        <w:fldChar w:fldCharType="end"/>
      </w:r>
    </w:p>
    <w:p>
      <w:pPr>
        <w:pStyle w:val="53"/>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10</w:t>
      </w:r>
      <w:r>
        <w:fldChar w:fldCharType="end"/>
      </w:r>
    </w:p>
    <w:p>
      <w:pPr>
        <w:pStyle w:val="53"/>
        <w:rPr>
          <w:rFonts w:asciiTheme="minorHAnsi" w:hAnsiTheme="minorHAnsi" w:eastAsiaTheme="minorEastAsia" w:cstheme="minorBidi"/>
          <w:b w:val="0"/>
          <w:kern w:val="2"/>
          <w:sz w:val="21"/>
          <w:szCs w:val="22"/>
          <w:lang w:val="en-US" w:eastAsia="zh-CN"/>
        </w:rPr>
      </w:pPr>
    </w:p>
    <w:p>
      <w:r>
        <w:fldChar w:fldCharType="end"/>
      </w:r>
    </w:p>
    <w:p>
      <w:pPr>
        <w:pStyle w:val="129"/>
      </w:pPr>
      <w:r>
        <w:br w:type="page"/>
      </w:r>
    </w:p>
    <w:p>
      <w:pPr>
        <w:pStyle w:val="3"/>
      </w:pPr>
      <w:bookmarkStart w:id="16" w:name="foreword"/>
      <w:bookmarkEnd w:id="16"/>
      <w:bookmarkStart w:id="17" w:name="_Toc119998284"/>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bookmarkStart w:id="20" w:name="_Toc119998285"/>
      <w:r>
        <w:t>Introduction</w:t>
      </w:r>
      <w:bookmarkEnd w:id="20"/>
    </w:p>
    <w:p>
      <w:pPr>
        <w:pStyle w:val="3"/>
      </w:pPr>
      <w:r>
        <w:br w:type="page"/>
      </w:r>
      <w:bookmarkStart w:id="21" w:name="scope"/>
      <w:bookmarkEnd w:id="21"/>
      <w:bookmarkStart w:id="22" w:name="_Toc119998286"/>
      <w:bookmarkStart w:id="23" w:name="_Hlk98856090"/>
      <w:r>
        <w:t>1</w:t>
      </w:r>
      <w:r>
        <w:tab/>
      </w:r>
      <w:r>
        <w:t>Scope</w:t>
      </w:r>
      <w:bookmarkEnd w:id="22"/>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3"/>
      </w:pPr>
      <w:bookmarkStart w:id="24" w:name="references"/>
      <w:bookmarkEnd w:id="24"/>
      <w:bookmarkStart w:id="25" w:name="_Toc119998287"/>
      <w:r>
        <w:t>2</w:t>
      </w:r>
      <w:r>
        <w:tab/>
      </w:r>
      <w:r>
        <w:t>References</w:t>
      </w:r>
      <w:bookmarkEnd w:id="25"/>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107"/>
        <w:rPr>
          <w:rFonts w:hint="default" w:eastAsia="宋体"/>
          <w:lang w:val="en-US" w:eastAsia="zh-CN"/>
        </w:rPr>
      </w:pPr>
      <w:r>
        <w:rPr>
          <w:rFonts w:hint="eastAsia" w:eastAsia="宋体"/>
          <w:lang w:val="en-US" w:eastAsia="zh-CN"/>
        </w:rPr>
        <w:t>[3]</w:t>
      </w:r>
      <w:r>
        <w:rPr>
          <w:rFonts w:hint="eastAsia" w:eastAsia="宋体"/>
          <w:lang w:val="en-US" w:eastAsia="zh-CN"/>
        </w:rPr>
        <w:tab/>
      </w:r>
      <w:r>
        <w:rPr>
          <w:rFonts w:hint="eastAsia"/>
          <w:lang w:val="en-US" w:eastAsia="zh-CN"/>
        </w:rPr>
        <w:t xml:space="preserve">3GPP TS 28.532 </w:t>
      </w:r>
      <w:r>
        <w:rPr>
          <w:rFonts w:hint="eastAsia"/>
          <w:lang w:eastAsia="zh-CN"/>
        </w:rPr>
        <w:t>Management and orchestration; Generic management services</w:t>
      </w:r>
    </w:p>
    <w:p>
      <w:pPr>
        <w:pStyle w:val="107"/>
      </w:pPr>
      <w:r>
        <w:t>…</w:t>
      </w:r>
    </w:p>
    <w:p>
      <w:pPr>
        <w:pStyle w:val="3"/>
      </w:pPr>
      <w:bookmarkStart w:id="26" w:name="definitions"/>
      <w:bookmarkEnd w:id="26"/>
      <w:bookmarkStart w:id="27" w:name="_Toc119998288"/>
      <w:r>
        <w:t>3</w:t>
      </w:r>
      <w:r>
        <w:tab/>
      </w:r>
      <w:r>
        <w:t>Definitions of terms, symbols and abbreviations</w:t>
      </w:r>
      <w:bookmarkEnd w:id="27"/>
    </w:p>
    <w:p>
      <w:pPr>
        <w:pStyle w:val="4"/>
      </w:pPr>
      <w:bookmarkStart w:id="28" w:name="_Toc119998289"/>
      <w:r>
        <w:t>3.1</w:t>
      </w:r>
      <w:r>
        <w:tab/>
      </w:r>
      <w:r>
        <w:t>Terms</w:t>
      </w:r>
      <w:bookmarkEnd w:id="28"/>
    </w:p>
    <w:p>
      <w:r>
        <w:t>For the purposes of the present document, the terms given in 3GPP TR 21.905 [1] and the following apply. A term defined in the present document takes precedence over the definition of the same term, if any, in 3GPP TR 21.905 [1].</w:t>
      </w:r>
    </w:p>
    <w:p>
      <w:pPr>
        <w:rPr>
          <w:b/>
          <w:bCs/>
          <w:lang w:eastAsia="zh-CN"/>
        </w:rPr>
      </w:pPr>
      <w:r>
        <w:rPr>
          <w:b/>
        </w:rPr>
        <w:t>RAN NE Self-Configuration:</w:t>
      </w:r>
      <w:r>
        <w:t xml:space="preserve"> The process which brings a RAN network element into service requiring minimal human operator intervention or none at all.</w:t>
      </w:r>
    </w:p>
    <w:p/>
    <w:p>
      <w:pPr>
        <w:pStyle w:val="4"/>
      </w:pPr>
      <w:bookmarkStart w:id="29" w:name="_Toc119998290"/>
      <w:r>
        <w:t>3.2</w:t>
      </w:r>
      <w:r>
        <w:tab/>
      </w:r>
      <w:r>
        <w:t>Symbols</w:t>
      </w:r>
      <w:bookmarkEnd w:id="29"/>
    </w:p>
    <w:p>
      <w:pPr>
        <w:keepNext/>
      </w:pPr>
      <w:r>
        <w:t>For the purposes of the present document, the following symbols apply:</w:t>
      </w:r>
    </w:p>
    <w:p>
      <w:pPr>
        <w:pStyle w:val="110"/>
      </w:pPr>
    </w:p>
    <w:p>
      <w:pPr>
        <w:pStyle w:val="4"/>
      </w:pPr>
      <w:bookmarkStart w:id="30" w:name="_Toc119998291"/>
      <w:r>
        <w:t>3.3</w:t>
      </w:r>
      <w:r>
        <w:tab/>
      </w:r>
      <w:r>
        <w:t>Abbreviations</w:t>
      </w:r>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23"/>
    <w:p>
      <w:pPr>
        <w:rPr>
          <w:lang w:val="en-US" w:eastAsia="zh-CN"/>
        </w:rPr>
      </w:pPr>
      <w:bookmarkStart w:id="31" w:name="clause4"/>
      <w:bookmarkEnd w:id="31"/>
    </w:p>
    <w:p>
      <w:pPr>
        <w:pStyle w:val="3"/>
        <w:numPr>
          <w:ilvl w:val="0"/>
          <w:numId w:val="11"/>
        </w:numPr>
        <w:ind w:left="360" w:hanging="360"/>
        <w:rPr>
          <w:lang w:val="en-US" w:eastAsia="zh-CN"/>
        </w:rPr>
      </w:pPr>
      <w:bookmarkStart w:id="32" w:name="_Toc119998292"/>
      <w:bookmarkStart w:id="33" w:name="_Toc98325834"/>
      <w:bookmarkStart w:id="52" w:name="_GoBack"/>
      <w:bookmarkEnd w:id="52"/>
      <w:r>
        <w:rPr>
          <w:rFonts w:hint="eastAsia"/>
          <w:lang w:val="en-US" w:eastAsia="zh-CN"/>
        </w:rPr>
        <w:t>Concept</w:t>
      </w:r>
      <w:r>
        <w:rPr>
          <w:lang w:val="en-US" w:eastAsia="zh-CN"/>
        </w:rPr>
        <w:t xml:space="preserve"> and Background</w:t>
      </w:r>
      <w:bookmarkEnd w:id="32"/>
    </w:p>
    <w:bookmarkEnd w:id="33"/>
    <w:p>
      <w:pPr>
        <w:pStyle w:val="4"/>
        <w:ind w:left="0" w:firstLine="0"/>
        <w:rPr>
          <w:lang w:val="en-US" w:eastAsia="zh-CN"/>
        </w:rPr>
      </w:pPr>
      <w:bookmarkStart w:id="34" w:name="_Toc119998293"/>
      <w:r>
        <w:rPr>
          <w:lang w:val="en-US" w:eastAsia="zh-CN"/>
        </w:rPr>
        <w:t>4.</w:t>
      </w:r>
      <w:r>
        <w:rPr>
          <w:rFonts w:hint="eastAsia"/>
          <w:lang w:val="en-US" w:eastAsia="zh-CN"/>
        </w:rPr>
        <w:t>1</w:t>
      </w:r>
      <w:r>
        <w:rPr>
          <w:lang w:val="en-US" w:eastAsia="zh-CN"/>
        </w:rPr>
        <w:tab/>
      </w:r>
      <w:r>
        <w:rPr>
          <w:rFonts w:hint="eastAsia"/>
          <w:lang w:val="en-US" w:eastAsia="zh-CN"/>
        </w:rPr>
        <w:t>Background</w:t>
      </w:r>
      <w:bookmarkEnd w:id="3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112"/>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4"/>
        <w:rPr>
          <w:lang w:val="en-US" w:eastAsia="zh-CN"/>
        </w:rPr>
      </w:pPr>
      <w:bookmarkStart w:id="35" w:name="_Toc119998294"/>
      <w:r>
        <w:rPr>
          <w:rFonts w:hint="eastAsia"/>
          <w:lang w:val="en-US" w:eastAsia="zh-CN"/>
        </w:rPr>
        <w:t>4.2</w:t>
      </w:r>
      <w:r>
        <w:rPr>
          <w:lang w:val="en-US" w:eastAsia="zh-CN"/>
        </w:rPr>
        <w:t xml:space="preserve"> Self-configuration</w:t>
      </w:r>
      <w:bookmarkEnd w:id="35"/>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4"/>
        <w:ind w:left="0" w:firstLine="0"/>
        <w:rPr>
          <w:lang w:val="en-US" w:eastAsia="zh-CN"/>
        </w:rPr>
      </w:pPr>
      <w:bookmarkStart w:id="36" w:name="_Toc119998295"/>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36"/>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rPr>
          <w:lang w:val="en-US" w:eastAsia="zh-CN"/>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3"/>
        <w:numPr>
          <w:ilvl w:val="0"/>
          <w:numId w:val="1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pPr>
        <w:pStyle w:val="5"/>
        <w:rPr>
          <w:lang w:val="en-US" w:eastAsia="zh-CN"/>
        </w:rPr>
      </w:pPr>
      <w:bookmarkStart w:id="39" w:name="_Toc11999829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39"/>
    </w:p>
    <w:p>
      <w:pPr>
        <w:pStyle w:val="6"/>
        <w:rPr>
          <w:lang w:val="en-US" w:eastAsia="zh-CN"/>
        </w:rPr>
      </w:pPr>
      <w:bookmarkStart w:id="40" w:name="_Toc119998298"/>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4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6"/>
        <w:numPr>
          <w:ilvl w:val="255"/>
          <w:numId w:val="0"/>
        </w:numPr>
        <w:rPr>
          <w:lang w:val="en-US" w:eastAsia="zh-CN"/>
        </w:rPr>
      </w:pPr>
      <w:bookmarkStart w:id="41" w:name="_Toc119998299"/>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41"/>
    </w:p>
    <w:tbl>
      <w:tblPr>
        <w:tblStyle w:val="89"/>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545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Requirement label</w:t>
            </w:r>
          </w:p>
        </w:tc>
        <w:tc>
          <w:tcPr>
            <w:tcW w:w="5456"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Description</w:t>
            </w:r>
          </w:p>
        </w:tc>
        <w:tc>
          <w:tcPr>
            <w:tcW w:w="1837" w:type="dxa"/>
            <w:tcBorders>
              <w:top w:val="single" w:color="auto" w:sz="4" w:space="0"/>
              <w:left w:val="single" w:color="auto" w:sz="4" w:space="0"/>
              <w:bottom w:val="single" w:color="auto" w:sz="4" w:space="0"/>
              <w:right w:val="single" w:color="auto" w:sz="4" w:space="0"/>
            </w:tcBorders>
          </w:tcPr>
          <w:p>
            <w:pPr>
              <w:pStyle w:val="104"/>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34"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b/>
                <w:lang w:val="en-US" w:eastAsia="zh-CN"/>
              </w:rPr>
              <w:t>REQ-RANSC_Mgmt-1</w:t>
            </w:r>
          </w:p>
        </w:tc>
        <w:tc>
          <w:tcPr>
            <w:tcW w:w="5456"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The RANSC MnS producer shall have the capability to allow the authorized MnS consumers to request to create and activate a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REQ-RANSC_Mgmt-2</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allow the authorized MnS consumers to request to query the list of ongoing Self-configuration processes.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REQ-RANSC_Mgmt-3</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report the step information of a self-configuration process to the authorized MnS consumers.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REQ-RANSC_Mgmt-4</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rFonts w:hint="eastAsia"/>
                <w:lang w:val="en-US" w:eastAsia="zh-CN"/>
              </w:rPr>
              <w:t>should</w:t>
            </w:r>
            <w:r>
              <w:rPr>
                <w:lang w:val="en-US" w:eastAsia="zh-CN"/>
              </w:rPr>
              <w:t xml:space="preserve"> have the capability to report abnormal information to the authorized MnS consumers when detected.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REQ-RANSC_Mgmt-5</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inform the authorized MnS consumers the result (success or failure) of the self-configuration process when the process is finished.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REQ-RANSC_Mgmt-6</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query the progress (e.g. step information) of the self-configuration process when needed.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REQ-RANSC_Mgmt-7</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terminate an ongoing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REQ-RANSC_Mgmt-8</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 xml:space="preserve">MnS producer </w:t>
            </w:r>
            <w:r>
              <w:rPr>
                <w:rFonts w:hint="eastAsia"/>
                <w:lang w:val="en-US" w:eastAsia="zh-CN"/>
              </w:rPr>
              <w:t>should</w:t>
            </w:r>
            <w:r>
              <w:rPr>
                <w:lang w:val="en-US" w:eastAsia="zh-CN"/>
              </w:rPr>
              <w:t xml:space="preserve"> have the capability to inform the authorized MnS consumers the information that it has deleted the self-configuration process automatically.</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bl>
    <w:p>
      <w:pPr>
        <w:rPr>
          <w:lang w:val="en-US" w:eastAsia="zh-CN"/>
        </w:rPr>
      </w:pPr>
    </w:p>
    <w:p>
      <w:pPr>
        <w:pStyle w:val="112"/>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3"/>
        <w:numPr>
          <w:ilvl w:val="0"/>
          <w:numId w:val="11"/>
        </w:numPr>
        <w:ind w:left="360" w:hanging="360"/>
        <w:rPr>
          <w:lang w:val="en-US" w:eastAsia="zh-CN"/>
        </w:rPr>
      </w:pPr>
      <w:bookmarkStart w:id="42" w:name="_Toc98325841"/>
      <w:bookmarkStart w:id="43" w:name="_Toc119998300"/>
      <w:r>
        <w:rPr>
          <w:rFonts w:hint="eastAsia"/>
          <w:lang w:val="en-US" w:eastAsia="zh-CN"/>
        </w:rPr>
        <w:t>Stage 2 definition</w:t>
      </w:r>
      <w:bookmarkEnd w:id="42"/>
      <w:bookmarkEnd w:id="43"/>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3"/>
        <w:numPr>
          <w:ilvl w:val="0"/>
          <w:numId w:val="11"/>
        </w:numPr>
        <w:ind w:left="360" w:hanging="360"/>
        <w:rPr>
          <w:lang w:val="en-US" w:eastAsia="zh-CN"/>
        </w:rPr>
      </w:pPr>
      <w:bookmarkStart w:id="44" w:name="_Toc119998301"/>
      <w:r>
        <w:rPr>
          <w:rFonts w:hint="eastAsia"/>
          <w:lang w:val="en-US" w:eastAsia="zh-CN"/>
        </w:rPr>
        <w:t>Stage 3 definition</w:t>
      </w:r>
      <w:bookmarkEnd w:id="44"/>
    </w:p>
    <w:p/>
    <w:p/>
    <w:p/>
    <w:p/>
    <w:p>
      <w:pPr>
        <w:pStyle w:val="3"/>
        <w:numPr>
          <w:ilvl w:val="0"/>
          <w:numId w:val="11"/>
        </w:numPr>
        <w:ind w:left="360" w:hanging="360"/>
        <w:rPr>
          <w:lang w:val="en-US" w:eastAsia="zh-CN"/>
        </w:rPr>
      </w:pPr>
      <w:bookmarkStart w:id="45" w:name="_Toc119998302"/>
      <w:r>
        <w:rPr>
          <w:rFonts w:hint="eastAsia"/>
          <w:lang w:val="en-US" w:eastAsia="zh-CN"/>
        </w:rPr>
        <w:t>P</w:t>
      </w:r>
      <w:r>
        <w:rPr>
          <w:lang w:val="en-US" w:eastAsia="zh-CN"/>
        </w:rPr>
        <w:t>rocedure for Self-establishment</w:t>
      </w:r>
      <w:bookmarkEnd w:id="45"/>
    </w:p>
    <w:p>
      <w:pPr>
        <w:pStyle w:val="4"/>
        <w:rPr>
          <w:lang w:val="en-US" w:eastAsia="zh-CN"/>
        </w:rPr>
      </w:pPr>
      <w:r>
        <w:rPr>
          <w:rFonts w:hint="eastAsia"/>
          <w:lang w:val="en-US" w:eastAsia="zh-CN"/>
        </w:rPr>
        <w:t>8</w:t>
      </w:r>
      <w:r>
        <w:rPr>
          <w:lang w:val="en-US" w:eastAsia="zh-CN"/>
        </w:rPr>
        <w:t xml:space="preserve">.1 </w:t>
      </w:r>
      <w:r>
        <w:rPr>
          <w:rFonts w:hint="eastAsia"/>
          <w:lang w:val="en-US" w:eastAsia="zh-CN"/>
        </w:rPr>
        <w:t>Self</w:t>
      </w:r>
      <w:r>
        <w:rPr>
          <w:lang w:val="en-US" w:eastAsia="zh-CN"/>
        </w:rPr>
        <w:t>-configuration management</w:t>
      </w:r>
    </w:p>
    <w:p>
      <w:pPr>
        <w:rPr>
          <w:lang w:eastAsia="zh-CN"/>
        </w:rPr>
      </w:pPr>
      <w:r>
        <w:rPr>
          <w:lang w:eastAsia="zh-CN"/>
        </w:rPr>
        <w:t>The Figure 8.1-1 illustrates the procedure for start self-configuration management.</w:t>
      </w:r>
    </w:p>
    <w:p>
      <w:pPr>
        <w:jc w:val="center"/>
      </w:pPr>
    </w:p>
    <w:p/>
    <w:p>
      <w:pPr>
        <w:jc w:val="center"/>
      </w:pPr>
    </w:p>
    <w:p>
      <w:pPr>
        <w:jc w:val="center"/>
      </w:pPr>
      <w:r>
        <w:drawing>
          <wp:inline distT="0" distB="0" distL="114300" distR="114300">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518785" cy="4827905"/>
                    </a:xfrm>
                    <a:prstGeom prst="rect">
                      <a:avLst/>
                    </a:prstGeom>
                    <a:noFill/>
                    <a:ln>
                      <a:noFill/>
                    </a:ln>
                  </pic:spPr>
                </pic:pic>
              </a:graphicData>
            </a:graphic>
          </wp:inline>
        </w:drawing>
      </w:r>
    </w:p>
    <w:p>
      <w:pPr>
        <w:pStyle w:val="120"/>
        <w:rPr>
          <w:lang w:eastAsia="zh-CN"/>
        </w:rPr>
      </w:pPr>
      <w:r>
        <w:t>Figure 8.1-1: Procedures for</w:t>
      </w:r>
      <w:r>
        <w:rPr>
          <w:lang w:eastAsia="zh-CN"/>
        </w:rPr>
        <w:t xml:space="preserve"> self-configuration management</w:t>
      </w:r>
    </w:p>
    <w:p>
      <w:pPr>
        <w:pStyle w:val="111"/>
        <w:rPr>
          <w:lang w:eastAsia="zh-CN"/>
        </w:rPr>
      </w:pPr>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val="en-US" w:eastAsia="zh-CN"/>
        </w:rPr>
        <w:t>X</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.X.3.1.2</w:t>
      </w:r>
      <w:r>
        <w:rPr>
          <w:lang w:eastAsia="zh-CN"/>
        </w:rPr>
        <w:t xml:space="preserve">. </w:t>
      </w:r>
    </w:p>
    <w:p>
      <w:pPr>
        <w:pStyle w:val="11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pPr>
        <w:pStyle w:val="111"/>
        <w:rPr>
          <w:lang w:eastAsia="zh-CN"/>
        </w:rPr>
      </w:pPr>
      <w:r>
        <w:rPr>
          <w:lang w:eastAsia="zh-CN"/>
        </w:rPr>
        <w:t>3. MnS Producer sends a response (see createMOI operation defined in TS 28.532[</w:t>
      </w:r>
      <w:r>
        <w:rPr>
          <w:rFonts w:hint="eastAsia"/>
          <w:lang w:val="en-US" w:eastAsia="zh-CN"/>
        </w:rPr>
        <w:t>X</w:t>
      </w:r>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pPr>
        <w:pStyle w:val="11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pPr>
        <w:pStyle w:val="11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val="en-US" w:eastAsia="zh-CN"/>
        </w:rPr>
        <w:t>X</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hint="eastAsia" w:ascii="Courier New" w:hAnsi="Courier New" w:cs="Courier New"/>
          <w:lang w:eastAsia="zh-CN"/>
        </w:rPr>
        <w:t>cess</w:t>
      </w:r>
      <w:r>
        <w:rPr>
          <w:lang w:eastAsia="zh-CN"/>
        </w:rPr>
        <w:t xml:space="preserve"> instance.</w:t>
      </w:r>
    </w:p>
    <w:p>
      <w:pPr>
        <w:rPr>
          <w:lang w:eastAsia="zh-CN"/>
        </w:rPr>
      </w:pPr>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pPr>
        <w:pStyle w:val="111"/>
        <w:rPr>
          <w:lang w:eastAsia="zh-CN"/>
        </w:rPr>
      </w:pPr>
      <w:r>
        <w:rPr>
          <w:lang w:eastAsia="zh-CN"/>
        </w:rPr>
        <w:t>6a)</w:t>
      </w:r>
      <w:r>
        <w:rPr>
          <w:lang w:eastAsia="zh-CN"/>
        </w:rPr>
        <w:tab/>
      </w:r>
      <w:r>
        <w:rPr>
          <w:lang w:eastAsia="zh-CN"/>
        </w:rPr>
        <w:t xml:space="preserve">The MnS producer sends notification (see </w:t>
      </w:r>
      <w:r>
        <w:rPr>
          <w:rFonts w:ascii="Courier New" w:hAnsi="Courier New" w:cs="Courier New"/>
          <w:lang w:eastAsia="zh-CN"/>
        </w:rPr>
        <w:t>notifyMOIAttributeValueChanges</w:t>
      </w:r>
      <w:r>
        <w:rPr>
          <w:lang w:eastAsia="zh-CN"/>
        </w:rPr>
        <w:t xml:space="preserve"> defined in TS 28.532 [X]) to MnS consumer to notify the progress and result for self-configuration process (see attributes in </w:t>
      </w:r>
      <w:r>
        <w:rPr>
          <w:rFonts w:ascii="Courier New" w:hAnsi="Courier New" w:cs="Courier New"/>
          <w:lang w:eastAsia="zh-CN"/>
        </w:rPr>
        <w:t>Sc_P</w:t>
      </w:r>
      <w:r>
        <w:rPr>
          <w:rFonts w:hint="eastAsia" w:ascii="Courier New" w:hAnsi="Courier New" w:cs="Courier New"/>
          <w:lang w:val="en-US" w:eastAsia="zh-CN"/>
        </w:rPr>
        <w:t>r</w:t>
      </w:r>
      <w:r>
        <w:rPr>
          <w:rFonts w:hint="eastAsia" w:ascii="Courier New" w:hAnsi="Courier New" w:cs="Courier New"/>
          <w:lang w:eastAsia="zh-CN"/>
        </w:rPr>
        <w:t>ocess</w:t>
      </w:r>
      <w:r>
        <w:rPr>
          <w:lang w:eastAsia="zh-CN"/>
        </w:rPr>
        <w:t xml:space="preserve"> IOC). </w:t>
      </w:r>
    </w:p>
    <w:p>
      <w:pPr>
        <w:pStyle w:val="111"/>
        <w:rPr>
          <w:lang w:eastAsia="zh-CN"/>
        </w:rPr>
      </w:pPr>
      <w:r>
        <w:rPr>
          <w:lang w:eastAsia="zh-CN"/>
        </w:rPr>
        <w:t>6b)</w:t>
      </w:r>
      <w:r>
        <w:rPr>
          <w:lang w:eastAsia="zh-CN"/>
        </w:rPr>
        <w:tab/>
      </w:r>
      <w:r>
        <w:rPr>
          <w:lang w:eastAsia="zh-CN"/>
        </w:rPr>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 xml:space="preserve">TS 28.532 [X])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p>
      <w:pPr>
        <w:pStyle w:val="111"/>
        <w:rPr>
          <w:lang w:eastAsia="zh-CN"/>
        </w:rPr>
      </w:pPr>
      <w:r>
        <w:rPr>
          <w:lang w:eastAsia="zh-CN"/>
        </w:rPr>
        <w:t>Following Step 7 and 8 are the steps for MnS consumer request to terminate an ongoing self-configuration process.</w:t>
      </w:r>
    </w:p>
    <w:p>
      <w:pPr>
        <w:pStyle w:val="111"/>
        <w:rPr>
          <w:lang w:eastAsia="zh-CN"/>
        </w:rPr>
      </w:pPr>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 xml:space="preserve">TS 28.532 [X])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hint="eastAsia" w:ascii="Courier New" w:hAnsi="Courier New" w:cs="Courier New"/>
          <w:lang w:eastAsia="zh-CN"/>
        </w:rPr>
        <w:t>c</w:t>
      </w:r>
      <w:r>
        <w:rPr>
          <w:rFonts w:ascii="Courier New" w:hAnsi="Courier New" w:cs="Courier New"/>
          <w:lang w:eastAsia="zh-CN"/>
        </w:rPr>
        <w:t>_</w:t>
      </w:r>
      <w:r>
        <w:rPr>
          <w:rFonts w:hint="eastAsia" w:ascii="Courier New" w:hAnsi="Courier New" w:cs="Courier New"/>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pPr>
        <w:pStyle w:val="111"/>
        <w:rPr>
          <w:rFonts w:hint="eastAsia"/>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 xml:space="preserve">TS 28.532 [X]) for terminating an ongoing self-configuration process to MnS </w:t>
      </w:r>
      <w:r>
        <w:rPr>
          <w:rFonts w:hint="eastAsia"/>
          <w:lang w:val="en-US" w:eastAsia="zh-CN"/>
        </w:rPr>
        <w:t>consumer</w:t>
      </w:r>
      <w:r>
        <w:rPr>
          <w:lang w:eastAsia="zh-CN"/>
        </w:rPr>
        <w:t>.</w:t>
      </w:r>
    </w:p>
    <w:p>
      <w:pPr>
        <w:pStyle w:val="11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pPr>
        <w:pStyle w:val="111"/>
        <w:rPr>
          <w:lang w:eastAsia="zh-CN"/>
        </w:rPr>
      </w:pPr>
      <w:r>
        <w:rPr>
          <w:lang w:eastAsia="zh-CN"/>
        </w:rPr>
        <w:t>10. MnS producer notif</w:t>
      </w:r>
      <w:r>
        <w:rPr>
          <w:rFonts w:hint="eastAsia"/>
          <w:lang w:val="en-US"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pPr>
        <w:rPr>
          <w:lang w:eastAsia="zh-CN"/>
        </w:rPr>
      </w:pPr>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pPr>
        <w:pStyle w:val="111"/>
        <w:rPr>
          <w:lang w:eastAsia="zh-CN"/>
        </w:rPr>
      </w:pPr>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val="en-US" w:eastAsia="zh-CN"/>
        </w:rPr>
        <w:t>X</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pPr>
        <w:pStyle w:val="11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p>
      <w:pPr>
        <w:pStyle w:val="111"/>
        <w:rPr>
          <w:rFonts w:hint="eastAsia"/>
          <w:lang w:eastAsia="zh-CN"/>
        </w:rPr>
      </w:pPr>
      <w:r>
        <w:rPr>
          <w:rFonts w:hint="eastAsia"/>
          <w:lang w:eastAsia="zh-CN"/>
        </w:rPr>
        <w:t>13. MnS Producer sends a response (see deleteMOI operation defined in TS 28.532[X]) to the MnS Consumer.</w:t>
      </w:r>
    </w:p>
    <w:p>
      <w:pPr>
        <w:pBdr>
          <w:bottom w:val="none" w:color="auto" w:sz="0" w:space="0"/>
        </w:pBdr>
        <w:shd w:val="clear" w:color="auto" w:fill="E7E6E6"/>
        <w:rPr>
          <w:color w:val="808080"/>
        </w:rPr>
      </w:pPr>
      <w:r>
        <w:rPr>
          <w:rFonts w:hint="eastAsia"/>
          <w:lang w:eastAsia="zh-CN"/>
        </w:rPr>
        <w:br w:type="page"/>
      </w:r>
    </w:p>
    <w:p>
      <w:pPr>
        <w:keepNext/>
        <w:keepLines/>
        <w:pBdr>
          <w:top w:val="single" w:color="auto" w:sz="12" w:space="3"/>
        </w:pBdr>
        <w:overflowPunct w:val="0"/>
        <w:autoSpaceDE w:val="0"/>
        <w:autoSpaceDN w:val="0"/>
        <w:adjustRightInd w:val="0"/>
        <w:spacing w:before="240"/>
        <w:outlineLvl w:val="7"/>
        <w:rPr>
          <w:rFonts w:ascii="Arial" w:hAnsi="Arial" w:eastAsia="Times New Roman"/>
          <w:sz w:val="36"/>
          <w:lang w:val="fr-FR"/>
        </w:rPr>
      </w:pPr>
      <w:r>
        <w:rPr>
          <w:rFonts w:ascii="Arial" w:hAnsi="Arial" w:eastAsia="Times New Roman"/>
          <w:sz w:val="36"/>
          <w:lang w:val="fr-FR"/>
        </w:rPr>
        <w:t>Annex A (informative):</w:t>
      </w:r>
    </w:p>
    <w:p>
      <w:pPr>
        <w:keepNext/>
        <w:keepLines/>
        <w:pBdr>
          <w:top w:val="single" w:color="auto" w:sz="12" w:space="3"/>
        </w:pBdr>
        <w:overflowPunct w:val="0"/>
        <w:autoSpaceDE w:val="0"/>
        <w:autoSpaceDN w:val="0"/>
        <w:adjustRightInd w:val="0"/>
        <w:spacing w:before="240"/>
        <w:outlineLvl w:val="7"/>
        <w:rPr>
          <w:rFonts w:ascii="Arial" w:hAnsi="Arial" w:eastAsia="Times New Roman"/>
          <w:sz w:val="36"/>
          <w:lang w:val="fr-FR"/>
        </w:rPr>
      </w:pPr>
      <w:r>
        <w:rPr>
          <w:rFonts w:ascii="Arial" w:hAnsi="Arial" w:eastAsia="Times New Roman"/>
          <w:sz w:val="36"/>
          <w:lang w:val="fr-FR"/>
        </w:rPr>
        <w:t>PlantUML source code</w:t>
      </w:r>
    </w:p>
    <w:p>
      <w:pPr>
        <w:keepNext/>
        <w:keepLines/>
        <w:pBdr>
          <w:top w:val="single" w:color="auto" w:sz="12" w:space="3"/>
        </w:pBdr>
        <w:overflowPunct w:val="0"/>
        <w:autoSpaceDE w:val="0"/>
        <w:autoSpaceDN w:val="0"/>
        <w:adjustRightInd w:val="0"/>
        <w:spacing w:before="240"/>
        <w:ind w:left="1134" w:hanging="1134"/>
        <w:outlineLvl w:val="0"/>
        <w:rPr>
          <w:rFonts w:ascii="Arial" w:hAnsi="Arial" w:eastAsia="Times New Roman"/>
          <w:sz w:val="36"/>
        </w:rPr>
      </w:pPr>
      <w:bookmarkStart w:id="46" w:name="_Toc106192985"/>
      <w:bookmarkStart w:id="47" w:name="_Toc138065998"/>
      <w:r>
        <w:rPr>
          <w:rFonts w:ascii="Arial" w:hAnsi="Arial" w:eastAsia="Times New Roman"/>
          <w:sz w:val="36"/>
        </w:rPr>
        <w:t>A.</w:t>
      </w:r>
      <w:r>
        <w:rPr>
          <w:rFonts w:hint="eastAsia" w:ascii="Arial" w:hAnsi="Arial"/>
          <w:sz w:val="36"/>
          <w:lang w:val="en-US" w:eastAsia="zh-CN"/>
        </w:rPr>
        <w:t>1</w:t>
      </w:r>
      <w:r>
        <w:rPr>
          <w:rFonts w:ascii="Arial" w:hAnsi="Arial" w:eastAsia="Times New Roman"/>
          <w:sz w:val="36"/>
        </w:rPr>
        <w:tab/>
      </w:r>
      <w:bookmarkEnd w:id="46"/>
      <w:bookmarkEnd w:id="47"/>
      <w:r>
        <w:rPr>
          <w:rFonts w:ascii="Arial" w:hAnsi="Arial" w:eastAsia="Times New Roman"/>
          <w:sz w:val="36"/>
        </w:rPr>
        <w:t>Procedure for Self-establishment</w:t>
      </w:r>
    </w:p>
    <w:p>
      <w:pPr>
        <w:pStyle w:val="5"/>
        <w:rPr>
          <w:lang w:eastAsia="zh-CN"/>
        </w:rPr>
      </w:pPr>
      <w:r>
        <w:rPr>
          <w:rFonts w:hint="eastAsia"/>
          <w:lang w:eastAsia="zh-CN"/>
        </w:rPr>
        <w:t>A</w:t>
      </w:r>
      <w:r>
        <w:rPr>
          <w:lang w:eastAsia="zh-CN"/>
        </w:rPr>
        <w:t>.</w:t>
      </w:r>
      <w:r>
        <w:rPr>
          <w:rFonts w:hint="eastAsia"/>
          <w:lang w:val="en-US" w:eastAsia="zh-CN"/>
        </w:rPr>
        <w:t>1</w:t>
      </w:r>
      <w:r>
        <w:rPr>
          <w:lang w:eastAsia="zh-CN"/>
        </w:rPr>
        <w:t xml:space="preserve">.1 </w:t>
      </w:r>
      <w:r>
        <w:rPr>
          <w:rFonts w:hint="eastAsia"/>
          <w:lang w:eastAsia="zh-CN"/>
        </w:rPr>
        <w:t>P</w:t>
      </w:r>
      <w:r>
        <w:rPr>
          <w:lang w:eastAsia="zh-CN"/>
        </w:rPr>
        <w:t>rocedure for start self-configuration management</w:t>
      </w:r>
    </w:p>
    <w:p>
      <w:pPr>
        <w:pStyle w:val="101"/>
        <w:shd w:val="clear" w:color="auto" w:fill="E7E6E6"/>
        <w:rPr>
          <w:color w:val="808080"/>
        </w:rPr>
      </w:pPr>
      <w:r>
        <w:rPr>
          <w:color w:val="808080"/>
        </w:rPr>
        <w:t>@startuml</w:t>
      </w:r>
    </w:p>
    <w:p>
      <w:pPr>
        <w:pStyle w:val="101"/>
        <w:shd w:val="clear" w:color="auto" w:fill="E7E6E6"/>
        <w:rPr>
          <w:color w:val="808080"/>
        </w:rPr>
      </w:pPr>
      <w:r>
        <w:rPr>
          <w:color w:val="808080"/>
        </w:rPr>
        <w:t>title " Procedures for self-configuration management "</w:t>
      </w:r>
    </w:p>
    <w:p>
      <w:pPr>
        <w:pStyle w:val="101"/>
        <w:shd w:val="clear" w:color="auto" w:fill="E7E6E6"/>
        <w:rPr>
          <w:color w:val="808080"/>
        </w:rPr>
      </w:pPr>
      <w:r>
        <w:rPr>
          <w:color w:val="808080"/>
        </w:rPr>
        <w:t xml:space="preserve">actor "RANSC MnS Consumer of " as SC </w:t>
      </w:r>
    </w:p>
    <w:p>
      <w:pPr>
        <w:pStyle w:val="101"/>
        <w:shd w:val="clear" w:color="auto" w:fill="E7E6E6"/>
        <w:rPr>
          <w:color w:val="808080"/>
        </w:rPr>
      </w:pPr>
      <w:r>
        <w:rPr>
          <w:color w:val="808080"/>
        </w:rPr>
        <w:t>participant "RANSC MnS Producer" as SP</w:t>
      </w:r>
    </w:p>
    <w:p>
      <w:pPr>
        <w:pStyle w:val="101"/>
        <w:shd w:val="clear" w:color="auto" w:fill="E7E6E6"/>
        <w:rPr>
          <w:color w:val="808080"/>
        </w:rPr>
      </w:pPr>
      <w:r>
        <w:rPr>
          <w:color w:val="808080"/>
        </w:rPr>
        <w:t>group Create a ScMgmtProfile instance</w:t>
      </w:r>
    </w:p>
    <w:p>
      <w:pPr>
        <w:pStyle w:val="101"/>
        <w:shd w:val="clear" w:color="auto" w:fill="E7E6E6"/>
        <w:rPr>
          <w:color w:val="808080"/>
        </w:rPr>
      </w:pPr>
      <w:r>
        <w:rPr>
          <w:color w:val="808080"/>
        </w:rPr>
        <w:t>SC -&gt; SP: 1. Request to create a ScMgmtProfile instance \n (list of attributes of ScMgmtProfile IOC)</w:t>
      </w:r>
    </w:p>
    <w:p>
      <w:pPr>
        <w:pStyle w:val="101"/>
        <w:shd w:val="clear" w:color="auto" w:fill="E7E6E6"/>
        <w:rPr>
          <w:color w:val="808080"/>
        </w:rPr>
      </w:pPr>
      <w:r>
        <w:rPr>
          <w:color w:val="808080"/>
        </w:rPr>
        <w:t>SP -&gt; SP: 2. Create and configure ScMgmtProfile MOI</w:t>
      </w:r>
    </w:p>
    <w:p>
      <w:pPr>
        <w:pStyle w:val="101"/>
        <w:shd w:val="clear" w:color="auto" w:fill="E7E6E6"/>
        <w:rPr>
          <w:color w:val="808080"/>
        </w:rPr>
      </w:pPr>
      <w:r>
        <w:rPr>
          <w:color w:val="808080"/>
        </w:rPr>
        <w:t>SP -&gt; SC: 3. Response for creating an ScMgmtProfile instance</w:t>
      </w:r>
    </w:p>
    <w:p>
      <w:pPr>
        <w:pStyle w:val="101"/>
        <w:shd w:val="clear" w:color="auto" w:fill="E7E6E6"/>
        <w:rPr>
          <w:color w:val="808080"/>
        </w:rPr>
      </w:pPr>
      <w:r>
        <w:rPr>
          <w:color w:val="808080"/>
        </w:rPr>
        <w:t>end</w:t>
      </w:r>
    </w:p>
    <w:p>
      <w:pPr>
        <w:pStyle w:val="101"/>
        <w:shd w:val="clear" w:color="auto" w:fill="E7E6E6"/>
        <w:rPr>
          <w:color w:val="808080"/>
        </w:rPr>
      </w:pPr>
      <w:r>
        <w:rPr>
          <w:color w:val="808080"/>
        </w:rPr>
        <w:t>loop  [Corresponding RAN NE start its self-configuration process]</w:t>
      </w:r>
    </w:p>
    <w:p>
      <w:pPr>
        <w:pStyle w:val="101"/>
        <w:shd w:val="clear" w:color="auto" w:fill="E7E6E6"/>
        <w:rPr>
          <w:color w:val="808080"/>
        </w:rPr>
      </w:pPr>
    </w:p>
    <w:p>
      <w:pPr>
        <w:pStyle w:val="101"/>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pPr>
        <w:pStyle w:val="101"/>
        <w:shd w:val="clear" w:color="auto" w:fill="E7E6E6"/>
        <w:rPr>
          <w:color w:val="808080"/>
        </w:rPr>
      </w:pPr>
      <w:r>
        <w:rPr>
          <w:color w:val="808080"/>
        </w:rPr>
        <w:t>SP -&gt; SC: 5. Notify the creation of Sc_Process instance</w:t>
      </w:r>
    </w:p>
    <w:p>
      <w:pPr>
        <w:pStyle w:val="101"/>
        <w:shd w:val="clear" w:color="auto" w:fill="E7E6E6"/>
        <w:rPr>
          <w:color w:val="808080"/>
        </w:rPr>
      </w:pPr>
    </w:p>
    <w:p>
      <w:pPr>
        <w:pStyle w:val="101"/>
        <w:shd w:val="clear" w:color="auto" w:fill="E7E6E6"/>
        <w:rPr>
          <w:color w:val="808080"/>
        </w:rPr>
      </w:pPr>
      <w:r>
        <w:rPr>
          <w:color w:val="808080"/>
        </w:rPr>
        <w:t>alt  [obtain the progress and result by subscribe-notification method]</w:t>
      </w:r>
    </w:p>
    <w:p>
      <w:pPr>
        <w:pStyle w:val="101"/>
        <w:shd w:val="clear" w:color="auto" w:fill="E7E6E6"/>
        <w:rPr>
          <w:color w:val="808080"/>
        </w:rPr>
      </w:pPr>
      <w:r>
        <w:rPr>
          <w:color w:val="808080"/>
        </w:rPr>
        <w:t>loop when the corresponding self-configuration step is arrived</w:t>
      </w:r>
    </w:p>
    <w:p>
      <w:pPr>
        <w:pStyle w:val="101"/>
        <w:shd w:val="clear" w:color="auto" w:fill="E7E6E6"/>
        <w:rPr>
          <w:color w:val="808080"/>
        </w:rPr>
      </w:pPr>
      <w:r>
        <w:rPr>
          <w:color w:val="808080"/>
        </w:rPr>
        <w:t>SP -&gt; SC: 6a. Notify the progress and result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else [[obtain the progress and result by query method]]</w:t>
      </w:r>
    </w:p>
    <w:p>
      <w:pPr>
        <w:pStyle w:val="101"/>
        <w:shd w:val="clear" w:color="auto" w:fill="E7E6E6"/>
        <w:rPr>
          <w:color w:val="808080"/>
        </w:rPr>
      </w:pPr>
      <w:r>
        <w:rPr>
          <w:color w:val="808080"/>
        </w:rPr>
        <w:t>SC -&gt; SP: 6b-1. Request to query the Sc_Process information (DN of Sc_Process)</w:t>
      </w:r>
    </w:p>
    <w:p>
      <w:pPr>
        <w:pStyle w:val="101"/>
        <w:shd w:val="clear" w:color="auto" w:fill="E7E6E6"/>
        <w:rPr>
          <w:color w:val="808080"/>
        </w:rPr>
      </w:pPr>
      <w:r>
        <w:rPr>
          <w:color w:val="808080"/>
        </w:rPr>
        <w:t>SP -&gt; SC: 6b-2. Response with the Sc_Process information</w:t>
      </w:r>
    </w:p>
    <w:p>
      <w:pPr>
        <w:pStyle w:val="101"/>
        <w:shd w:val="clear" w:color="auto" w:fill="E7E6E6"/>
        <w:rPr>
          <w:color w:val="808080"/>
        </w:rPr>
      </w:pPr>
      <w:r>
        <w:rPr>
          <w:color w:val="808080"/>
        </w:rPr>
        <w:t>end</w:t>
      </w:r>
    </w:p>
    <w:p>
      <w:pPr>
        <w:pStyle w:val="101"/>
        <w:shd w:val="clear" w:color="auto" w:fill="E7E6E6"/>
        <w:rPr>
          <w:color w:val="808080"/>
        </w:rPr>
      </w:pPr>
      <w:r>
        <w:rPr>
          <w:color w:val="808080"/>
        </w:rPr>
        <w:t>opt Terminate a Sc_Process</w:t>
      </w:r>
    </w:p>
    <w:p>
      <w:pPr>
        <w:pStyle w:val="101"/>
        <w:shd w:val="clear" w:color="auto" w:fill="E7E6E6"/>
        <w:rPr>
          <w:color w:val="808080"/>
        </w:rPr>
      </w:pPr>
      <w:r>
        <w:rPr>
          <w:color w:val="808080"/>
        </w:rPr>
        <w:t>SC -&gt; SP: 7. Request to configure “cancelScProcess” attribute \n of the Sc_Process with value "TRUE"</w:t>
      </w:r>
    </w:p>
    <w:p>
      <w:pPr>
        <w:pStyle w:val="101"/>
        <w:shd w:val="clear" w:color="auto" w:fill="E7E6E6"/>
        <w:rPr>
          <w:color w:val="808080"/>
        </w:rPr>
      </w:pPr>
      <w:r>
        <w:rPr>
          <w:color w:val="808080"/>
        </w:rPr>
        <w:t>SP -&gt; SC: 8. Response with Sc_Process configuration result</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w:t>
      </w:r>
    </w:p>
    <w:p>
      <w:pPr>
        <w:pStyle w:val="101"/>
        <w:shd w:val="clear" w:color="auto" w:fill="E7E6E6"/>
        <w:rPr>
          <w:color w:val="808080"/>
        </w:rPr>
      </w:pPr>
    </w:p>
    <w:p>
      <w:pPr>
        <w:pStyle w:val="101"/>
        <w:shd w:val="clear" w:color="auto" w:fill="E7E6E6"/>
        <w:rPr>
          <w:color w:val="808080"/>
        </w:rPr>
      </w:pPr>
      <w:r>
        <w:rPr>
          <w:color w:val="808080"/>
        </w:rPr>
        <w:t>SP -&gt; SP: 9. Delete the Sc_Process MOI when \n self-configuration process is completed or terminated</w:t>
      </w:r>
    </w:p>
    <w:p>
      <w:pPr>
        <w:pStyle w:val="101"/>
        <w:shd w:val="clear" w:color="auto" w:fill="E7E6E6"/>
        <w:rPr>
          <w:color w:val="808080"/>
        </w:rPr>
      </w:pPr>
      <w:r>
        <w:rPr>
          <w:color w:val="808080"/>
        </w:rPr>
        <w:t>SP-&gt;SC: 10.Notify Sc_ProcessDeletion (DN of Sc_Process MOI)</w:t>
      </w:r>
    </w:p>
    <w:p>
      <w:pPr>
        <w:pStyle w:val="101"/>
        <w:shd w:val="clear" w:color="auto" w:fill="E7E6E6"/>
        <w:rPr>
          <w:color w:val="808080"/>
        </w:rPr>
      </w:pPr>
      <w:r>
        <w:rPr>
          <w:color w:val="808080"/>
        </w:rPr>
        <w:t>end</w:t>
      </w:r>
    </w:p>
    <w:p>
      <w:pPr>
        <w:pStyle w:val="101"/>
        <w:shd w:val="clear" w:color="auto" w:fill="E7E6E6"/>
        <w:rPr>
          <w:color w:val="808080"/>
        </w:rPr>
      </w:pPr>
      <w:r>
        <w:rPr>
          <w:color w:val="808080"/>
        </w:rPr>
        <w:t>group Delete a ScMgmtProfile instance</w:t>
      </w:r>
    </w:p>
    <w:p>
      <w:pPr>
        <w:pStyle w:val="101"/>
        <w:shd w:val="clear" w:color="auto" w:fill="E7E6E6"/>
        <w:rPr>
          <w:color w:val="808080"/>
        </w:rPr>
      </w:pPr>
      <w:r>
        <w:rPr>
          <w:color w:val="808080"/>
        </w:rPr>
        <w:t>SC -&gt; SP: 11. Request to delete a ScMgmtProfile instance \n (list of attributes of ScMgmtProfile IOC)</w:t>
      </w:r>
    </w:p>
    <w:p>
      <w:pPr>
        <w:pStyle w:val="101"/>
        <w:shd w:val="clear" w:color="auto" w:fill="E7E6E6"/>
        <w:rPr>
          <w:color w:val="808080"/>
        </w:rPr>
      </w:pPr>
      <w:r>
        <w:rPr>
          <w:color w:val="808080"/>
        </w:rPr>
        <w:t>SP -&gt; SP: 12. Delete ScMgmtProfile MOI</w:t>
      </w:r>
    </w:p>
    <w:p>
      <w:pPr>
        <w:pStyle w:val="101"/>
        <w:shd w:val="clear" w:color="auto" w:fill="E7E6E6"/>
        <w:rPr>
          <w:color w:val="808080"/>
        </w:rPr>
      </w:pPr>
      <w:r>
        <w:rPr>
          <w:color w:val="808080"/>
        </w:rPr>
        <w:t>SP -&gt; SC: 13. Response for deleting an ScMgmtProfile instance</w:t>
      </w:r>
    </w:p>
    <w:p>
      <w:pPr>
        <w:pStyle w:val="101"/>
        <w:shd w:val="clear" w:color="auto" w:fill="E7E6E6"/>
        <w:rPr>
          <w:color w:val="808080"/>
        </w:rPr>
      </w:pPr>
      <w:r>
        <w:rPr>
          <w:color w:val="808080"/>
        </w:rPr>
        <w:t>end</w:t>
      </w:r>
    </w:p>
    <w:p>
      <w:pPr>
        <w:pStyle w:val="101"/>
        <w:shd w:val="clear" w:color="auto" w:fill="E7E6E6"/>
        <w:rPr>
          <w:color w:val="808080"/>
        </w:rPr>
      </w:pPr>
    </w:p>
    <w:p>
      <w:pPr>
        <w:pStyle w:val="101"/>
        <w:shd w:val="clear" w:color="auto" w:fill="E7E6E6"/>
        <w:rPr>
          <w:color w:val="808080"/>
        </w:rPr>
      </w:pPr>
      <w:r>
        <w:rPr>
          <w:color w:val="808080"/>
        </w:rPr>
        <w:t>skinparam sequenceActorBackgroundColor #FFFFFF</w:t>
      </w:r>
    </w:p>
    <w:p>
      <w:pPr>
        <w:pStyle w:val="101"/>
        <w:shd w:val="clear" w:color="auto" w:fill="E7E6E6"/>
        <w:rPr>
          <w:color w:val="808080"/>
        </w:rPr>
      </w:pPr>
      <w:r>
        <w:rPr>
          <w:color w:val="808080"/>
        </w:rPr>
        <w:t>skinparam sequenceParticipantBackgroundColor #FFFFFF</w:t>
      </w:r>
    </w:p>
    <w:p>
      <w:pPr>
        <w:pStyle w:val="101"/>
        <w:shd w:val="clear" w:color="auto" w:fill="E7E6E6"/>
        <w:rPr>
          <w:color w:val="808080"/>
        </w:rPr>
      </w:pPr>
      <w:r>
        <w:rPr>
          <w:color w:val="808080"/>
        </w:rPr>
        <w:t>skinparam noteBackgroundColor #FFFFFF</w:t>
      </w:r>
    </w:p>
    <w:p>
      <w:pPr>
        <w:pStyle w:val="101"/>
        <w:shd w:val="clear" w:color="auto" w:fill="E7E6E6"/>
        <w:rPr>
          <w:color w:val="808080"/>
        </w:rPr>
      </w:pPr>
      <w:r>
        <w:rPr>
          <w:color w:val="808080"/>
        </w:rPr>
        <w:t>autonumber "#'.'"</w:t>
      </w:r>
    </w:p>
    <w:p>
      <w:pPr>
        <w:pStyle w:val="101"/>
        <w:shd w:val="clear" w:color="auto" w:fill="E7E6E6"/>
        <w:rPr>
          <w:color w:val="808080"/>
        </w:rPr>
      </w:pPr>
      <w:r>
        <w:rPr>
          <w:color w:val="808080"/>
        </w:rPr>
        <w:t>skinparam monochrome true</w:t>
      </w:r>
    </w:p>
    <w:p>
      <w:pPr>
        <w:pStyle w:val="101"/>
        <w:shd w:val="clear" w:color="auto" w:fill="E7E6E6"/>
        <w:rPr>
          <w:color w:val="808080"/>
        </w:rPr>
      </w:pPr>
      <w:r>
        <w:rPr>
          <w:color w:val="808080"/>
        </w:rPr>
        <w:t>skinparam shadowing false</w:t>
      </w:r>
    </w:p>
    <w:p>
      <w:pPr>
        <w:pStyle w:val="101"/>
        <w:shd w:val="clear" w:color="auto" w:fill="E7E6E6"/>
        <w:rPr>
          <w:color w:val="808080"/>
        </w:rPr>
      </w:pPr>
      <w:r>
        <w:rPr>
          <w:color w:val="808080"/>
        </w:rPr>
        <w:t>hide footbox</w:t>
      </w:r>
    </w:p>
    <w:p>
      <w:pPr>
        <w:pStyle w:val="101"/>
        <w:shd w:val="clear" w:color="auto" w:fill="E7E6E6"/>
        <w:rPr>
          <w:color w:val="808080"/>
        </w:rPr>
      </w:pPr>
    </w:p>
    <w:p>
      <w:pPr>
        <w:pStyle w:val="111"/>
        <w:rPr>
          <w:rFonts w:hint="eastAsia"/>
          <w:lang w:val="en-US" w:eastAsia="zh-CN"/>
        </w:rPr>
      </w:pPr>
    </w:p>
    <w:p>
      <w:pPr>
        <w:rPr>
          <w:rFonts w:eastAsiaTheme="minorEastAsia"/>
          <w:lang w:val="en-US" w:eastAsia="zh-CN"/>
        </w:rPr>
      </w:pPr>
    </w:p>
    <w:p>
      <w:pPr>
        <w:pStyle w:val="129"/>
      </w:pPr>
      <w:bookmarkStart w:id="48" w:name="startOfAnnexes"/>
      <w:bookmarkEnd w:id="48"/>
      <w:r>
        <w:br w:type="page"/>
      </w:r>
    </w:p>
    <w:p>
      <w:pPr>
        <w:pStyle w:val="11"/>
      </w:pPr>
      <w:bookmarkStart w:id="49" w:name="_Toc119998303"/>
      <w:bookmarkStart w:id="50" w:name="_Hlk98856261"/>
      <w:r>
        <w:t>Annex &lt;X&gt; (informative):</w:t>
      </w:r>
      <w:r>
        <w:br w:type="textWrapping"/>
      </w:r>
      <w:r>
        <w:t>Change history</w:t>
      </w:r>
      <w:bookmarkEnd w:id="49"/>
    </w:p>
    <w:p>
      <w:pPr>
        <w:pStyle w:val="113"/>
      </w:pPr>
      <w:bookmarkStart w:id="51" w:name="historyclause"/>
      <w:bookmarkEnd w:id="5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914" w:type="dxa"/>
            <w:shd w:val="pct10" w:color="auto" w:fill="FFFFFF"/>
          </w:tcPr>
          <w:p>
            <w:pPr>
              <w:pStyle w:val="103"/>
              <w:rPr>
                <w:b/>
                <w:sz w:val="16"/>
              </w:rPr>
            </w:pPr>
            <w:r>
              <w:rPr>
                <w:b/>
                <w:sz w:val="16"/>
              </w:rPr>
              <w:t>Meeting</w:t>
            </w:r>
          </w:p>
        </w:tc>
        <w:tc>
          <w:tcPr>
            <w:tcW w:w="980"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t xml:space="preserve"> </w:t>
            </w:r>
            <w:r>
              <w:rPr>
                <w:sz w:val="16"/>
                <w:szCs w:val="16"/>
              </w:rPr>
              <w:t>S5-222393</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5"/>
              <w:rPr>
                <w:sz w:val="16"/>
                <w:szCs w:val="16"/>
              </w:rPr>
            </w:pPr>
            <w:r>
              <w:rPr>
                <w:sz w:val="16"/>
                <w:szCs w:val="16"/>
              </w:rPr>
              <w:t>-</w:t>
            </w:r>
          </w:p>
        </w:tc>
        <w:tc>
          <w:tcPr>
            <w:tcW w:w="4962" w:type="dxa"/>
            <w:shd w:val="solid" w:color="FFFFFF" w:fill="auto"/>
          </w:tcPr>
          <w:p>
            <w:pPr>
              <w:pStyle w:val="103"/>
              <w:rPr>
                <w:sz w:val="16"/>
                <w:szCs w:val="16"/>
              </w:rPr>
            </w:pPr>
            <w:r>
              <w:rPr>
                <w:sz w:val="16"/>
                <w:szCs w:val="16"/>
              </w:rPr>
              <w:t>Initial skeleton</w:t>
            </w:r>
          </w:p>
        </w:tc>
        <w:tc>
          <w:tcPr>
            <w:tcW w:w="708" w:type="dxa"/>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rPr>
                <w:sz w:val="16"/>
                <w:szCs w:val="16"/>
              </w:rPr>
              <w:t>S5-222634</w:t>
            </w:r>
          </w:p>
          <w:p>
            <w:pPr>
              <w:pStyle w:val="105"/>
              <w:rPr>
                <w:sz w:val="16"/>
                <w:szCs w:val="16"/>
              </w:rPr>
            </w:pPr>
            <w:r>
              <w:rPr>
                <w:sz w:val="16"/>
                <w:szCs w:val="16"/>
              </w:rPr>
              <w:t>S5-222605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 Add structure</w:t>
            </w:r>
          </w:p>
          <w:p>
            <w:pPr>
              <w:pStyle w:val="103"/>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tcPr>
          <w:p>
            <w:pPr>
              <w:pStyle w:val="105"/>
              <w:rPr>
                <w:sz w:val="16"/>
                <w:szCs w:val="16"/>
              </w:rPr>
            </w:pPr>
            <w:r>
              <w:rPr>
                <w:rFonts w:hint="eastAsia"/>
                <w:sz w:val="16"/>
                <w:szCs w:val="16"/>
                <w:lang w:eastAsia="zh-CN"/>
              </w:rPr>
              <w:t>S5-</w:t>
            </w:r>
            <w:r>
              <w:rPr>
                <w:sz w:val="16"/>
                <w:szCs w:val="16"/>
              </w:rPr>
              <w:t>226807</w:t>
            </w:r>
          </w:p>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1.pCR 28.317 Add Concept for RANSC</w:t>
            </w:r>
          </w:p>
          <w:p>
            <w:pPr>
              <w:pStyle w:val="103"/>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2023-03</w:t>
            </w:r>
          </w:p>
        </w:tc>
        <w:tc>
          <w:tcPr>
            <w:tcW w:w="914" w:type="dxa"/>
            <w:shd w:val="solid" w:color="FFFFFF" w:fill="auto"/>
          </w:tcPr>
          <w:p>
            <w:pPr>
              <w:pStyle w:val="105"/>
              <w:rPr>
                <w:rFonts w:eastAsiaTheme="minorEastAsia"/>
                <w:sz w:val="16"/>
                <w:szCs w:val="16"/>
                <w:lang w:val="en-US"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7</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TS 28.317 Update the requirement format to follow the stage1 templated in TS 32.160</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2023-05</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9</w:t>
            </w:r>
          </w:p>
        </w:tc>
        <w:tc>
          <w:tcPr>
            <w:tcW w:w="980" w:type="dxa"/>
            <w:shd w:val="solid" w:color="FFFFFF" w:fill="auto"/>
          </w:tcPr>
          <w:p>
            <w:pPr>
              <w:pStyle w:val="105"/>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TR 28.317 Correction of the requirements from mandatory to optional</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r>
              <w:rPr>
                <w:rFonts w:eastAsia="宋体"/>
                <w:sz w:val="16"/>
                <w:szCs w:val="16"/>
                <w:lang w:val="en-US" w:eastAsia="zh-CN"/>
              </w:rPr>
              <w:t>2023-06</w:t>
            </w:r>
          </w:p>
        </w:tc>
        <w:tc>
          <w:tcPr>
            <w:tcW w:w="914" w:type="dxa"/>
            <w:shd w:val="solid" w:color="FFFFFF" w:fill="auto"/>
          </w:tcPr>
          <w:p>
            <w:pPr>
              <w:pStyle w:val="105"/>
              <w:rPr>
                <w:rFonts w:hint="eastAsia" w:eastAsiaTheme="minorEastAsia"/>
                <w:sz w:val="16"/>
                <w:szCs w:val="16"/>
                <w:lang w:eastAsia="zh-CN"/>
              </w:rPr>
            </w:pPr>
            <w:r>
              <w:rPr>
                <w:rFonts w:eastAsiaTheme="minorEastAsia"/>
                <w:sz w:val="16"/>
                <w:szCs w:val="16"/>
                <w:lang w:eastAsia="zh-CN"/>
              </w:rPr>
              <w:t>SA5#149</w:t>
            </w:r>
          </w:p>
        </w:tc>
        <w:tc>
          <w:tcPr>
            <w:tcW w:w="980" w:type="dxa"/>
            <w:shd w:val="solid" w:color="FFFFFF" w:fill="auto"/>
          </w:tcPr>
          <w:p>
            <w:pPr>
              <w:pStyle w:val="105"/>
              <w:rPr>
                <w:rFonts w:eastAsiaTheme="minorEastAsia"/>
                <w:sz w:val="16"/>
                <w:szCs w:val="16"/>
                <w:lang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Re-upload due to the previos version being corrupted</w:t>
            </w:r>
          </w:p>
        </w:tc>
        <w:tc>
          <w:tcPr>
            <w:tcW w:w="708" w:type="dxa"/>
            <w:shd w:val="solid" w:color="FFFFFF" w:fill="auto"/>
          </w:tcPr>
          <w:p>
            <w:pPr>
              <w:pStyle w:val="105"/>
              <w:rPr>
                <w:rFonts w:hint="eastAsia" w:eastAsiaTheme="minorEastAsia"/>
                <w:sz w:val="16"/>
                <w:szCs w:val="16"/>
                <w:lang w:val="en-US" w:eastAsia="zh-CN"/>
              </w:rPr>
            </w:pPr>
            <w:r>
              <w:rPr>
                <w:rFonts w:eastAsiaTheme="minorEastAsia"/>
                <w:sz w:val="16"/>
                <w:szCs w:val="16"/>
                <w:lang w:val="en-US" w:eastAsia="zh-CN"/>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2023-08</w:t>
            </w:r>
          </w:p>
        </w:tc>
        <w:tc>
          <w:tcPr>
            <w:tcW w:w="914" w:type="dxa"/>
            <w:shd w:val="solid" w:color="FFFFFF" w:fill="auto"/>
          </w:tcPr>
          <w:p>
            <w:pPr>
              <w:pStyle w:val="105"/>
              <w:rPr>
                <w:rFonts w:hint="default" w:eastAsiaTheme="minorEastAsia"/>
                <w:sz w:val="16"/>
                <w:szCs w:val="16"/>
                <w:lang w:val="en-US" w:eastAsia="zh-CN"/>
              </w:rPr>
            </w:pPr>
            <w:r>
              <w:rPr>
                <w:rFonts w:eastAsiaTheme="minorEastAsia"/>
                <w:sz w:val="16"/>
                <w:szCs w:val="16"/>
                <w:lang w:eastAsia="zh-CN"/>
              </w:rPr>
              <w:t>SA5#1</w:t>
            </w:r>
            <w:r>
              <w:rPr>
                <w:rFonts w:hint="eastAsia" w:eastAsiaTheme="minorEastAsia"/>
                <w:sz w:val="16"/>
                <w:szCs w:val="16"/>
                <w:lang w:val="en-US" w:eastAsia="zh-CN"/>
              </w:rPr>
              <w:t>50</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S5-235818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hint="default" w:eastAsiaTheme="minorEastAsia"/>
                <w:sz w:val="16"/>
                <w:szCs w:val="16"/>
                <w:lang w:val="en-US" w:eastAsia="zh-CN"/>
              </w:rPr>
            </w:pPr>
            <w:r>
              <w:rPr>
                <w:rFonts w:hint="eastAsia" w:eastAsiaTheme="minorEastAsia"/>
                <w:sz w:val="16"/>
                <w:szCs w:val="16"/>
                <w:lang w:val="en-US" w:eastAsia="zh-CN"/>
              </w:rPr>
              <w:t xml:space="preserve"> pCR TS 28.317 Add procedure for Self-configuration management</w:t>
            </w:r>
          </w:p>
        </w:tc>
        <w:tc>
          <w:tcPr>
            <w:tcW w:w="708" w:type="dxa"/>
            <w:shd w:val="solid" w:color="FFFFFF" w:fill="auto"/>
          </w:tcPr>
          <w:p>
            <w:pPr>
              <w:pStyle w:val="105"/>
              <w:rPr>
                <w:rFonts w:hint="default" w:eastAsiaTheme="minorEastAsia"/>
                <w:sz w:val="16"/>
                <w:szCs w:val="16"/>
                <w:lang w:val="en-US" w:eastAsia="zh-CN"/>
              </w:rPr>
            </w:pPr>
            <w:r>
              <w:rPr>
                <w:rFonts w:hint="eastAsia" w:eastAsiaTheme="minorEastAsia"/>
                <w:sz w:val="16"/>
                <w:szCs w:val="16"/>
                <w:lang w:val="en-US" w:eastAsia="zh-CN"/>
              </w:rPr>
              <w:t>0.5.0</w:t>
            </w:r>
          </w:p>
        </w:tc>
      </w:tr>
      <w:bookmarkEnd w:id="50"/>
    </w:tbl>
    <w:p/>
    <w:p>
      <w:pPr>
        <w:pStyle w:val="129"/>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V0.5.0 (2023-08)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4033C"/>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E3507"/>
    <w:rsid w:val="00BF0AA6"/>
    <w:rsid w:val="00BF128E"/>
    <w:rsid w:val="00C074DD"/>
    <w:rsid w:val="00C1496A"/>
    <w:rsid w:val="00C33079"/>
    <w:rsid w:val="00C45231"/>
    <w:rsid w:val="00C52A16"/>
    <w:rsid w:val="00C551FF"/>
    <w:rsid w:val="00C72833"/>
    <w:rsid w:val="00C80F1D"/>
    <w:rsid w:val="00C91962"/>
    <w:rsid w:val="00C93F40"/>
    <w:rsid w:val="00CA3D0C"/>
    <w:rsid w:val="00CC6D2E"/>
    <w:rsid w:val="00CE3F61"/>
    <w:rsid w:val="00CF6CC0"/>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4A76"/>
    <w:rsid w:val="00EA5EA7"/>
    <w:rsid w:val="00EB2F11"/>
    <w:rsid w:val="00EC4A25"/>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3967BEE"/>
    <w:rsid w:val="045F6714"/>
    <w:rsid w:val="072F7455"/>
    <w:rsid w:val="074667B7"/>
    <w:rsid w:val="07C427FC"/>
    <w:rsid w:val="07F6145D"/>
    <w:rsid w:val="083F0917"/>
    <w:rsid w:val="090B4C86"/>
    <w:rsid w:val="0921157D"/>
    <w:rsid w:val="0A977A12"/>
    <w:rsid w:val="0B2E5AB4"/>
    <w:rsid w:val="0BC3186A"/>
    <w:rsid w:val="0BE62E63"/>
    <w:rsid w:val="0C7B7987"/>
    <w:rsid w:val="0CDB0CA5"/>
    <w:rsid w:val="0D246B1B"/>
    <w:rsid w:val="0D2D72C5"/>
    <w:rsid w:val="0E3D09AB"/>
    <w:rsid w:val="0F89498B"/>
    <w:rsid w:val="10011344"/>
    <w:rsid w:val="103B2931"/>
    <w:rsid w:val="10A16620"/>
    <w:rsid w:val="12445976"/>
    <w:rsid w:val="12593A57"/>
    <w:rsid w:val="128D65FD"/>
    <w:rsid w:val="13254BB1"/>
    <w:rsid w:val="133B1F06"/>
    <w:rsid w:val="13AE208E"/>
    <w:rsid w:val="15014126"/>
    <w:rsid w:val="179154C6"/>
    <w:rsid w:val="18A05EFB"/>
    <w:rsid w:val="1B3922CD"/>
    <w:rsid w:val="1C40215F"/>
    <w:rsid w:val="1DD57D7F"/>
    <w:rsid w:val="1E06634F"/>
    <w:rsid w:val="1EE821C5"/>
    <w:rsid w:val="1EFE0AE6"/>
    <w:rsid w:val="1F01666F"/>
    <w:rsid w:val="1F533349"/>
    <w:rsid w:val="2187050F"/>
    <w:rsid w:val="23D31501"/>
    <w:rsid w:val="253A0920"/>
    <w:rsid w:val="25A45DD1"/>
    <w:rsid w:val="2822617A"/>
    <w:rsid w:val="286B33F2"/>
    <w:rsid w:val="28FA0047"/>
    <w:rsid w:val="296B69A8"/>
    <w:rsid w:val="2A005FEE"/>
    <w:rsid w:val="2A070584"/>
    <w:rsid w:val="2AE80DE9"/>
    <w:rsid w:val="2B3B50FE"/>
    <w:rsid w:val="2C1E5CFB"/>
    <w:rsid w:val="2FBC6F36"/>
    <w:rsid w:val="2FC20D6A"/>
    <w:rsid w:val="32273586"/>
    <w:rsid w:val="3268379A"/>
    <w:rsid w:val="32EB46F7"/>
    <w:rsid w:val="3307027A"/>
    <w:rsid w:val="339D0DEC"/>
    <w:rsid w:val="33BB353F"/>
    <w:rsid w:val="33D41894"/>
    <w:rsid w:val="344B7ED9"/>
    <w:rsid w:val="34A53A6B"/>
    <w:rsid w:val="35C311A5"/>
    <w:rsid w:val="36D26C0E"/>
    <w:rsid w:val="37AC3D63"/>
    <w:rsid w:val="386977F7"/>
    <w:rsid w:val="38EA5A00"/>
    <w:rsid w:val="39217148"/>
    <w:rsid w:val="39F01D9F"/>
    <w:rsid w:val="39F75246"/>
    <w:rsid w:val="3A6F00EE"/>
    <w:rsid w:val="3B505227"/>
    <w:rsid w:val="3BA46497"/>
    <w:rsid w:val="3C7F794A"/>
    <w:rsid w:val="3C9B3DA4"/>
    <w:rsid w:val="3C9D771B"/>
    <w:rsid w:val="3CF1345D"/>
    <w:rsid w:val="3CF7310E"/>
    <w:rsid w:val="3DB05C42"/>
    <w:rsid w:val="3DED1193"/>
    <w:rsid w:val="3F1D5557"/>
    <w:rsid w:val="3F5F4916"/>
    <w:rsid w:val="3FFE5E34"/>
    <w:rsid w:val="400D1324"/>
    <w:rsid w:val="411A6F63"/>
    <w:rsid w:val="43441DEB"/>
    <w:rsid w:val="4429503A"/>
    <w:rsid w:val="44DA2A96"/>
    <w:rsid w:val="455034E9"/>
    <w:rsid w:val="461D4A97"/>
    <w:rsid w:val="48087ABB"/>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2661FA"/>
    <w:rsid w:val="53375828"/>
    <w:rsid w:val="53776509"/>
    <w:rsid w:val="56BA15D9"/>
    <w:rsid w:val="56EC72B0"/>
    <w:rsid w:val="582728FB"/>
    <w:rsid w:val="58CF09EC"/>
    <w:rsid w:val="59DA5CBA"/>
    <w:rsid w:val="5B6234AA"/>
    <w:rsid w:val="5B844A35"/>
    <w:rsid w:val="5C2D048D"/>
    <w:rsid w:val="5C7B7502"/>
    <w:rsid w:val="5F51216C"/>
    <w:rsid w:val="61FA353A"/>
    <w:rsid w:val="62C06610"/>
    <w:rsid w:val="62E511DB"/>
    <w:rsid w:val="63654BA0"/>
    <w:rsid w:val="6433127A"/>
    <w:rsid w:val="653B5222"/>
    <w:rsid w:val="65520088"/>
    <w:rsid w:val="655820EC"/>
    <w:rsid w:val="65A07531"/>
    <w:rsid w:val="675F565F"/>
    <w:rsid w:val="68F05F97"/>
    <w:rsid w:val="690802CD"/>
    <w:rsid w:val="691F7904"/>
    <w:rsid w:val="69282792"/>
    <w:rsid w:val="69B860CC"/>
    <w:rsid w:val="6A21622D"/>
    <w:rsid w:val="6B4F062E"/>
    <w:rsid w:val="6BD15F74"/>
    <w:rsid w:val="6BD35BF3"/>
    <w:rsid w:val="6C982DAE"/>
    <w:rsid w:val="6D9A32D4"/>
    <w:rsid w:val="6DB67ED9"/>
    <w:rsid w:val="6FFC4D49"/>
    <w:rsid w:val="7075636C"/>
    <w:rsid w:val="72135F4A"/>
    <w:rsid w:val="7486526D"/>
    <w:rsid w:val="74D67075"/>
    <w:rsid w:val="753C292C"/>
    <w:rsid w:val="76141777"/>
    <w:rsid w:val="762457F3"/>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qFormat="1" w:uiPriority="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semiHidden/>
    <w:unhideWhenUsed/>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semiHidden/>
    <w:unhideWhenUsed/>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semiHidden/>
    <w:unhideWhenUsed/>
    <w:qFormat/>
    <w:uiPriority w:val="0"/>
    <w:pPr>
      <w:spacing w:after="0"/>
    </w:pPr>
  </w:style>
  <w:style w:type="paragraph" w:styleId="24">
    <w:name w:val="List Bullet 4"/>
    <w:basedOn w:val="1"/>
    <w:semiHidden/>
    <w:unhideWhenUsed/>
    <w:qFormat/>
    <w:uiPriority w:val="0"/>
    <w:pPr>
      <w:numPr>
        <w:ilvl w:val="0"/>
        <w:numId w:val="2"/>
      </w:numPr>
      <w:contextualSpacing/>
    </w:pPr>
  </w:style>
  <w:style w:type="paragraph" w:styleId="25">
    <w:name w:val="index 8"/>
    <w:basedOn w:val="1"/>
    <w:next w:val="1"/>
    <w:semiHidden/>
    <w:unhideWhenUsed/>
    <w:qFormat/>
    <w:uiPriority w:val="0"/>
    <w:pPr>
      <w:spacing w:after="0"/>
      <w:ind w:left="1600" w:hanging="200"/>
    </w:pPr>
  </w:style>
  <w:style w:type="paragraph" w:styleId="26">
    <w:name w:val="E-mail Signature"/>
    <w:basedOn w:val="1"/>
    <w:link w:val="147"/>
    <w:semiHidden/>
    <w:unhideWhenUsed/>
    <w:qFormat/>
    <w:uiPriority w:val="0"/>
    <w:pPr>
      <w:spacing w:after="0"/>
    </w:pPr>
  </w:style>
  <w:style w:type="paragraph" w:styleId="27">
    <w:name w:val="List Number"/>
    <w:basedOn w:val="1"/>
    <w:semiHidden/>
    <w:unhideWhenUsed/>
    <w:qFormat/>
    <w:uiPriority w:val="0"/>
    <w:pPr>
      <w:numPr>
        <w:ilvl w:val="0"/>
        <w:numId w:val="3"/>
      </w:numPr>
      <w:contextualSpacing/>
    </w:pPr>
  </w:style>
  <w:style w:type="paragraph" w:styleId="28">
    <w:name w:val="Normal Indent"/>
    <w:basedOn w:val="1"/>
    <w:semiHidden/>
    <w:unhideWhenUsed/>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semiHidden/>
    <w:unhideWhenUsed/>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semiHidden/>
    <w:unhideWhenUsed/>
    <w:qFormat/>
    <w:uiPriority w:val="0"/>
    <w:pPr>
      <w:spacing w:after="0"/>
    </w:pPr>
    <w:rPr>
      <w:rFonts w:ascii="Segoe UI" w:hAnsi="Segoe UI" w:cs="Segoe UI"/>
      <w:sz w:val="16"/>
      <w:szCs w:val="16"/>
    </w:rPr>
  </w:style>
  <w:style w:type="paragraph" w:styleId="34">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32"/>
    <w:qFormat/>
    <w:uiPriority w:val="0"/>
  </w:style>
  <w:style w:type="paragraph" w:styleId="36">
    <w:name w:val="index 6"/>
    <w:basedOn w:val="1"/>
    <w:next w:val="1"/>
    <w:semiHidden/>
    <w:unhideWhenUsed/>
    <w:qFormat/>
    <w:uiPriority w:val="0"/>
    <w:pPr>
      <w:spacing w:after="0"/>
      <w:ind w:left="1200" w:hanging="200"/>
    </w:pPr>
  </w:style>
  <w:style w:type="paragraph" w:styleId="37">
    <w:name w:val="Salutation"/>
    <w:basedOn w:val="1"/>
    <w:next w:val="1"/>
    <w:link w:val="162"/>
    <w:semiHidden/>
    <w:unhideWhenUsed/>
    <w:qFormat/>
    <w:uiPriority w:val="0"/>
  </w:style>
  <w:style w:type="paragraph" w:styleId="38">
    <w:name w:val="Body Text 3"/>
    <w:basedOn w:val="1"/>
    <w:link w:val="138"/>
    <w:semiHidden/>
    <w:unhideWhenUsed/>
    <w:qFormat/>
    <w:uiPriority w:val="0"/>
    <w:pPr>
      <w:spacing w:after="120"/>
    </w:pPr>
    <w:rPr>
      <w:sz w:val="16"/>
      <w:szCs w:val="16"/>
    </w:rPr>
  </w:style>
  <w:style w:type="paragraph" w:styleId="39">
    <w:name w:val="Closing"/>
    <w:basedOn w:val="1"/>
    <w:link w:val="144"/>
    <w:semiHidden/>
    <w:unhideWhenUsed/>
    <w:qFormat/>
    <w:uiPriority w:val="0"/>
    <w:pPr>
      <w:spacing w:after="0"/>
      <w:ind w:left="4252"/>
    </w:pPr>
  </w:style>
  <w:style w:type="paragraph" w:styleId="40">
    <w:name w:val="List Bullet 3"/>
    <w:basedOn w:val="1"/>
    <w:semiHidden/>
    <w:unhideWhenUsed/>
    <w:qFormat/>
    <w:uiPriority w:val="0"/>
    <w:pPr>
      <w:numPr>
        <w:ilvl w:val="0"/>
        <w:numId w:val="5"/>
      </w:numPr>
      <w:contextualSpacing/>
    </w:pPr>
  </w:style>
  <w:style w:type="paragraph" w:styleId="41">
    <w:name w:val="Body Text"/>
    <w:basedOn w:val="1"/>
    <w:link w:val="136"/>
    <w:semiHidden/>
    <w:unhideWhenUsed/>
    <w:qFormat/>
    <w:uiPriority w:val="0"/>
    <w:pPr>
      <w:spacing w:after="120"/>
    </w:pPr>
  </w:style>
  <w:style w:type="paragraph" w:styleId="42">
    <w:name w:val="Body Text Indent"/>
    <w:basedOn w:val="1"/>
    <w:link w:val="140"/>
    <w:semiHidden/>
    <w:unhideWhenUsed/>
    <w:qFormat/>
    <w:uiPriority w:val="0"/>
    <w:pPr>
      <w:spacing w:after="120"/>
      <w:ind w:left="283"/>
    </w:pPr>
  </w:style>
  <w:style w:type="paragraph" w:styleId="43">
    <w:name w:val="List Number 3"/>
    <w:basedOn w:val="1"/>
    <w:semiHidden/>
    <w:unhideWhenUsed/>
    <w:qFormat/>
    <w:uiPriority w:val="0"/>
    <w:pPr>
      <w:numPr>
        <w:ilvl w:val="0"/>
        <w:numId w:val="6"/>
      </w:numPr>
      <w:contextualSpacing/>
    </w:pPr>
  </w:style>
  <w:style w:type="paragraph" w:styleId="44">
    <w:name w:val="List 2"/>
    <w:basedOn w:val="1"/>
    <w:semiHidden/>
    <w:unhideWhenUsed/>
    <w:qFormat/>
    <w:uiPriority w:val="0"/>
    <w:pPr>
      <w:ind w:left="566" w:hanging="283"/>
      <w:contextualSpacing/>
    </w:pPr>
  </w:style>
  <w:style w:type="paragraph" w:styleId="45">
    <w:name w:val="List Continue"/>
    <w:basedOn w:val="1"/>
    <w:semiHidden/>
    <w:unhideWhenUsed/>
    <w:qFormat/>
    <w:uiPriority w:val="0"/>
    <w:pPr>
      <w:spacing w:after="120"/>
      <w:ind w:left="283"/>
      <w:contextualSpacing/>
    </w:pPr>
  </w:style>
  <w:style w:type="paragraph" w:styleId="46">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semiHidden/>
    <w:unhideWhenUsed/>
    <w:qFormat/>
    <w:uiPriority w:val="0"/>
    <w:pPr>
      <w:numPr>
        <w:ilvl w:val="0"/>
        <w:numId w:val="7"/>
      </w:numPr>
      <w:contextualSpacing/>
    </w:pPr>
  </w:style>
  <w:style w:type="paragraph" w:styleId="48">
    <w:name w:val="HTML Address"/>
    <w:basedOn w:val="1"/>
    <w:link w:val="150"/>
    <w:semiHidden/>
    <w:unhideWhenUsed/>
    <w:qFormat/>
    <w:uiPriority w:val="0"/>
    <w:pPr>
      <w:spacing w:after="0"/>
    </w:pPr>
    <w:rPr>
      <w:i/>
      <w:iCs/>
    </w:rPr>
  </w:style>
  <w:style w:type="paragraph" w:styleId="49">
    <w:name w:val="index 4"/>
    <w:basedOn w:val="1"/>
    <w:next w:val="1"/>
    <w:semiHidden/>
    <w:unhideWhenUsed/>
    <w:qFormat/>
    <w:uiPriority w:val="0"/>
    <w:pPr>
      <w:spacing w:after="0"/>
      <w:ind w:left="800" w:hanging="200"/>
    </w:pPr>
  </w:style>
  <w:style w:type="paragraph" w:styleId="50">
    <w:name w:val="Plain Text"/>
    <w:basedOn w:val="1"/>
    <w:link w:val="159"/>
    <w:semiHidden/>
    <w:unhideWhenUsed/>
    <w:qFormat/>
    <w:uiPriority w:val="0"/>
    <w:pPr>
      <w:spacing w:after="0"/>
    </w:pPr>
    <w:rPr>
      <w:rFonts w:ascii="Consolas" w:hAnsi="Consolas"/>
      <w:sz w:val="21"/>
      <w:szCs w:val="21"/>
    </w:rPr>
  </w:style>
  <w:style w:type="paragraph" w:styleId="51">
    <w:name w:val="List Bullet 5"/>
    <w:basedOn w:val="1"/>
    <w:semiHidden/>
    <w:unhideWhenUsed/>
    <w:qFormat/>
    <w:uiPriority w:val="0"/>
    <w:pPr>
      <w:numPr>
        <w:ilvl w:val="0"/>
        <w:numId w:val="8"/>
      </w:numPr>
      <w:contextualSpacing/>
    </w:pPr>
  </w:style>
  <w:style w:type="paragraph" w:styleId="52">
    <w:name w:val="List Number 4"/>
    <w:basedOn w:val="1"/>
    <w:semiHidden/>
    <w:unhideWhenUsed/>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semiHidden/>
    <w:unhideWhenUsed/>
    <w:qFormat/>
    <w:uiPriority w:val="0"/>
    <w:pPr>
      <w:spacing w:after="0"/>
      <w:ind w:left="600" w:hanging="200"/>
    </w:pPr>
  </w:style>
  <w:style w:type="paragraph" w:styleId="55">
    <w:name w:val="Date"/>
    <w:basedOn w:val="1"/>
    <w:next w:val="1"/>
    <w:link w:val="145"/>
    <w:semiHidden/>
    <w:unhideWhenUsed/>
    <w:qFormat/>
    <w:uiPriority w:val="0"/>
  </w:style>
  <w:style w:type="paragraph" w:styleId="56">
    <w:name w:val="Body Text Indent 2"/>
    <w:basedOn w:val="1"/>
    <w:link w:val="142"/>
    <w:semiHidden/>
    <w:unhideWhenUsed/>
    <w:qFormat/>
    <w:uiPriority w:val="0"/>
    <w:pPr>
      <w:spacing w:after="120" w:line="480" w:lineRule="auto"/>
      <w:ind w:left="283"/>
    </w:pPr>
  </w:style>
  <w:style w:type="paragraph" w:styleId="57">
    <w:name w:val="endnote text"/>
    <w:basedOn w:val="1"/>
    <w:link w:val="148"/>
    <w:semiHidden/>
    <w:unhideWhenUsed/>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semiHidden/>
    <w:unhideWhenUsed/>
    <w:qFormat/>
    <w:uiPriority w:val="0"/>
    <w:pPr>
      <w:spacing w:after="0"/>
    </w:pPr>
    <w:rPr>
      <w:rFonts w:asciiTheme="majorHAnsi" w:hAnsiTheme="majorHAnsi" w:eastAsiaTheme="majorEastAsia" w:cstheme="majorBidi"/>
    </w:rPr>
  </w:style>
  <w:style w:type="paragraph" w:styleId="63">
    <w:name w:val="Signature"/>
    <w:basedOn w:val="1"/>
    <w:link w:val="163"/>
    <w:semiHidden/>
    <w:unhideWhenUsed/>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semiHidden/>
    <w:unhideWhenUsed/>
    <w:qFormat/>
    <w:uiPriority w:val="0"/>
    <w:rPr>
      <w:rFonts w:asciiTheme="majorHAnsi" w:hAnsiTheme="majorHAnsi" w:eastAsiaTheme="majorEastAsia" w:cstheme="majorBidi"/>
      <w:b/>
      <w:bCs/>
    </w:rPr>
  </w:style>
  <w:style w:type="paragraph" w:styleId="66">
    <w:name w:val="index 1"/>
    <w:basedOn w:val="1"/>
    <w:next w:val="1"/>
    <w:semiHidden/>
    <w:unhideWhenUsed/>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semiHidden/>
    <w:unhideWhenUsed/>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semiHidden/>
    <w:unhideWhenUsed/>
    <w:qFormat/>
    <w:uiPriority w:val="0"/>
    <w:pPr>
      <w:spacing w:after="0"/>
    </w:pPr>
  </w:style>
  <w:style w:type="paragraph" w:styleId="71">
    <w:name w:val="List 5"/>
    <w:basedOn w:val="1"/>
    <w:semiHidden/>
    <w:unhideWhenUsed/>
    <w:qFormat/>
    <w:uiPriority w:val="0"/>
    <w:pPr>
      <w:ind w:left="1415" w:hanging="283"/>
      <w:contextualSpacing/>
    </w:pPr>
  </w:style>
  <w:style w:type="paragraph" w:styleId="72">
    <w:name w:val="Body Text Indent 3"/>
    <w:basedOn w:val="1"/>
    <w:link w:val="143"/>
    <w:semiHidden/>
    <w:unhideWhenUsed/>
    <w:qFormat/>
    <w:uiPriority w:val="0"/>
    <w:pPr>
      <w:spacing w:after="120"/>
      <w:ind w:left="283"/>
    </w:pPr>
    <w:rPr>
      <w:sz w:val="16"/>
      <w:szCs w:val="16"/>
    </w:rPr>
  </w:style>
  <w:style w:type="paragraph" w:styleId="73">
    <w:name w:val="index 7"/>
    <w:basedOn w:val="1"/>
    <w:next w:val="1"/>
    <w:semiHidden/>
    <w:unhideWhenUsed/>
    <w:qFormat/>
    <w:uiPriority w:val="0"/>
    <w:pPr>
      <w:spacing w:after="0"/>
      <w:ind w:left="1400" w:hanging="200"/>
    </w:pPr>
  </w:style>
  <w:style w:type="paragraph" w:styleId="74">
    <w:name w:val="index 9"/>
    <w:basedOn w:val="1"/>
    <w:next w:val="1"/>
    <w:semiHidden/>
    <w:unhideWhenUsed/>
    <w:qFormat/>
    <w:uiPriority w:val="0"/>
    <w:pPr>
      <w:spacing w:after="0"/>
      <w:ind w:left="1800" w:hanging="200"/>
    </w:pPr>
  </w:style>
  <w:style w:type="paragraph" w:styleId="75">
    <w:name w:val="table of figures"/>
    <w:basedOn w:val="1"/>
    <w:next w:val="1"/>
    <w:semiHidden/>
    <w:unhideWhenUsed/>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semiHidden/>
    <w:unhideWhenUsed/>
    <w:qFormat/>
    <w:uiPriority w:val="0"/>
    <w:pPr>
      <w:spacing w:after="120" w:line="480" w:lineRule="auto"/>
    </w:pPr>
  </w:style>
  <w:style w:type="paragraph" w:styleId="78">
    <w:name w:val="List 4"/>
    <w:basedOn w:val="1"/>
    <w:semiHidden/>
    <w:unhideWhenUsed/>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semiHidden/>
    <w:unhideWhenUsed/>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33"/>
    <w:qFormat/>
    <w:uiPriority w:val="0"/>
    <w:rPr>
      <w:b/>
      <w:bCs/>
    </w:rPr>
  </w:style>
  <w:style w:type="paragraph" w:styleId="87">
    <w:name w:val="Body Text First Indent"/>
    <w:basedOn w:val="41"/>
    <w:link w:val="139"/>
    <w:semiHidden/>
    <w:unhideWhenUsed/>
    <w:qFormat/>
    <w:uiPriority w:val="0"/>
    <w:pPr>
      <w:spacing w:after="180"/>
      <w:ind w:firstLine="360"/>
    </w:pPr>
  </w:style>
  <w:style w:type="paragraph" w:styleId="88">
    <w:name w:val="Body Text First Indent 2"/>
    <w:basedOn w:val="42"/>
    <w:link w:val="141"/>
    <w:semiHidden/>
    <w:unhideWhenUsed/>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eastAsia="Times New Roman" w:cs="Segoe UI"/>
      <w:sz w:val="18"/>
      <w:szCs w:val="18"/>
      <w:lang w:val="en-GB"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Comment Text Char"/>
    <w:basedOn w:val="91"/>
    <w:link w:val="35"/>
    <w:qFormat/>
    <w:uiPriority w:val="0"/>
    <w:rPr>
      <w:rFonts w:eastAsia="Times New Roman"/>
      <w:lang w:val="en-GB" w:eastAsia="en-US"/>
    </w:rPr>
  </w:style>
  <w:style w:type="character" w:customStyle="1" w:styleId="133">
    <w:name w:val="Comment Subject Char"/>
    <w:basedOn w:val="132"/>
    <w:link w:val="86"/>
    <w:qFormat/>
    <w:uiPriority w:val="0"/>
    <w:rPr>
      <w:rFonts w:eastAsia="Times New Roman"/>
      <w:b/>
      <w:bCs/>
      <w:lang w:val="en-GB" w:eastAsia="en-US"/>
    </w:rPr>
  </w:style>
  <w:style w:type="paragraph" w:customStyle="1" w:styleId="134">
    <w:name w:val="修订1"/>
    <w:hidden/>
    <w:semiHidden/>
    <w:qFormat/>
    <w:uiPriority w:val="99"/>
    <w:rPr>
      <w:rFonts w:ascii="Times New Roman" w:hAnsi="Times New Roman" w:eastAsia="Times New Roman" w:cs="Times New Roman"/>
      <w:lang w:val="en-GB" w:eastAsia="en-US" w:bidi="ar-SA"/>
    </w:rPr>
  </w:style>
  <w:style w:type="paragraph" w:customStyle="1" w:styleId="135">
    <w:name w:val="Bibliography"/>
    <w:basedOn w:val="1"/>
    <w:next w:val="1"/>
    <w:semiHidden/>
    <w:unhideWhenUsed/>
    <w:qFormat/>
    <w:uiPriority w:val="37"/>
  </w:style>
  <w:style w:type="character" w:customStyle="1" w:styleId="136">
    <w:name w:val="Body Text Char"/>
    <w:basedOn w:val="91"/>
    <w:link w:val="41"/>
    <w:semiHidden/>
    <w:qFormat/>
    <w:uiPriority w:val="0"/>
    <w:rPr>
      <w:rFonts w:eastAsia="Times New Roman"/>
      <w:lang w:val="en-GB" w:eastAsia="en-US"/>
    </w:rPr>
  </w:style>
  <w:style w:type="character" w:customStyle="1" w:styleId="137">
    <w:name w:val="Body Text 2 Char"/>
    <w:basedOn w:val="91"/>
    <w:link w:val="77"/>
    <w:semiHidden/>
    <w:qFormat/>
    <w:uiPriority w:val="0"/>
    <w:rPr>
      <w:rFonts w:eastAsia="Times New Roman"/>
      <w:lang w:val="en-GB" w:eastAsia="en-US"/>
    </w:rPr>
  </w:style>
  <w:style w:type="character" w:customStyle="1" w:styleId="138">
    <w:name w:val="Body Text 3 Char"/>
    <w:basedOn w:val="91"/>
    <w:link w:val="38"/>
    <w:semiHidden/>
    <w:qFormat/>
    <w:uiPriority w:val="0"/>
    <w:rPr>
      <w:rFonts w:eastAsia="Times New Roman"/>
      <w:sz w:val="16"/>
      <w:szCs w:val="16"/>
      <w:lang w:val="en-GB" w:eastAsia="en-US"/>
    </w:rPr>
  </w:style>
  <w:style w:type="character" w:customStyle="1" w:styleId="139">
    <w:name w:val="Body Text First Indent Char"/>
    <w:basedOn w:val="136"/>
    <w:link w:val="87"/>
    <w:semiHidden/>
    <w:qFormat/>
    <w:uiPriority w:val="0"/>
    <w:rPr>
      <w:rFonts w:eastAsia="Times New Roman"/>
      <w:lang w:val="en-GB" w:eastAsia="en-US"/>
    </w:rPr>
  </w:style>
  <w:style w:type="character" w:customStyle="1" w:styleId="140">
    <w:name w:val="Body Text Indent Char"/>
    <w:basedOn w:val="91"/>
    <w:link w:val="42"/>
    <w:semiHidden/>
    <w:qFormat/>
    <w:uiPriority w:val="0"/>
    <w:rPr>
      <w:rFonts w:eastAsia="Times New Roman"/>
      <w:lang w:val="en-GB" w:eastAsia="en-US"/>
    </w:rPr>
  </w:style>
  <w:style w:type="character" w:customStyle="1" w:styleId="141">
    <w:name w:val="Body Text First Indent 2 Char"/>
    <w:basedOn w:val="140"/>
    <w:link w:val="88"/>
    <w:semiHidden/>
    <w:qFormat/>
    <w:uiPriority w:val="0"/>
    <w:rPr>
      <w:rFonts w:eastAsia="Times New Roman"/>
      <w:lang w:val="en-GB" w:eastAsia="en-US"/>
    </w:rPr>
  </w:style>
  <w:style w:type="character" w:customStyle="1" w:styleId="142">
    <w:name w:val="Body Text Indent 2 Char"/>
    <w:basedOn w:val="91"/>
    <w:link w:val="56"/>
    <w:semiHidden/>
    <w:qFormat/>
    <w:uiPriority w:val="0"/>
    <w:rPr>
      <w:rFonts w:eastAsia="Times New Roman"/>
      <w:lang w:val="en-GB" w:eastAsia="en-US"/>
    </w:rPr>
  </w:style>
  <w:style w:type="character" w:customStyle="1" w:styleId="143">
    <w:name w:val="Body Text Indent 3 Char"/>
    <w:basedOn w:val="91"/>
    <w:link w:val="72"/>
    <w:semiHidden/>
    <w:qFormat/>
    <w:uiPriority w:val="0"/>
    <w:rPr>
      <w:rFonts w:eastAsia="Times New Roman"/>
      <w:sz w:val="16"/>
      <w:szCs w:val="16"/>
      <w:lang w:val="en-GB" w:eastAsia="en-US"/>
    </w:rPr>
  </w:style>
  <w:style w:type="character" w:customStyle="1" w:styleId="144">
    <w:name w:val="Closing Char"/>
    <w:basedOn w:val="91"/>
    <w:link w:val="39"/>
    <w:semiHidden/>
    <w:qFormat/>
    <w:uiPriority w:val="0"/>
    <w:rPr>
      <w:rFonts w:eastAsia="Times New Roman"/>
      <w:lang w:val="en-GB" w:eastAsia="en-US"/>
    </w:rPr>
  </w:style>
  <w:style w:type="character" w:customStyle="1" w:styleId="145">
    <w:name w:val="Date Char"/>
    <w:basedOn w:val="91"/>
    <w:link w:val="55"/>
    <w:semiHidden/>
    <w:qFormat/>
    <w:uiPriority w:val="0"/>
    <w:rPr>
      <w:rFonts w:eastAsia="Times New Roman"/>
      <w:lang w:val="en-GB" w:eastAsia="en-US"/>
    </w:rPr>
  </w:style>
  <w:style w:type="character" w:customStyle="1" w:styleId="146">
    <w:name w:val="Document Map Char"/>
    <w:basedOn w:val="91"/>
    <w:link w:val="33"/>
    <w:semiHidden/>
    <w:qFormat/>
    <w:uiPriority w:val="0"/>
    <w:rPr>
      <w:rFonts w:ascii="Segoe UI" w:hAnsi="Segoe UI" w:eastAsia="Times New Roman" w:cs="Segoe UI"/>
      <w:sz w:val="16"/>
      <w:szCs w:val="16"/>
      <w:lang w:val="en-GB" w:eastAsia="en-US"/>
    </w:rPr>
  </w:style>
  <w:style w:type="character" w:customStyle="1" w:styleId="147">
    <w:name w:val="E-mail Signature Char"/>
    <w:basedOn w:val="91"/>
    <w:link w:val="26"/>
    <w:semiHidden/>
    <w:qFormat/>
    <w:uiPriority w:val="0"/>
    <w:rPr>
      <w:rFonts w:eastAsia="Times New Roman"/>
      <w:lang w:val="en-GB" w:eastAsia="en-US"/>
    </w:rPr>
  </w:style>
  <w:style w:type="character" w:customStyle="1" w:styleId="148">
    <w:name w:val="Endnote Text Char"/>
    <w:basedOn w:val="91"/>
    <w:link w:val="57"/>
    <w:semiHidden/>
    <w:qFormat/>
    <w:uiPriority w:val="0"/>
    <w:rPr>
      <w:rFonts w:eastAsia="Times New Roman"/>
      <w:lang w:val="en-GB" w:eastAsia="en-US"/>
    </w:rPr>
  </w:style>
  <w:style w:type="character" w:customStyle="1" w:styleId="149">
    <w:name w:val="Footnote Text Char"/>
    <w:basedOn w:val="91"/>
    <w:link w:val="70"/>
    <w:semiHidden/>
    <w:qFormat/>
    <w:uiPriority w:val="0"/>
    <w:rPr>
      <w:rFonts w:eastAsia="Times New Roman"/>
      <w:lang w:val="en-GB" w:eastAsia="en-US"/>
    </w:rPr>
  </w:style>
  <w:style w:type="character" w:customStyle="1" w:styleId="150">
    <w:name w:val="HTML Address Char"/>
    <w:basedOn w:val="91"/>
    <w:link w:val="48"/>
    <w:semiHidden/>
    <w:qFormat/>
    <w:uiPriority w:val="0"/>
    <w:rPr>
      <w:rFonts w:eastAsia="Times New Roman"/>
      <w:i/>
      <w:iCs/>
      <w:lang w:val="en-GB" w:eastAsia="en-US"/>
    </w:rPr>
  </w:style>
  <w:style w:type="character" w:customStyle="1" w:styleId="151">
    <w:name w:val="HTML Preformatted Char"/>
    <w:basedOn w:val="91"/>
    <w:link w:val="81"/>
    <w:semiHidden/>
    <w:qFormat/>
    <w:uiPriority w:val="0"/>
    <w:rPr>
      <w:rFonts w:ascii="Consolas" w:hAnsi="Consolas" w:eastAsia="Times New Roman"/>
      <w:lang w:val="en-GB" w:eastAsia="en-US"/>
    </w:rPr>
  </w:style>
  <w:style w:type="paragraph" w:styleId="152">
    <w:name w:val="Intense Quote"/>
    <w:basedOn w:val="1"/>
    <w:next w:val="1"/>
    <w:link w:val="153"/>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semiHidden/>
    <w:qFormat/>
    <w:uiPriority w:val="99"/>
    <w:rPr>
      <w:rFonts w:eastAsia="Times New Roman"/>
      <w:i/>
      <w:iCs/>
      <w:color w:val="4472C4" w:themeColor="accent1"/>
      <w:lang w:val="en-GB" w:eastAsia="en-US"/>
      <w14:textFill>
        <w14:solidFill>
          <w14:schemeClr w14:val="accent1"/>
        </w14:solidFill>
      </w14:textFill>
    </w:rPr>
  </w:style>
  <w:style w:type="paragraph" w:styleId="154">
    <w:name w:val="List Paragraph"/>
    <w:basedOn w:val="1"/>
    <w:semiHidden/>
    <w:unhideWhenUsed/>
    <w:qFormat/>
    <w:uiPriority w:val="99"/>
    <w:pPr>
      <w:ind w:left="720"/>
      <w:contextualSpacing/>
    </w:pPr>
  </w:style>
  <w:style w:type="character" w:customStyle="1" w:styleId="155">
    <w:name w:val="Macro Text Char"/>
    <w:basedOn w:val="91"/>
    <w:link w:val="2"/>
    <w:semiHidden/>
    <w:qFormat/>
    <w:uiPriority w:val="0"/>
    <w:rPr>
      <w:rFonts w:ascii="Consolas" w:hAnsi="Consolas" w:eastAsia="Times New Roman"/>
      <w:lang w:val="en-GB" w:eastAsia="en-US"/>
    </w:rPr>
  </w:style>
  <w:style w:type="character" w:customStyle="1" w:styleId="156">
    <w:name w:val="Message Header Char"/>
    <w:basedOn w:val="91"/>
    <w:link w:val="80"/>
    <w:semiHidden/>
    <w:uiPriority w:val="0"/>
    <w:rPr>
      <w:rFonts w:asciiTheme="majorHAnsi" w:hAnsiTheme="majorHAnsi" w:eastAsiaTheme="majorEastAsia" w:cstheme="majorBidi"/>
      <w:sz w:val="24"/>
      <w:szCs w:val="24"/>
      <w:shd w:val="pct20" w:color="auto" w:fill="auto"/>
      <w:lang w:val="en-GB" w:eastAsia="en-US"/>
    </w:rPr>
  </w:style>
  <w:style w:type="paragraph" w:styleId="157">
    <w:name w:val="No Spacing"/>
    <w:semiHidden/>
    <w:unhideWhenUsed/>
    <w:qFormat/>
    <w:uiPriority w:val="99"/>
    <w:rPr>
      <w:rFonts w:ascii="Times New Roman" w:hAnsi="Times New Roman" w:eastAsia="Times New Roman" w:cs="Times New Roman"/>
      <w:lang w:val="en-GB" w:eastAsia="en-US" w:bidi="ar-SA"/>
    </w:rPr>
  </w:style>
  <w:style w:type="character" w:customStyle="1" w:styleId="158">
    <w:name w:val="Note Heading Char"/>
    <w:basedOn w:val="91"/>
    <w:link w:val="23"/>
    <w:semiHidden/>
    <w:qFormat/>
    <w:uiPriority w:val="0"/>
    <w:rPr>
      <w:rFonts w:eastAsia="Times New Roman"/>
      <w:lang w:val="en-GB" w:eastAsia="en-US"/>
    </w:rPr>
  </w:style>
  <w:style w:type="character" w:customStyle="1" w:styleId="159">
    <w:name w:val="Plain Text Char"/>
    <w:basedOn w:val="91"/>
    <w:link w:val="50"/>
    <w:semiHidden/>
    <w:qFormat/>
    <w:uiPriority w:val="0"/>
    <w:rPr>
      <w:rFonts w:ascii="Consolas" w:hAnsi="Consolas" w:eastAsia="Times New Roman"/>
      <w:sz w:val="21"/>
      <w:szCs w:val="21"/>
      <w:lang w:val="en-GB" w:eastAsia="en-US"/>
    </w:rPr>
  </w:style>
  <w:style w:type="paragraph" w:styleId="160">
    <w:name w:val="Quote"/>
    <w:basedOn w:val="1"/>
    <w:next w:val="1"/>
    <w:link w:val="161"/>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semiHidden/>
    <w:qFormat/>
    <w:uiPriority w:val="9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2">
    <w:name w:val="Salutation Char"/>
    <w:basedOn w:val="91"/>
    <w:link w:val="37"/>
    <w:semiHidden/>
    <w:qFormat/>
    <w:uiPriority w:val="0"/>
    <w:rPr>
      <w:rFonts w:eastAsia="Times New Roman"/>
      <w:lang w:val="en-GB" w:eastAsia="en-US"/>
    </w:rPr>
  </w:style>
  <w:style w:type="character" w:customStyle="1" w:styleId="163">
    <w:name w:val="Signature Char"/>
    <w:basedOn w:val="91"/>
    <w:link w:val="63"/>
    <w:semiHidden/>
    <w:qFormat/>
    <w:uiPriority w:val="0"/>
    <w:rPr>
      <w:rFonts w:eastAsia="Times New Roman"/>
      <w:lang w:val="en-GB" w:eastAsia="en-US"/>
    </w:rPr>
  </w:style>
  <w:style w:type="character" w:customStyle="1" w:styleId="164">
    <w:name w:val="Subtitle Char"/>
    <w:basedOn w:val="91"/>
    <w:link w:val="67"/>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2154</Words>
  <Characters>12278</Characters>
  <Lines>102</Lines>
  <Paragraphs>28</Paragraphs>
  <TotalTime>2</TotalTime>
  <ScaleCrop>false</ScaleCrop>
  <LinksUpToDate>false</LinksUpToDate>
  <CharactersWithSpaces>14404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2023-06-04T03:27:00Z</dcterms:created>
  <dc:creator>MCC Support</dc:creator>
  <cp:keywords>&lt;keyword[, keyword, ]&gt;</cp:keywords>
  <cp:lastModifiedBy>CMDI</cp:lastModifiedBy>
  <cp:lastPrinted>2019-02-25T14:05:00Z</cp:lastPrinted>
  <dcterms:modified xsi:type="dcterms:W3CDTF">2023-08-29T09:38:07Z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2943CE9BF85643D782B2C48522B1D3AA</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