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793BD43E"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r w:rsidR="009A0DB2">
              <w:rPr>
                <w:lang w:val="sv-SE"/>
              </w:rPr>
              <w:t>2</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2021-</w:t>
            </w:r>
            <w:r w:rsidR="009A0DB2">
              <w:rPr>
                <w:sz w:val="32"/>
                <w:lang w:val="sv-SE"/>
              </w:rPr>
              <w:t>10</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AC4B09">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AC4B09" w:rsidP="00133525">
            <w:pPr>
              <w:jc w:val="right"/>
            </w:pPr>
            <w:bookmarkStart w:id="8" w:name="logos"/>
            <w:r>
              <w:pict w14:anchorId="253E932E">
                <v:shape id="_x0000_i1026" type="#_x0000_t75" style="width:127.75pt;height:74.45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77B3B214" w14:textId="5CE5C4AD" w:rsidR="00302B93" w:rsidRPr="00AC4B09"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02B93">
        <w:t>Foreword</w:t>
      </w:r>
      <w:r w:rsidR="00302B93">
        <w:tab/>
      </w:r>
      <w:r w:rsidR="00302B93">
        <w:fldChar w:fldCharType="begin"/>
      </w:r>
      <w:r w:rsidR="00302B93">
        <w:instrText xml:space="preserve"> PAGEREF _Toc85636844 \h </w:instrText>
      </w:r>
      <w:r w:rsidR="00302B93">
        <w:fldChar w:fldCharType="separate"/>
      </w:r>
      <w:r w:rsidR="00302B93">
        <w:t>4</w:t>
      </w:r>
      <w:r w:rsidR="00302B93">
        <w:fldChar w:fldCharType="end"/>
      </w:r>
    </w:p>
    <w:p w14:paraId="43C39649" w14:textId="1D3A1A62" w:rsidR="00302B93" w:rsidRPr="00AC4B09" w:rsidRDefault="00302B93">
      <w:pPr>
        <w:pStyle w:val="TOC1"/>
        <w:rPr>
          <w:rFonts w:ascii="Calibri" w:eastAsia="DengXian" w:hAnsi="Calibri"/>
          <w:szCs w:val="22"/>
          <w:lang w:val="en-US" w:eastAsia="zh-CN"/>
        </w:rPr>
      </w:pPr>
      <w:r>
        <w:t>Introduction</w:t>
      </w:r>
      <w:r>
        <w:tab/>
      </w:r>
      <w:r>
        <w:fldChar w:fldCharType="begin"/>
      </w:r>
      <w:r>
        <w:instrText xml:space="preserve"> PAGEREF _Toc85636845 \h </w:instrText>
      </w:r>
      <w:r>
        <w:fldChar w:fldCharType="separate"/>
      </w:r>
      <w:r>
        <w:t>5</w:t>
      </w:r>
      <w:r>
        <w:fldChar w:fldCharType="end"/>
      </w:r>
    </w:p>
    <w:p w14:paraId="41695373" w14:textId="2FD6568A" w:rsidR="00302B93" w:rsidRPr="00AC4B09" w:rsidRDefault="00302B93">
      <w:pPr>
        <w:pStyle w:val="TOC1"/>
        <w:rPr>
          <w:rFonts w:ascii="Calibri" w:eastAsia="DengXian" w:hAnsi="Calibri"/>
          <w:szCs w:val="22"/>
          <w:lang w:val="en-US" w:eastAsia="zh-CN"/>
        </w:rPr>
      </w:pPr>
      <w:r>
        <w:t>1</w:t>
      </w:r>
      <w:r w:rsidRPr="00AC4B09">
        <w:rPr>
          <w:rFonts w:ascii="Calibri" w:eastAsia="DengXian" w:hAnsi="Calibri"/>
          <w:szCs w:val="22"/>
          <w:lang w:val="en-US" w:eastAsia="zh-CN"/>
        </w:rPr>
        <w:tab/>
      </w:r>
      <w:r>
        <w:t>Scope</w:t>
      </w:r>
      <w:r>
        <w:tab/>
      </w:r>
      <w:r>
        <w:fldChar w:fldCharType="begin"/>
      </w:r>
      <w:r>
        <w:instrText xml:space="preserve"> PAGEREF _Toc85636846 \h </w:instrText>
      </w:r>
      <w:r>
        <w:fldChar w:fldCharType="separate"/>
      </w:r>
      <w:r>
        <w:t>6</w:t>
      </w:r>
      <w:r>
        <w:fldChar w:fldCharType="end"/>
      </w:r>
    </w:p>
    <w:p w14:paraId="00B32FF5" w14:textId="5357C218" w:rsidR="00302B93" w:rsidRPr="00AC4B09" w:rsidRDefault="00302B93">
      <w:pPr>
        <w:pStyle w:val="TOC1"/>
        <w:rPr>
          <w:rFonts w:ascii="Calibri" w:eastAsia="DengXian" w:hAnsi="Calibri"/>
          <w:szCs w:val="22"/>
          <w:lang w:val="en-US" w:eastAsia="zh-CN"/>
        </w:rPr>
      </w:pPr>
      <w:r>
        <w:t>2</w:t>
      </w:r>
      <w:r w:rsidRPr="00AC4B09">
        <w:rPr>
          <w:rFonts w:ascii="Calibri" w:eastAsia="DengXian" w:hAnsi="Calibri"/>
          <w:szCs w:val="22"/>
          <w:lang w:val="en-US" w:eastAsia="zh-CN"/>
        </w:rPr>
        <w:tab/>
      </w:r>
      <w:r>
        <w:t>References</w:t>
      </w:r>
      <w:r>
        <w:tab/>
      </w:r>
      <w:r>
        <w:fldChar w:fldCharType="begin"/>
      </w:r>
      <w:r>
        <w:instrText xml:space="preserve"> PAGEREF _Toc85636847 \h </w:instrText>
      </w:r>
      <w:r>
        <w:fldChar w:fldCharType="separate"/>
      </w:r>
      <w:r>
        <w:t>6</w:t>
      </w:r>
      <w:r>
        <w:fldChar w:fldCharType="end"/>
      </w:r>
    </w:p>
    <w:p w14:paraId="754380EC" w14:textId="21B935B5" w:rsidR="00302B93" w:rsidRPr="00AC4B09" w:rsidRDefault="00302B93">
      <w:pPr>
        <w:pStyle w:val="TOC1"/>
        <w:rPr>
          <w:rFonts w:ascii="Calibri" w:eastAsia="DengXian" w:hAnsi="Calibri"/>
          <w:szCs w:val="22"/>
          <w:lang w:val="en-US" w:eastAsia="zh-CN"/>
        </w:rPr>
      </w:pPr>
      <w:r>
        <w:t>3</w:t>
      </w:r>
      <w:r w:rsidRPr="00AC4B09">
        <w:rPr>
          <w:rFonts w:ascii="Calibri" w:eastAsia="DengXian" w:hAnsi="Calibri"/>
          <w:szCs w:val="22"/>
          <w:lang w:val="en-US" w:eastAsia="zh-CN"/>
        </w:rPr>
        <w:tab/>
      </w:r>
      <w:r>
        <w:t>Definitions of terms, symbols and abbreviations</w:t>
      </w:r>
      <w:r>
        <w:tab/>
      </w:r>
      <w:r>
        <w:fldChar w:fldCharType="begin"/>
      </w:r>
      <w:r>
        <w:instrText xml:space="preserve"> PAGEREF _Toc85636848 \h </w:instrText>
      </w:r>
      <w:r>
        <w:fldChar w:fldCharType="separate"/>
      </w:r>
      <w:r>
        <w:t>6</w:t>
      </w:r>
      <w:r>
        <w:fldChar w:fldCharType="end"/>
      </w:r>
    </w:p>
    <w:p w14:paraId="39B5E369" w14:textId="49CDD8E5" w:rsidR="00302B93" w:rsidRPr="00AC4B09" w:rsidRDefault="00302B93">
      <w:pPr>
        <w:pStyle w:val="TOC2"/>
        <w:rPr>
          <w:rFonts w:ascii="Calibri" w:eastAsia="DengXian" w:hAnsi="Calibri"/>
          <w:sz w:val="22"/>
          <w:szCs w:val="22"/>
          <w:lang w:val="en-US" w:eastAsia="zh-CN"/>
        </w:rPr>
      </w:pPr>
      <w:r>
        <w:t>3.1</w:t>
      </w:r>
      <w:r w:rsidRPr="00AC4B09">
        <w:rPr>
          <w:rFonts w:ascii="Calibri" w:eastAsia="DengXian" w:hAnsi="Calibri"/>
          <w:sz w:val="22"/>
          <w:szCs w:val="22"/>
          <w:lang w:val="en-US" w:eastAsia="zh-CN"/>
        </w:rPr>
        <w:tab/>
      </w:r>
      <w:r>
        <w:t>Terms</w:t>
      </w:r>
      <w:r>
        <w:tab/>
      </w:r>
      <w:r>
        <w:fldChar w:fldCharType="begin"/>
      </w:r>
      <w:r>
        <w:instrText xml:space="preserve"> PAGEREF _Toc85636849 \h </w:instrText>
      </w:r>
      <w:r>
        <w:fldChar w:fldCharType="separate"/>
      </w:r>
      <w:r>
        <w:t>6</w:t>
      </w:r>
      <w:r>
        <w:fldChar w:fldCharType="end"/>
      </w:r>
    </w:p>
    <w:p w14:paraId="11E1F3F6" w14:textId="67A80EA0" w:rsidR="00302B93" w:rsidRPr="00AC4B09" w:rsidRDefault="00302B93">
      <w:pPr>
        <w:pStyle w:val="TOC2"/>
        <w:rPr>
          <w:rFonts w:ascii="Calibri" w:eastAsia="DengXian" w:hAnsi="Calibri"/>
          <w:sz w:val="22"/>
          <w:szCs w:val="22"/>
          <w:lang w:val="en-US" w:eastAsia="zh-CN"/>
        </w:rPr>
      </w:pPr>
      <w:r>
        <w:t>3.2</w:t>
      </w:r>
      <w:r w:rsidRPr="00AC4B09">
        <w:rPr>
          <w:rFonts w:ascii="Calibri" w:eastAsia="DengXian" w:hAnsi="Calibri"/>
          <w:sz w:val="22"/>
          <w:szCs w:val="22"/>
          <w:lang w:val="en-US" w:eastAsia="zh-CN"/>
        </w:rPr>
        <w:tab/>
      </w:r>
      <w:r>
        <w:t>Symbols</w:t>
      </w:r>
      <w:r>
        <w:tab/>
      </w:r>
      <w:r>
        <w:fldChar w:fldCharType="begin"/>
      </w:r>
      <w:r>
        <w:instrText xml:space="preserve"> PAGEREF _Toc85636850 \h </w:instrText>
      </w:r>
      <w:r>
        <w:fldChar w:fldCharType="separate"/>
      </w:r>
      <w:r>
        <w:t>6</w:t>
      </w:r>
      <w:r>
        <w:fldChar w:fldCharType="end"/>
      </w:r>
    </w:p>
    <w:p w14:paraId="2458DC6A" w14:textId="2B47278D" w:rsidR="00302B93" w:rsidRPr="00AC4B09" w:rsidRDefault="00302B93">
      <w:pPr>
        <w:pStyle w:val="TOC2"/>
        <w:rPr>
          <w:rFonts w:ascii="Calibri" w:eastAsia="DengXian" w:hAnsi="Calibri"/>
          <w:sz w:val="22"/>
          <w:szCs w:val="22"/>
          <w:lang w:val="en-US" w:eastAsia="zh-CN"/>
        </w:rPr>
      </w:pPr>
      <w:r>
        <w:t>3.3</w:t>
      </w:r>
      <w:r w:rsidRPr="00AC4B09">
        <w:rPr>
          <w:rFonts w:ascii="Calibri" w:eastAsia="DengXian" w:hAnsi="Calibri"/>
          <w:sz w:val="22"/>
          <w:szCs w:val="22"/>
          <w:lang w:val="en-US" w:eastAsia="zh-CN"/>
        </w:rPr>
        <w:tab/>
      </w:r>
      <w:r>
        <w:t>Abbreviations</w:t>
      </w:r>
      <w:r>
        <w:tab/>
      </w:r>
      <w:r>
        <w:fldChar w:fldCharType="begin"/>
      </w:r>
      <w:r>
        <w:instrText xml:space="preserve"> PAGEREF _Toc85636851 \h </w:instrText>
      </w:r>
      <w:r>
        <w:fldChar w:fldCharType="separate"/>
      </w:r>
      <w:r>
        <w:t>6</w:t>
      </w:r>
      <w:r>
        <w:fldChar w:fldCharType="end"/>
      </w:r>
    </w:p>
    <w:p w14:paraId="000CA342" w14:textId="180F5210" w:rsidR="00302B93" w:rsidRPr="00AC4B09" w:rsidRDefault="00302B93">
      <w:pPr>
        <w:pStyle w:val="TOC1"/>
        <w:rPr>
          <w:rFonts w:ascii="Calibri" w:eastAsia="DengXian" w:hAnsi="Calibri"/>
          <w:szCs w:val="22"/>
          <w:lang w:val="en-US" w:eastAsia="zh-CN"/>
        </w:rPr>
      </w:pPr>
      <w:r>
        <w:t>4</w:t>
      </w:r>
      <w:r w:rsidRPr="00AC4B09">
        <w:rPr>
          <w:rFonts w:ascii="Calibri" w:eastAsia="DengXian" w:hAnsi="Calibri"/>
          <w:szCs w:val="22"/>
          <w:lang w:val="en-US" w:eastAsia="zh-CN"/>
        </w:rPr>
        <w:tab/>
      </w:r>
      <w:r>
        <w:t>Architecture for Plug and Connect</w:t>
      </w:r>
      <w:r>
        <w:tab/>
      </w:r>
      <w:r>
        <w:fldChar w:fldCharType="begin"/>
      </w:r>
      <w:r>
        <w:instrText xml:space="preserve"> PAGEREF _Toc85636852 \h </w:instrText>
      </w:r>
      <w:r>
        <w:fldChar w:fldCharType="separate"/>
      </w:r>
      <w:r>
        <w:t>7</w:t>
      </w:r>
      <w:r>
        <w:fldChar w:fldCharType="end"/>
      </w:r>
    </w:p>
    <w:p w14:paraId="7FDFB8CB" w14:textId="281DAC10" w:rsidR="00302B93" w:rsidRPr="00AC4B09" w:rsidRDefault="00302B93">
      <w:pPr>
        <w:pStyle w:val="TOC2"/>
        <w:rPr>
          <w:rFonts w:ascii="Calibri" w:eastAsia="DengXian" w:hAnsi="Calibri"/>
          <w:sz w:val="22"/>
          <w:szCs w:val="22"/>
          <w:lang w:val="en-US" w:eastAsia="zh-CN"/>
        </w:rPr>
      </w:pPr>
      <w:r w:rsidRPr="00BF63DA">
        <w:rPr>
          <w:lang w:val="en-US"/>
        </w:rPr>
        <w:t>4.1</w:t>
      </w:r>
      <w:r w:rsidRPr="00AC4B09">
        <w:rPr>
          <w:rFonts w:ascii="Calibri" w:eastAsia="DengXian" w:hAnsi="Calibri"/>
          <w:sz w:val="22"/>
          <w:szCs w:val="22"/>
          <w:lang w:val="en-US" w:eastAsia="zh-CN"/>
        </w:rPr>
        <w:tab/>
      </w:r>
      <w:r w:rsidRPr="00BF63DA">
        <w:rPr>
          <w:lang w:val="en-US"/>
        </w:rPr>
        <w:t>Functional architecture</w:t>
      </w:r>
      <w:r>
        <w:tab/>
      </w:r>
      <w:r>
        <w:fldChar w:fldCharType="begin"/>
      </w:r>
      <w:r>
        <w:instrText xml:space="preserve"> PAGEREF _Toc85636853 \h </w:instrText>
      </w:r>
      <w:r>
        <w:fldChar w:fldCharType="separate"/>
      </w:r>
      <w:r>
        <w:t>7</w:t>
      </w:r>
      <w:r>
        <w:fldChar w:fldCharType="end"/>
      </w:r>
    </w:p>
    <w:p w14:paraId="44C14F30" w14:textId="67FFA956" w:rsidR="00302B93" w:rsidRPr="00AC4B09" w:rsidRDefault="00302B93">
      <w:pPr>
        <w:pStyle w:val="TOC2"/>
        <w:rPr>
          <w:rFonts w:ascii="Calibri" w:eastAsia="DengXian" w:hAnsi="Calibri"/>
          <w:sz w:val="22"/>
          <w:szCs w:val="22"/>
          <w:lang w:val="en-US" w:eastAsia="zh-CN"/>
        </w:rPr>
      </w:pPr>
      <w:r w:rsidRPr="00BF63DA">
        <w:rPr>
          <w:lang w:val="en-US"/>
        </w:rPr>
        <w:t>4.2</w:t>
      </w:r>
      <w:r w:rsidRPr="00AC4B09">
        <w:rPr>
          <w:rFonts w:ascii="Calibri" w:eastAsia="DengXian" w:hAnsi="Calibri"/>
          <w:sz w:val="22"/>
          <w:szCs w:val="22"/>
          <w:lang w:val="en-US" w:eastAsia="zh-CN"/>
        </w:rPr>
        <w:tab/>
      </w:r>
      <w:r w:rsidRPr="00BF63DA">
        <w:rPr>
          <w:lang w:val="en-US"/>
        </w:rPr>
        <w:t>Functional elements</w:t>
      </w:r>
      <w:r>
        <w:tab/>
      </w:r>
      <w:r>
        <w:fldChar w:fldCharType="begin"/>
      </w:r>
      <w:r>
        <w:instrText xml:space="preserve"> PAGEREF _Toc85636854 \h </w:instrText>
      </w:r>
      <w:r>
        <w:fldChar w:fldCharType="separate"/>
      </w:r>
      <w:r>
        <w:t>7</w:t>
      </w:r>
      <w:r>
        <w:fldChar w:fldCharType="end"/>
      </w:r>
    </w:p>
    <w:p w14:paraId="4707CD43" w14:textId="4B0C4DF0" w:rsidR="00302B93" w:rsidRPr="00AC4B09" w:rsidRDefault="00302B93">
      <w:pPr>
        <w:pStyle w:val="TOC3"/>
        <w:rPr>
          <w:rFonts w:ascii="Calibri" w:eastAsia="DengXian" w:hAnsi="Calibri"/>
          <w:sz w:val="22"/>
          <w:szCs w:val="22"/>
          <w:lang w:val="en-US" w:eastAsia="zh-CN"/>
        </w:rPr>
      </w:pPr>
      <w:r w:rsidRPr="00BF63DA">
        <w:rPr>
          <w:rFonts w:eastAsia="SimSun"/>
          <w:lang w:val="en-US"/>
        </w:rPr>
        <w:t>4.2.1</w:t>
      </w:r>
      <w:r w:rsidRPr="00AC4B09">
        <w:rPr>
          <w:rFonts w:ascii="Calibri" w:eastAsia="DengXian" w:hAnsi="Calibr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r>
        <w:fldChar w:fldCharType="separate"/>
      </w:r>
      <w:r>
        <w:t>7</w:t>
      </w:r>
      <w:r>
        <w:fldChar w:fldCharType="end"/>
      </w:r>
    </w:p>
    <w:p w14:paraId="115A619A" w14:textId="1D965626" w:rsidR="00302B93" w:rsidRPr="00AC4B09" w:rsidRDefault="00302B93">
      <w:pPr>
        <w:pStyle w:val="TOC3"/>
        <w:rPr>
          <w:rFonts w:ascii="Calibri" w:eastAsia="DengXian" w:hAnsi="Calibri"/>
          <w:sz w:val="22"/>
          <w:szCs w:val="22"/>
          <w:lang w:val="en-US" w:eastAsia="zh-CN"/>
        </w:rPr>
      </w:pPr>
      <w:r w:rsidRPr="00BF63DA">
        <w:rPr>
          <w:rFonts w:eastAsia="SimSun"/>
          <w:lang w:val="en-US"/>
        </w:rPr>
        <w:t>4.2.2</w:t>
      </w:r>
      <w:r w:rsidRPr="00AC4B09">
        <w:rPr>
          <w:rFonts w:ascii="Calibri" w:eastAsia="DengXian" w:hAnsi="Calibri"/>
          <w:sz w:val="22"/>
          <w:szCs w:val="22"/>
          <w:lang w:val="en-US" w:eastAsia="zh-CN"/>
        </w:rPr>
        <w:tab/>
      </w:r>
      <w:r w:rsidRPr="00BF63DA">
        <w:rPr>
          <w:rFonts w:eastAsia="SimSun"/>
          <w:lang w:val="en-US"/>
        </w:rPr>
        <w:t>DNS server</w:t>
      </w:r>
      <w:r>
        <w:tab/>
      </w:r>
      <w:r>
        <w:fldChar w:fldCharType="begin"/>
      </w:r>
      <w:r>
        <w:instrText xml:space="preserve"> PAGEREF _Toc85636856 \h </w:instrText>
      </w:r>
      <w:r>
        <w:fldChar w:fldCharType="separate"/>
      </w:r>
      <w:r>
        <w:t>7</w:t>
      </w:r>
      <w:r>
        <w:fldChar w:fldCharType="end"/>
      </w:r>
    </w:p>
    <w:p w14:paraId="535F17C0" w14:textId="7C0B352F" w:rsidR="00302B93" w:rsidRPr="00AC4B09" w:rsidRDefault="00302B93">
      <w:pPr>
        <w:pStyle w:val="TOC3"/>
        <w:rPr>
          <w:rFonts w:ascii="Calibri" w:eastAsia="DengXian" w:hAnsi="Calibri"/>
          <w:sz w:val="22"/>
          <w:szCs w:val="22"/>
          <w:lang w:val="en-US" w:eastAsia="zh-CN"/>
        </w:rPr>
      </w:pPr>
      <w:r w:rsidRPr="00BF63DA">
        <w:rPr>
          <w:rFonts w:eastAsia="SimSun"/>
          <w:lang w:val="en-US"/>
        </w:rPr>
        <w:t>4.2.3</w:t>
      </w:r>
      <w:r w:rsidRPr="00AC4B09">
        <w:rPr>
          <w:rFonts w:ascii="Calibri" w:eastAsia="DengXian" w:hAnsi="Calibr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r>
        <w:fldChar w:fldCharType="separate"/>
      </w:r>
      <w:r>
        <w:t>7</w:t>
      </w:r>
      <w:r>
        <w:fldChar w:fldCharType="end"/>
      </w:r>
    </w:p>
    <w:p w14:paraId="021F138B" w14:textId="70A5FE3A" w:rsidR="00302B93" w:rsidRPr="00AC4B09" w:rsidRDefault="00302B93">
      <w:pPr>
        <w:pStyle w:val="TOC3"/>
        <w:rPr>
          <w:rFonts w:ascii="Calibri" w:eastAsia="DengXian" w:hAnsi="Calibri"/>
          <w:sz w:val="22"/>
          <w:szCs w:val="22"/>
          <w:lang w:val="en-US" w:eastAsia="zh-CN"/>
        </w:rPr>
      </w:pPr>
      <w:r w:rsidRPr="00BF63DA">
        <w:rPr>
          <w:rFonts w:eastAsia="SimSun"/>
          <w:lang w:val="en-US"/>
        </w:rPr>
        <w:t>4.2.4</w:t>
      </w:r>
      <w:r w:rsidRPr="00AC4B09">
        <w:rPr>
          <w:rFonts w:ascii="Calibri" w:eastAsia="DengXian" w:hAnsi="Calibr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r>
        <w:fldChar w:fldCharType="separate"/>
      </w:r>
      <w:r>
        <w:t>7</w:t>
      </w:r>
      <w:r>
        <w:fldChar w:fldCharType="end"/>
      </w:r>
    </w:p>
    <w:p w14:paraId="7D3D7975" w14:textId="24C901F9" w:rsidR="00302B93" w:rsidRPr="00AC4B09" w:rsidRDefault="00302B93">
      <w:pPr>
        <w:pStyle w:val="TOC3"/>
        <w:rPr>
          <w:rFonts w:ascii="Calibri" w:eastAsia="DengXian" w:hAnsi="Calibri"/>
          <w:sz w:val="22"/>
          <w:szCs w:val="22"/>
          <w:lang w:val="en-US" w:eastAsia="zh-CN"/>
        </w:rPr>
      </w:pPr>
      <w:r w:rsidRPr="00BF63DA">
        <w:rPr>
          <w:rFonts w:eastAsia="SimSun"/>
          <w:lang w:val="en-US"/>
        </w:rPr>
        <w:t>4.2.5</w:t>
      </w:r>
      <w:r w:rsidRPr="00AC4B09">
        <w:rPr>
          <w:rFonts w:ascii="Calibri" w:eastAsia="DengXian" w:hAnsi="Calibri"/>
          <w:sz w:val="22"/>
          <w:szCs w:val="22"/>
          <w:lang w:val="en-US" w:eastAsia="zh-CN"/>
        </w:rPr>
        <w:tab/>
      </w:r>
      <w:r w:rsidRPr="00BF63DA">
        <w:rPr>
          <w:rFonts w:eastAsia="SimSun"/>
          <w:lang w:val="en-US"/>
        </w:rPr>
        <w:t>Security Gateway (SeGW)</w:t>
      </w:r>
      <w:r>
        <w:tab/>
      </w:r>
      <w:r>
        <w:fldChar w:fldCharType="begin"/>
      </w:r>
      <w:r>
        <w:instrText xml:space="preserve"> PAGEREF _Toc85636859 \h </w:instrText>
      </w:r>
      <w:r>
        <w:fldChar w:fldCharType="separate"/>
      </w:r>
      <w:r>
        <w:t>8</w:t>
      </w:r>
      <w:r>
        <w:fldChar w:fldCharType="end"/>
      </w:r>
    </w:p>
    <w:p w14:paraId="3A698607" w14:textId="680AECE9" w:rsidR="00302B93" w:rsidRPr="00AC4B09" w:rsidRDefault="00302B93">
      <w:pPr>
        <w:pStyle w:val="TOC1"/>
        <w:rPr>
          <w:rFonts w:ascii="Calibri" w:eastAsia="DengXian" w:hAnsi="Calibri"/>
          <w:szCs w:val="22"/>
          <w:lang w:val="en-US" w:eastAsia="zh-CN"/>
        </w:rPr>
      </w:pPr>
      <w:r w:rsidRPr="00BF63DA">
        <w:rPr>
          <w:lang w:val="en-US"/>
        </w:rPr>
        <w:t>5</w:t>
      </w:r>
      <w:r w:rsidRPr="00AC4B09">
        <w:rPr>
          <w:rFonts w:ascii="Calibri" w:eastAsia="DengXian" w:hAnsi="Calibri"/>
          <w:szCs w:val="22"/>
          <w:lang w:val="en-US" w:eastAsia="zh-CN"/>
        </w:rPr>
        <w:tab/>
      </w:r>
      <w:r w:rsidRPr="00BF63DA">
        <w:rPr>
          <w:lang w:val="en-US"/>
        </w:rPr>
        <w:t>Procedure flows</w:t>
      </w:r>
      <w:r>
        <w:tab/>
      </w:r>
      <w:r>
        <w:fldChar w:fldCharType="begin"/>
      </w:r>
      <w:r>
        <w:instrText xml:space="preserve"> PAGEREF _Toc85636860 \h </w:instrText>
      </w:r>
      <w:r>
        <w:fldChar w:fldCharType="separate"/>
      </w:r>
      <w:r>
        <w:t>8</w:t>
      </w:r>
      <w:r>
        <w:fldChar w:fldCharType="end"/>
      </w:r>
    </w:p>
    <w:p w14:paraId="7D478325" w14:textId="2C8FCDF6" w:rsidR="00302B93" w:rsidRPr="00AC4B09" w:rsidRDefault="00302B93">
      <w:pPr>
        <w:pStyle w:val="TOC2"/>
        <w:rPr>
          <w:rFonts w:ascii="Calibri" w:eastAsia="DengXian" w:hAnsi="Calibri"/>
          <w:sz w:val="22"/>
          <w:szCs w:val="22"/>
          <w:lang w:val="en-US" w:eastAsia="zh-CN"/>
        </w:rPr>
      </w:pPr>
      <w:r w:rsidRPr="00BF63DA">
        <w:rPr>
          <w:lang w:val="en-US"/>
        </w:rPr>
        <w:t>5.1</w:t>
      </w:r>
      <w:r w:rsidRPr="00AC4B09">
        <w:rPr>
          <w:rFonts w:ascii="Calibri" w:eastAsia="DengXian" w:hAnsi="Calibri"/>
          <w:sz w:val="22"/>
          <w:szCs w:val="22"/>
          <w:lang w:val="en-US" w:eastAsia="zh-CN"/>
        </w:rPr>
        <w:tab/>
      </w:r>
      <w:r w:rsidRPr="00BF63DA">
        <w:rPr>
          <w:lang w:val="en-US"/>
        </w:rPr>
        <w:t>High-level plug-and-connect</w:t>
      </w:r>
      <w:r>
        <w:tab/>
      </w:r>
      <w:r>
        <w:fldChar w:fldCharType="begin"/>
      </w:r>
      <w:r>
        <w:instrText xml:space="preserve"> PAGEREF _Toc85636861 \h </w:instrText>
      </w:r>
      <w:r>
        <w:fldChar w:fldCharType="separate"/>
      </w:r>
      <w:r>
        <w:t>8</w:t>
      </w:r>
      <w:r>
        <w:fldChar w:fldCharType="end"/>
      </w:r>
    </w:p>
    <w:p w14:paraId="3B7F2305" w14:textId="12A6FD09" w:rsidR="00302B93" w:rsidRPr="00AC4B09" w:rsidRDefault="00302B93">
      <w:pPr>
        <w:pStyle w:val="TOC2"/>
        <w:rPr>
          <w:rFonts w:ascii="Calibri" w:eastAsia="DengXian" w:hAnsi="Calibri"/>
          <w:sz w:val="22"/>
          <w:szCs w:val="22"/>
          <w:lang w:val="en-US" w:eastAsia="zh-CN"/>
        </w:rPr>
      </w:pPr>
      <w:r>
        <w:t>5.2</w:t>
      </w:r>
      <w:r w:rsidRPr="00AC4B09">
        <w:rPr>
          <w:rFonts w:ascii="Calibri" w:eastAsia="DengXian" w:hAnsi="Calibri"/>
          <w:sz w:val="22"/>
          <w:szCs w:val="22"/>
          <w:lang w:val="en-US" w:eastAsia="zh-CN"/>
        </w:rPr>
        <w:tab/>
      </w:r>
      <w:r>
        <w:t>Initial IP Autoconfiguration</w:t>
      </w:r>
      <w:r>
        <w:tab/>
      </w:r>
      <w:r>
        <w:fldChar w:fldCharType="begin"/>
      </w:r>
      <w:r>
        <w:instrText xml:space="preserve"> PAGEREF _Toc85636862 \h </w:instrText>
      </w:r>
      <w:r>
        <w:fldChar w:fldCharType="separate"/>
      </w:r>
      <w:r>
        <w:t>10</w:t>
      </w:r>
      <w:r>
        <w:fldChar w:fldCharType="end"/>
      </w:r>
    </w:p>
    <w:p w14:paraId="176F44F8" w14:textId="35FE7987" w:rsidR="00302B93" w:rsidRPr="00AC4B09" w:rsidRDefault="00302B93">
      <w:pPr>
        <w:pStyle w:val="TOC2"/>
        <w:rPr>
          <w:rFonts w:ascii="Calibri" w:eastAsia="DengXian" w:hAnsi="Calibri"/>
          <w:sz w:val="22"/>
          <w:szCs w:val="22"/>
          <w:lang w:val="en-US" w:eastAsia="zh-CN"/>
        </w:rPr>
      </w:pPr>
      <w:r>
        <w:t>5.3</w:t>
      </w:r>
      <w:r w:rsidRPr="00AC4B09">
        <w:rPr>
          <w:rFonts w:ascii="Calibri" w:eastAsia="DengXian" w:hAnsi="Calibri"/>
          <w:sz w:val="22"/>
          <w:szCs w:val="22"/>
          <w:lang w:val="en-US" w:eastAsia="zh-CN"/>
        </w:rPr>
        <w:tab/>
      </w:r>
      <w:r>
        <w:t>Certificate enrolment</w:t>
      </w:r>
      <w:r>
        <w:tab/>
      </w:r>
      <w:r>
        <w:fldChar w:fldCharType="begin"/>
      </w:r>
      <w:r>
        <w:instrText xml:space="preserve"> PAGEREF _Toc85636863 \h </w:instrText>
      </w:r>
      <w:r>
        <w:fldChar w:fldCharType="separate"/>
      </w:r>
      <w:r>
        <w:t>11</w:t>
      </w:r>
      <w:r>
        <w:fldChar w:fldCharType="end"/>
      </w:r>
    </w:p>
    <w:p w14:paraId="22B5A2E1" w14:textId="3935DDC8" w:rsidR="00302B93" w:rsidRPr="00AC4B09" w:rsidRDefault="00302B93">
      <w:pPr>
        <w:pStyle w:val="TOC2"/>
        <w:rPr>
          <w:rFonts w:ascii="Calibri" w:eastAsia="DengXian" w:hAnsi="Calibri"/>
          <w:sz w:val="22"/>
          <w:szCs w:val="22"/>
          <w:lang w:val="en-US" w:eastAsia="zh-CN"/>
        </w:rPr>
      </w:pPr>
      <w:r>
        <w:t>5.4</w:t>
      </w:r>
      <w:r w:rsidRPr="00AC4B09">
        <w:rPr>
          <w:rFonts w:ascii="Calibri" w:eastAsia="DengXian" w:hAnsi="Calibri"/>
          <w:sz w:val="22"/>
          <w:szCs w:val="22"/>
          <w:lang w:val="en-US" w:eastAsia="zh-CN"/>
        </w:rPr>
        <w:tab/>
      </w:r>
      <w:r>
        <w:t>Establishing secure connection</w:t>
      </w:r>
      <w:r>
        <w:tab/>
      </w:r>
      <w:r>
        <w:fldChar w:fldCharType="begin"/>
      </w:r>
      <w:r>
        <w:instrText xml:space="preserve"> PAGEREF _Toc85636864 \h </w:instrText>
      </w:r>
      <w:r>
        <w:fldChar w:fldCharType="separate"/>
      </w:r>
      <w:r>
        <w:t>12</w:t>
      </w:r>
      <w:r>
        <w:fldChar w:fldCharType="end"/>
      </w:r>
    </w:p>
    <w:p w14:paraId="2D3661D7" w14:textId="64718F52" w:rsidR="00302B93" w:rsidRPr="00AC4B09" w:rsidRDefault="00302B93">
      <w:pPr>
        <w:pStyle w:val="TOC2"/>
        <w:rPr>
          <w:rFonts w:ascii="Calibri" w:eastAsia="DengXian" w:hAnsi="Calibri"/>
          <w:sz w:val="22"/>
          <w:szCs w:val="22"/>
          <w:lang w:val="en-US" w:eastAsia="zh-CN"/>
        </w:rPr>
      </w:pPr>
      <w:r>
        <w:t>5.5</w:t>
      </w:r>
      <w:r w:rsidRPr="00AC4B09">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_Toc85636865 \h </w:instrText>
      </w:r>
      <w:r>
        <w:fldChar w:fldCharType="separate"/>
      </w:r>
      <w:r>
        <w:t>13</w:t>
      </w:r>
      <w:r>
        <w:fldChar w:fldCharType="end"/>
      </w:r>
    </w:p>
    <w:p w14:paraId="1A542F41" w14:textId="60BE2511" w:rsidR="00302B93" w:rsidRPr="00AC4B09" w:rsidRDefault="00302B93">
      <w:pPr>
        <w:pStyle w:val="TOC8"/>
        <w:rPr>
          <w:rFonts w:ascii="Calibri" w:eastAsia="DengXian" w:hAnsi="Calibri"/>
          <w:b w:val="0"/>
          <w:szCs w:val="22"/>
          <w:lang w:val="en-US" w:eastAsia="zh-CN"/>
        </w:rPr>
      </w:pPr>
      <w:r>
        <w:t>Annex &lt;A&gt; (informative): PlantUML source code</w:t>
      </w:r>
      <w:r>
        <w:tab/>
      </w:r>
      <w:r>
        <w:fldChar w:fldCharType="begin"/>
      </w:r>
      <w:r>
        <w:instrText xml:space="preserve"> PAGEREF _Toc85636866 \h </w:instrText>
      </w:r>
      <w:r>
        <w:fldChar w:fldCharType="separate"/>
      </w:r>
      <w:r>
        <w:t>15</w:t>
      </w:r>
      <w:r>
        <w:fldChar w:fldCharType="end"/>
      </w:r>
    </w:p>
    <w:p w14:paraId="2AA5824B" w14:textId="03C666D6" w:rsidR="00302B93" w:rsidRPr="00AC4B09" w:rsidRDefault="00302B9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_Toc85636867 \h </w:instrText>
      </w:r>
      <w:r>
        <w:fldChar w:fldCharType="separate"/>
      </w:r>
      <w:r>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85636844"/>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w:t>
      </w:r>
      <w:proofErr w:type="gramStart"/>
      <w:r>
        <w:t>is</w:t>
      </w:r>
      <w:proofErr w:type="gramEnd"/>
      <w:r>
        <w:t>" and "is not" do not indicate requirements.</w:t>
      </w:r>
    </w:p>
    <w:p w14:paraId="2D40E0AC" w14:textId="77777777" w:rsidR="00080512" w:rsidRPr="004D3578" w:rsidRDefault="00080512">
      <w:pPr>
        <w:pStyle w:val="Heading1"/>
      </w:pPr>
      <w:bookmarkStart w:id="19" w:name="introduction"/>
      <w:bookmarkStart w:id="20" w:name="_Toc85636845"/>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85636846"/>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85636847"/>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531B00B2" w14:textId="77777777" w:rsidR="00561E3A" w:rsidRPr="00561E3A" w:rsidRDefault="00561E3A" w:rsidP="00561E3A">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4DF67E7C" w14:textId="77777777" w:rsidR="00561E3A" w:rsidRPr="00561E3A" w:rsidRDefault="00561E3A" w:rsidP="00561E3A">
      <w:pPr>
        <w:keepLines/>
        <w:ind w:left="1135" w:hanging="851"/>
        <w:rPr>
          <w:rFonts w:eastAsia="SimSun"/>
          <w:color w:val="FF0000"/>
        </w:rPr>
      </w:pPr>
      <w:r w:rsidRPr="00561E3A">
        <w:rPr>
          <w:rFonts w:eastAsia="SimSun"/>
          <w:color w:val="FF0000"/>
        </w:rPr>
        <w:t>Editor’s Note: TS 28.316 is to be submitted in SA5# 140-e.</w:t>
      </w:r>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25" w:name="definitions"/>
      <w:bookmarkStart w:id="26" w:name="_Toc85636848"/>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82BF2B3" w14:textId="77777777" w:rsidR="00080512" w:rsidRPr="004D3578" w:rsidRDefault="00080512">
      <w:pPr>
        <w:pStyle w:val="Heading2"/>
      </w:pPr>
      <w:bookmarkStart w:id="27" w:name="_Toc85636849"/>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85636850"/>
      <w:r w:rsidRPr="004D3578">
        <w:t>3.2</w:t>
      </w:r>
      <w:r w:rsidRPr="004D3578">
        <w:tab/>
        <w:t>Symbols</w:t>
      </w:r>
      <w:bookmarkEnd w:id="28"/>
    </w:p>
    <w:p w14:paraId="29192FC8" w14:textId="2C32B350" w:rsidR="00080512" w:rsidRDefault="00080512">
      <w:pPr>
        <w:keepNext/>
      </w:pPr>
      <w:r w:rsidRPr="004D3578">
        <w:t>For the purposes of the present document, the following symbols apply:</w:t>
      </w:r>
    </w:p>
    <w:p w14:paraId="3015D057" w14:textId="4AD9ADE4" w:rsidR="0052373F" w:rsidRPr="004D3578" w:rsidRDefault="0052373F">
      <w:pPr>
        <w:keepNext/>
      </w:pPr>
      <w:r>
        <w:t>Void</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85636851"/>
      <w:r w:rsidRPr="004D3578">
        <w:t>3.3</w:t>
      </w:r>
      <w:r w:rsidRPr="004D3578">
        <w:tab/>
        <w:t>Abbreviations</w:t>
      </w:r>
      <w:bookmarkEnd w:id="29"/>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0DAADB7B" w14:textId="77777777" w:rsidR="00080512" w:rsidRPr="004D3578" w:rsidRDefault="00080512">
      <w:pPr>
        <w:pStyle w:val="EW"/>
      </w:pPr>
    </w:p>
    <w:p w14:paraId="6EB2AB63" w14:textId="270F914A" w:rsidR="00080512" w:rsidRPr="004D3578" w:rsidRDefault="00080512">
      <w:pPr>
        <w:pStyle w:val="Heading1"/>
      </w:pPr>
      <w:bookmarkStart w:id="30" w:name="clause4"/>
      <w:bookmarkStart w:id="31" w:name="_Toc85636852"/>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85636853"/>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33" w:name="_Toc85636854"/>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85636855"/>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w:t>
      </w:r>
      <w:proofErr w:type="gramStart"/>
      <w:r w:rsidRPr="004C37D1">
        <w:rPr>
          <w:lang w:val="en-US"/>
        </w:rPr>
        <w:t>e.g.</w:t>
      </w:r>
      <w:proofErr w:type="gramEnd"/>
      <w:r w:rsidRPr="004C37D1">
        <w:rPr>
          <w:lang w:val="en-US"/>
        </w:rPr>
        <w:t xml:space="preserve">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85636856"/>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w:t>
      </w:r>
      <w:proofErr w:type="gramStart"/>
      <w:r w:rsidRPr="004C37D1">
        <w:rPr>
          <w:lang w:val="en-US"/>
        </w:rPr>
        <w:t>e.g.</w:t>
      </w:r>
      <w:proofErr w:type="gramEnd"/>
      <w:r w:rsidRPr="004C37D1">
        <w:rPr>
          <w:lang w:val="en-US"/>
        </w:rPr>
        <w:t xml:space="preserve">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85636857"/>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w:t>
      </w:r>
      <w:proofErr w:type="gramStart"/>
      <w:r w:rsidRPr="004C37D1">
        <w:rPr>
          <w:lang w:val="en-US"/>
        </w:rPr>
        <w:t>e.g.</w:t>
      </w:r>
      <w:proofErr w:type="gramEnd"/>
      <w:r w:rsidRPr="004C37D1">
        <w:rPr>
          <w:lang w:val="en-US"/>
        </w:rPr>
        <w:t xml:space="preserve">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w:t>
      </w:r>
      <w:proofErr w:type="gramStart"/>
      <w:r w:rsidRPr="004C37D1">
        <w:rPr>
          <w:lang w:val="en-US"/>
        </w:rPr>
        <w:t>e.g.</w:t>
      </w:r>
      <w:proofErr w:type="gramEnd"/>
      <w:r w:rsidRPr="004C37D1">
        <w:rPr>
          <w:lang w:val="en-US"/>
        </w:rPr>
        <w:t xml:space="preserve"> one CA/RA per vendor).</w:t>
      </w:r>
    </w:p>
    <w:p w14:paraId="0788A6DB" w14:textId="6F28DA9E" w:rsidR="004C37D1" w:rsidRPr="004C37D1" w:rsidRDefault="004C37D1" w:rsidP="00302B93">
      <w:pPr>
        <w:pStyle w:val="Heading3"/>
        <w:rPr>
          <w:rFonts w:eastAsia="SimSun"/>
          <w:lang w:val="en-US"/>
        </w:rPr>
      </w:pPr>
      <w:bookmarkStart w:id="37" w:name="_Toc85636858"/>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w:t>
      </w:r>
      <w:proofErr w:type="gramStart"/>
      <w:r w:rsidRPr="004C37D1">
        <w:rPr>
          <w:lang w:val="en-US"/>
        </w:rPr>
        <w:t>e.g.</w:t>
      </w:r>
      <w:proofErr w:type="gramEnd"/>
      <w:r w:rsidRPr="004C37D1">
        <w:rPr>
          <w:lang w:val="en-US"/>
        </w:rPr>
        <w:t xml:space="preserve">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77777777" w:rsidR="004C37D1" w:rsidRPr="004C37D1" w:rsidRDefault="004C37D1" w:rsidP="004C37D1">
      <w:pPr>
        <w:rPr>
          <w:lang w:val="en-US"/>
        </w:rPr>
      </w:pPr>
      <w:r w:rsidRPr="004C37D1">
        <w:rPr>
          <w:lang w:val="en-US"/>
        </w:rPr>
        <w:t>The configuration may contain an IP address or FQDN of (another) SeGW that should be used before connecting to the SCS.</w:t>
      </w:r>
    </w:p>
    <w:p w14:paraId="6A70DE10" w14:textId="77777777" w:rsidR="004C37D1" w:rsidRPr="004C37D1" w:rsidRDefault="004C37D1" w:rsidP="00302B93">
      <w:pPr>
        <w:pStyle w:val="Heading3"/>
        <w:rPr>
          <w:rFonts w:eastAsia="SimSun"/>
          <w:lang w:val="en-US"/>
        </w:rPr>
      </w:pPr>
      <w:bookmarkStart w:id="38" w:name="_Toc85636859"/>
      <w:r w:rsidRPr="004C37D1">
        <w:rPr>
          <w:rFonts w:eastAsia="SimSun"/>
          <w:lang w:val="en-US"/>
        </w:rPr>
        <w:t>4.2.5</w:t>
      </w:r>
      <w:r w:rsidRPr="004C37D1">
        <w:rPr>
          <w:rFonts w:eastAsia="SimSun"/>
          <w:lang w:val="en-US"/>
        </w:rPr>
        <w:tab/>
        <w:t>Security Gateway (SeGW)</w:t>
      </w:r>
      <w:bookmarkEnd w:id="38"/>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proofErr w:type="gramStart"/>
      <w:r w:rsidRPr="004C37D1">
        <w:rPr>
          <w:lang w:val="en-US"/>
        </w:rPr>
        <w:t>Depending on a particular operator deployment scenario, there</w:t>
      </w:r>
      <w:proofErr w:type="gramEnd"/>
      <w:r w:rsidRPr="004C37D1">
        <w:rPr>
          <w:lang w:val="en-US"/>
        </w:rPr>
        <w:t xml:space="preserve"> could be separate SeGW for connection to the OAM network and to the CN. The OAM SeGW and CN SeGW may or may not be in practice separate physical entities.</w:t>
      </w:r>
    </w:p>
    <w:p w14:paraId="01A77263" w14:textId="77777777" w:rsidR="004C37D1" w:rsidRPr="004C37D1" w:rsidRDefault="004C37D1" w:rsidP="004C37D1">
      <w:pPr>
        <w:rPr>
          <w:lang w:val="en-US"/>
        </w:rPr>
      </w:pPr>
      <w:r w:rsidRPr="004C37D1">
        <w:rPr>
          <w:lang w:val="en-US"/>
        </w:rPr>
        <w:t>Depending on a particular operator deployment scenario, there could be more than one OAM SeGW (</w:t>
      </w:r>
      <w:proofErr w:type="gramStart"/>
      <w:r w:rsidRPr="004C37D1">
        <w:rPr>
          <w:lang w:val="en-US"/>
        </w:rPr>
        <w:t>e.g.</w:t>
      </w:r>
      <w:proofErr w:type="gramEnd"/>
      <w:r w:rsidRPr="004C37D1">
        <w:rPr>
          <w:lang w:val="en-US"/>
        </w:rPr>
        <w:t xml:space="preserve"> one per vendor).</w:t>
      </w:r>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39" w:name="_Toc85636860"/>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85636861"/>
      <w:r w:rsidRPr="004C37D1">
        <w:rPr>
          <w:lang w:val="en-US"/>
        </w:rPr>
        <w:t>5.1</w:t>
      </w:r>
      <w:r w:rsidRPr="004C37D1">
        <w:rPr>
          <w:lang w:val="en-US"/>
        </w:rPr>
        <w:tab/>
        <w:t>High-level plug-and-connect</w:t>
      </w:r>
      <w:bookmarkEnd w:id="40"/>
    </w:p>
    <w:p w14:paraId="5936F5EE" w14:textId="36157D29" w:rsidR="004C37D1" w:rsidRPr="004C37D1" w:rsidRDefault="004C37D1" w:rsidP="004C37D1">
      <w:pPr>
        <w:rPr>
          <w:lang w:val="en-US"/>
        </w:rPr>
      </w:pPr>
      <w:r w:rsidRPr="004C37D1">
        <w:rPr>
          <w:lang w:val="en-US"/>
        </w:rPr>
        <w:t xml:space="preserve">The </w:t>
      </w:r>
      <w:proofErr w:type="gramStart"/>
      <w:r w:rsidRPr="004C37D1">
        <w:rPr>
          <w:lang w:val="en-US"/>
        </w:rPr>
        <w:t>high level</w:t>
      </w:r>
      <w:proofErr w:type="gramEnd"/>
      <w:r w:rsidRPr="004C37D1">
        <w:rPr>
          <w:lang w:val="en-US"/>
        </w:rPr>
        <w:t xml:space="preserve"> procedure for "multi-vendor plug-</w:t>
      </w:r>
      <w:proofErr w:type="spellStart"/>
      <w:r w:rsidRPr="004C37D1">
        <w:rPr>
          <w:lang w:val="en-US"/>
        </w:rPr>
        <w:t>andconnect</w:t>
      </w:r>
      <w:proofErr w:type="spellEnd"/>
      <w:r w:rsidRPr="004C37D1">
        <w:rPr>
          <w:lang w:val="en-US"/>
        </w:rPr>
        <w:t>" is described next and illustrated in figure 5.1-1.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(e.g.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(e.g.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(e.g. one per vendor).</w:t>
      </w:r>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lang w:val="en-US"/>
        </w:rPr>
      </w:pPr>
      <w:r w:rsidRPr="004C37D1">
        <w:rPr>
          <w:lang w:val="en-US"/>
        </w:rPr>
        <w:t>The procedure described in this clause applies to all deployment options listed above.</w:t>
      </w:r>
    </w:p>
    <w:p w14:paraId="14F531C3" w14:textId="77777777" w:rsidR="004C37D1" w:rsidRPr="004C37D1" w:rsidRDefault="004C37D1" w:rsidP="004C37D1">
      <w:r w:rsidRPr="004C37D1">
        <w:rPr>
          <w:lang w:val="en-US"/>
        </w:rPr>
        <w:t xml:space="preserve">The procedure begins when the NE is powered up and ends when all mandatory steps in this procedure are completed or when an exception occurs. </w:t>
      </w:r>
      <w:r w:rsidRPr="004C37D1">
        <w:rPr>
          <w:lang w:bidi="ar-KW"/>
        </w:rPr>
        <w:t>Examples of NEs are:</w:t>
      </w:r>
    </w:p>
    <w:p w14:paraId="1D82CC5A" w14:textId="77777777" w:rsidR="004C37D1" w:rsidRPr="004C37D1" w:rsidRDefault="004C37D1" w:rsidP="004C37D1">
      <w:pPr>
        <w:keepNext/>
        <w:keepLines/>
        <w:numPr>
          <w:ilvl w:val="0"/>
          <w:numId w:val="5"/>
        </w:numPr>
        <w:spacing w:after="0"/>
        <w:rPr>
          <w:lang w:bidi="ar-KW"/>
        </w:rPr>
      </w:pPr>
      <w:r w:rsidRPr="004C37D1">
        <w:rPr>
          <w:lang w:bidi="ar-KW"/>
        </w:rPr>
        <w:t>gNB</w:t>
      </w:r>
    </w:p>
    <w:p w14:paraId="3DE64940" w14:textId="77777777" w:rsidR="004C37D1" w:rsidRPr="004C37D1" w:rsidRDefault="004C37D1" w:rsidP="004C37D1">
      <w:pPr>
        <w:keepNext/>
        <w:keepLines/>
        <w:numPr>
          <w:ilvl w:val="0"/>
          <w:numId w:val="5"/>
        </w:numPr>
        <w:spacing w:after="0"/>
        <w:rPr>
          <w:lang w:bidi="ar-KW"/>
        </w:rPr>
      </w:pPr>
      <w:r w:rsidRPr="004C37D1">
        <w:rPr>
          <w:lang w:bidi="ar-KW"/>
        </w:rPr>
        <w:t>eNB</w:t>
      </w:r>
    </w:p>
    <w:p w14:paraId="4694EAB3" w14:textId="77777777" w:rsidR="004C37D1" w:rsidRPr="004C37D1" w:rsidRDefault="004C37D1" w:rsidP="004C37D1">
      <w:pPr>
        <w:rPr>
          <w:rFonts w:eastAsia="SimSun"/>
          <w:color w:val="000000"/>
        </w:rPr>
      </w:pPr>
      <w:r w:rsidRPr="004C37D1">
        <w:rPr>
          <w:rFonts w:eastAsia="SimSun"/>
        </w:rPr>
        <w:t xml:space="preserve">The NE within virtualization is </w:t>
      </w:r>
      <w:r w:rsidRPr="004C37D1">
        <w:rPr>
          <w:rFonts w:eastAsia="SimSun"/>
          <w:color w:val="000000"/>
        </w:rPr>
        <w:t>not addressed.</w:t>
      </w:r>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(e.g.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77777777" w:rsidR="004C37D1" w:rsidRPr="004C37D1" w:rsidRDefault="00AC4B09" w:rsidP="004C37D1">
      <w:pPr>
        <w:rPr>
          <w:rFonts w:eastAsia="SimSun"/>
          <w:noProof/>
        </w:rPr>
      </w:pPr>
      <w:r>
        <w:rPr>
          <w:rFonts w:eastAsia="SimSun"/>
        </w:rPr>
        <w:pict w14:anchorId="226A11B1">
          <v:shape id="_x0000_i1027" type="#_x0000_t75" style="width:482.05pt;height:322.1pt;visibility:visible">
            <v:imagedata r:id="rId15" o:title=""/>
          </v:shape>
        </w:pict>
      </w:r>
    </w:p>
    <w:p w14:paraId="74E87C5A" w14:textId="77777777" w:rsidR="004C37D1" w:rsidRPr="004C37D1" w:rsidRDefault="004C37D1" w:rsidP="004C37D1">
      <w:pPr>
        <w:keepLines/>
        <w:spacing w:after="240"/>
        <w:jc w:val="center"/>
        <w:rPr>
          <w:rFonts w:ascii="Arial" w:hAnsi="Arial"/>
          <w:b/>
        </w:rPr>
      </w:pPr>
      <w:r w:rsidRPr="004C37D1">
        <w:rPr>
          <w:rFonts w:ascii="Arial" w:hAnsi="Arial"/>
          <w:b/>
        </w:rPr>
        <w:t>Figure 5.1-1: High-level plug-and-connect flow</w:t>
      </w:r>
    </w:p>
    <w:p w14:paraId="15F784DB" w14:textId="77777777" w:rsidR="004C37D1" w:rsidRPr="004C37D1" w:rsidRDefault="004C37D1" w:rsidP="00302B93">
      <w:pPr>
        <w:pStyle w:val="Heading2"/>
      </w:pPr>
      <w:bookmarkStart w:id="41" w:name="_Toc85636862"/>
      <w:r w:rsidRPr="004C37D1">
        <w:t>5.2</w:t>
      </w:r>
      <w:r w:rsidRPr="004C37D1">
        <w:tab/>
        <w:t>Initial IP Autoconfiguration</w:t>
      </w:r>
      <w:bookmarkEnd w:id="41"/>
    </w:p>
    <w:p w14:paraId="53B07849" w14:textId="77777777" w:rsidR="004C37D1" w:rsidRPr="004C37D1" w:rsidRDefault="004C37D1" w:rsidP="004C37D1">
      <w:r w:rsidRPr="004C37D1">
        <w:t>The procedure for initial IP Autoconfiguration is described next and illustrated in figure 5.2-1.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77777777" w:rsidR="004C37D1" w:rsidRPr="004C37D1" w:rsidRDefault="004C37D1" w:rsidP="004C37D1">
      <w:pPr>
        <w:ind w:left="568" w:hanging="284"/>
      </w:pPr>
      <w:r w:rsidRPr="004C37D1">
        <w:t>-</w:t>
      </w:r>
      <w:r w:rsidRPr="004C37D1">
        <w:tab/>
        <w:t>IP Autoconfiguration service is configured with basic IP configuration and the IP address of CA/RA, and other CA/RA attributes defined in TS 28.316 [3] section 4.2.2;</w:t>
      </w:r>
    </w:p>
    <w:p w14:paraId="2F71545C" w14:textId="77777777" w:rsidR="004C37D1" w:rsidRPr="004C37D1" w:rsidRDefault="004C37D1" w:rsidP="004C37D1">
      <w:pPr>
        <w:ind w:left="568" w:hanging="284"/>
      </w:pPr>
      <w:r w:rsidRPr="004C37D1">
        <w:t>-</w:t>
      </w:r>
      <w:r w:rsidRPr="004C37D1">
        <w:tab/>
        <w:t>IP Autoconfiguration service is configured with basic IP configuration and the FQDN of CA/RA, and other CA/RA attributes defined in TS 28.316 [3] section 4.2.2;</w:t>
      </w:r>
    </w:p>
    <w:p w14:paraId="29BE0CBD" w14:textId="77777777" w:rsidR="004C37D1" w:rsidRPr="004C37D1" w:rsidRDefault="004C37D1" w:rsidP="004C37D1">
      <w:pPr>
        <w:ind w:left="568" w:hanging="284"/>
      </w:pPr>
      <w:r w:rsidRPr="004C37D1">
        <w:t>-</w:t>
      </w:r>
      <w:r w:rsidRPr="004C37D1">
        <w:tab/>
        <w:t>IP Autoconfiguration service is configured with basic IP configuration and the IP addresses of CA/RA and SeGW, and other CA/RA attributes defined in TS 28.316 [3] section 4.2.2;</w:t>
      </w:r>
    </w:p>
    <w:p w14:paraId="7AFB74CA" w14:textId="77777777" w:rsidR="004C37D1" w:rsidRPr="004C37D1" w:rsidRDefault="004C37D1" w:rsidP="004C37D1">
      <w:pPr>
        <w:ind w:left="568" w:hanging="284"/>
      </w:pPr>
      <w:r w:rsidRPr="004C37D1">
        <w:t>-</w:t>
      </w:r>
      <w:r w:rsidRPr="004C37D1">
        <w:tab/>
        <w:t>IP Autoconfiguration service is configured with basic IP configuration and the FQDNs of CA/RA and SeGW, and other CA/RA attributes defined in TS 28.316 [3] section 4.2.2;</w:t>
      </w:r>
    </w:p>
    <w:p w14:paraId="1BBC6A30" w14:textId="77777777" w:rsidR="004C37D1" w:rsidRPr="004C37D1" w:rsidRDefault="004C37D1" w:rsidP="004C37D1">
      <w:pPr>
        <w:ind w:left="568" w:hanging="284"/>
      </w:pPr>
      <w:r w:rsidRPr="004C37D1">
        <w:t>-</w:t>
      </w:r>
      <w:r w:rsidRPr="004C37D1">
        <w:tab/>
        <w:t>IP Autoconfiguration service is configured with basic IP configuration and the IP addresses of CA/RA, SeGW and SCS, and other CA/RA attributes defined in TS 28.316 [3] section 4.2.2;</w:t>
      </w:r>
    </w:p>
    <w:p w14:paraId="26427035" w14:textId="77777777" w:rsidR="004C37D1" w:rsidRPr="004C37D1" w:rsidRDefault="004C37D1" w:rsidP="004C37D1">
      <w:pPr>
        <w:ind w:left="568" w:hanging="284"/>
      </w:pPr>
      <w:r w:rsidRPr="004C37D1">
        <w:t>-</w:t>
      </w:r>
      <w:r w:rsidRPr="004C37D1">
        <w:tab/>
        <w:t>IP Autoconfiguration service is configured with basic IP configuration and the FQDNs of CA/RA, SeGW and SCS, and other CA/RA attributes defined in TS 28.316 [3] section 4.2.2;</w:t>
      </w:r>
    </w:p>
    <w:p w14:paraId="5DD760A4" w14:textId="7777777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w:t>
      </w:r>
    </w:p>
    <w:p w14:paraId="2AA3670B" w14:textId="77777777" w:rsidR="004C37D1" w:rsidRPr="004C37D1" w:rsidRDefault="004C37D1" w:rsidP="004C37D1">
      <w:pPr>
        <w:ind w:left="568" w:hanging="284"/>
      </w:pPr>
      <w:r w:rsidRPr="004C37D1">
        <w:t>-</w:t>
      </w:r>
      <w:r w:rsidRPr="004C37D1">
        <w:tab/>
        <w:t xml:space="preserve">IP Autoconfiguration service is able to recognize that the client is an NE performing </w:t>
      </w:r>
      <w:r w:rsidRPr="004C37D1">
        <w:br/>
        <w:t xml:space="preserve">the </w:t>
      </w:r>
      <w:r w:rsidRPr="004C37D1">
        <w:rPr>
          <w:b/>
        </w:rPr>
        <w:t>multi-vendor plug-and-connect</w:t>
      </w:r>
      <w:r w:rsidRPr="004C37D1">
        <w:t xml:space="preserve"> procedure;</w:t>
      </w:r>
    </w:p>
    <w:p w14:paraId="59B4E750" w14:textId="7777777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77777777" w:rsidR="004C37D1" w:rsidRPr="004C37D1" w:rsidRDefault="004C37D1" w:rsidP="004C37D1">
      <w:pPr>
        <w:ind w:left="851" w:hanging="284"/>
      </w:pPr>
      <w:r w:rsidRPr="004C37D1">
        <w:t>1.2.b)</w:t>
      </w:r>
      <w:r w:rsidRPr="004C37D1">
        <w:tab/>
        <w:t>Client IP configuration and the IP address of CA/RA, and other CA/RA attributes defined in TS 28.316 [3] section 4.2.2;</w:t>
      </w:r>
    </w:p>
    <w:p w14:paraId="65E831C5" w14:textId="77777777" w:rsidR="004C37D1" w:rsidRPr="004C37D1" w:rsidRDefault="004C37D1" w:rsidP="004C37D1">
      <w:pPr>
        <w:ind w:left="851" w:hanging="284"/>
      </w:pPr>
      <w:r w:rsidRPr="004C37D1">
        <w:t>1.2.c)</w:t>
      </w:r>
      <w:r w:rsidRPr="004C37D1">
        <w:tab/>
        <w:t>Client IP configuration and the FQDN of CA/RA, and other CA/RA attributes defined in TS 28.316 [3] section 4.2.2;</w:t>
      </w:r>
    </w:p>
    <w:p w14:paraId="17CA376C" w14:textId="77777777" w:rsidR="004C37D1" w:rsidRPr="004C37D1" w:rsidRDefault="004C37D1" w:rsidP="004C37D1">
      <w:pPr>
        <w:ind w:left="851" w:hanging="284"/>
      </w:pPr>
      <w:r w:rsidRPr="004C37D1">
        <w:t>1.2.d)</w:t>
      </w:r>
      <w:r w:rsidRPr="004C37D1">
        <w:tab/>
        <w:t>Client IP configuration and the IP addresses of CA/RA and SeGW, and other CA/RA attributes defined in TS 28.316 [3] section 4.2.2;</w:t>
      </w:r>
    </w:p>
    <w:p w14:paraId="43BCF071" w14:textId="77777777" w:rsidR="004C37D1" w:rsidRPr="004C37D1" w:rsidRDefault="004C37D1" w:rsidP="004C37D1">
      <w:pPr>
        <w:ind w:left="851" w:hanging="284"/>
      </w:pPr>
      <w:r w:rsidRPr="004C37D1">
        <w:t>1.2.e)</w:t>
      </w:r>
      <w:r w:rsidRPr="004C37D1">
        <w:tab/>
      </w:r>
      <w:bookmarkStart w:id="42" w:name="OLE_LINK1"/>
      <w:bookmarkStart w:id="43" w:name="OLE_LINK2"/>
      <w:r w:rsidRPr="004C37D1">
        <w:t>Client IP configuration and the FQDNs of CA/RA and SeGW, and other CA/RA attributes defined in TS 28.316 [3] section 4.2.2</w:t>
      </w:r>
      <w:bookmarkEnd w:id="42"/>
      <w:bookmarkEnd w:id="43"/>
      <w:r w:rsidRPr="004C37D1">
        <w:t>;</w:t>
      </w:r>
    </w:p>
    <w:p w14:paraId="42610075" w14:textId="77777777" w:rsidR="004C37D1" w:rsidRPr="004C37D1" w:rsidRDefault="004C37D1" w:rsidP="004C37D1">
      <w:pPr>
        <w:ind w:left="851" w:hanging="284"/>
      </w:pPr>
      <w:r w:rsidRPr="004C37D1">
        <w:t>1.2.f)</w:t>
      </w:r>
      <w:r w:rsidRPr="004C37D1">
        <w:tab/>
        <w:t>Client IP configuration and the IP addresses of CA/RA, SeGW and SCS, and other CA/RA attributes defined in TS 28.316 [3] section 4.2.2;</w:t>
      </w:r>
    </w:p>
    <w:p w14:paraId="1E5B6771" w14:textId="77777777" w:rsidR="004C37D1" w:rsidRPr="004C37D1" w:rsidRDefault="004C37D1" w:rsidP="004C37D1">
      <w:pPr>
        <w:ind w:left="851" w:hanging="284"/>
      </w:pPr>
      <w:r w:rsidRPr="004C37D1">
        <w:t>1.2.g)</w:t>
      </w:r>
      <w:r w:rsidRPr="004C37D1">
        <w:tab/>
        <w:t>Client IP configuration and the FQDNs of CA/RA, SeGW and SCS, and other CA/RA attributes defined in TS 28.316 [3] section 4.2.2.</w:t>
      </w:r>
    </w:p>
    <w:p w14:paraId="339C12D9" w14:textId="77777777" w:rsidR="004C37D1" w:rsidRPr="004C37D1" w:rsidRDefault="00AC4B09" w:rsidP="004C37D1">
      <w:pPr>
        <w:rPr>
          <w:rFonts w:eastAsia="SimSun"/>
          <w:noProof/>
        </w:rPr>
      </w:pPr>
      <w:r>
        <w:rPr>
          <w:rFonts w:eastAsia="SimSun"/>
        </w:rPr>
        <w:pict w14:anchorId="5A357709">
          <v:shape id="_x0000_i1028" type="#_x0000_t75" style="width:482.1pt;height:384.8pt;visibility:visible">
            <v:imagedata r:id="rId16" o:title=""/>
          </v:shape>
        </w:pict>
      </w:r>
    </w:p>
    <w:p w14:paraId="058BDC89" w14:textId="77777777" w:rsidR="004C37D1" w:rsidRPr="004C37D1" w:rsidRDefault="004C37D1" w:rsidP="004C37D1">
      <w:pPr>
        <w:keepLines/>
        <w:spacing w:after="240"/>
        <w:jc w:val="center"/>
        <w:rPr>
          <w:rFonts w:ascii="Arial" w:hAnsi="Arial"/>
          <w:b/>
        </w:rPr>
      </w:pPr>
      <w:r w:rsidRPr="004C37D1">
        <w:rPr>
          <w:rFonts w:ascii="Arial" w:hAnsi="Arial"/>
          <w:b/>
        </w:rPr>
        <w:t>Figure 5.2-1: Initial IP Autoconfiguration flow</w:t>
      </w:r>
    </w:p>
    <w:p w14:paraId="6198351B" w14:textId="77777777" w:rsidR="004C37D1" w:rsidRPr="004C37D1" w:rsidRDefault="004C37D1" w:rsidP="00302B93">
      <w:pPr>
        <w:pStyle w:val="Heading2"/>
      </w:pPr>
      <w:bookmarkStart w:id="44" w:name="_Toc85636863"/>
      <w:r w:rsidRPr="004C37D1">
        <w:t>5.3</w:t>
      </w:r>
      <w:r w:rsidRPr="004C37D1">
        <w:tab/>
        <w:t>Certificate enrolment</w:t>
      </w:r>
      <w:bookmarkEnd w:id="44"/>
    </w:p>
    <w:p w14:paraId="273A35A3" w14:textId="77777777" w:rsidR="004C37D1" w:rsidRPr="004C37D1" w:rsidRDefault="004C37D1" w:rsidP="004C37D1">
      <w:r w:rsidRPr="004C37D1">
        <w:t>The procedure for certificate enrolment is described next and illustrated in figure 5.3-1.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77777777" w:rsidR="004C37D1" w:rsidRPr="004C37D1" w:rsidRDefault="004C37D1" w:rsidP="004C37D1">
      <w:pPr>
        <w:ind w:left="851" w:hanging="284"/>
      </w:pPr>
      <w:r w:rsidRPr="004C37D1">
        <w:t>2.1)</w:t>
      </w:r>
      <w:r w:rsidRPr="004C37D1">
        <w:tab/>
        <w:t>In this sub-step the NE enrols using the vendor certificate (e.g. pre-programmed at the factory) and other CA/RA attributes defined in TS 28.316 [3] section 4.2.2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AC4B09" w:rsidP="004C37D1">
      <w:pPr>
        <w:jc w:val="center"/>
      </w:pPr>
      <w:r>
        <w:rPr>
          <w:noProof/>
        </w:rPr>
        <w:pict w14:anchorId="502475E7">
          <v:shape id="_x0000_i1029" type="#_x0000_t75" style="width:285pt;height:181.5pt;visibility:visible">
            <v:imagedata r:id="rId17" o:title=""/>
          </v:shape>
        </w:pict>
      </w:r>
    </w:p>
    <w:p w14:paraId="6986BDBE" w14:textId="77777777" w:rsidR="004C37D1" w:rsidRPr="004C37D1" w:rsidRDefault="004C37D1" w:rsidP="004C37D1">
      <w:pPr>
        <w:keepLines/>
        <w:spacing w:after="240"/>
        <w:jc w:val="center"/>
        <w:rPr>
          <w:rFonts w:ascii="Arial" w:hAnsi="Arial"/>
          <w:b/>
        </w:rPr>
      </w:pPr>
      <w:r w:rsidRPr="004C37D1">
        <w:rPr>
          <w:rFonts w:ascii="Arial" w:hAnsi="Arial"/>
          <w:b/>
        </w:rPr>
        <w:t>Figure 5.3-1: Certificate enrolment flow</w:t>
      </w:r>
    </w:p>
    <w:p w14:paraId="712A18C8" w14:textId="77777777" w:rsidR="004C37D1" w:rsidRPr="004C37D1" w:rsidRDefault="004C37D1" w:rsidP="00302B93">
      <w:pPr>
        <w:pStyle w:val="Heading2"/>
      </w:pPr>
      <w:bookmarkStart w:id="45" w:name="_Toc85636864"/>
      <w:r w:rsidRPr="004C37D1">
        <w:t>5.4</w:t>
      </w:r>
      <w:r w:rsidRPr="004C37D1">
        <w:tab/>
        <w:t>Establishing secure connection</w:t>
      </w:r>
      <w:bookmarkEnd w:id="45"/>
    </w:p>
    <w:p w14:paraId="7705AD09" w14:textId="77777777" w:rsidR="004C37D1" w:rsidRPr="004C37D1" w:rsidRDefault="004C37D1" w:rsidP="004C37D1">
      <w:r w:rsidRPr="004C37D1">
        <w:t>The procedure for establishing the secure connection is described next and illustrated in figure 5.4-1.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AC4B09" w:rsidP="004C37D1">
      <w:pPr>
        <w:jc w:val="center"/>
      </w:pPr>
      <w:r>
        <w:rPr>
          <w:noProof/>
        </w:rPr>
        <w:pict w14:anchorId="21CBEC65">
          <v:shape id="_x0000_i1030" type="#_x0000_t75" style="width:268.5pt;height:265.5pt;visibility:visible">
            <v:imagedata r:id="rId18" o:title=""/>
          </v:shape>
        </w:pict>
      </w:r>
    </w:p>
    <w:p w14:paraId="10784799" w14:textId="77777777" w:rsidR="004C37D1" w:rsidRPr="004C37D1" w:rsidRDefault="004C37D1" w:rsidP="004C37D1">
      <w:pPr>
        <w:keepLines/>
        <w:spacing w:after="240"/>
        <w:jc w:val="center"/>
        <w:rPr>
          <w:rFonts w:ascii="Arial" w:hAnsi="Arial"/>
          <w:b/>
        </w:rPr>
      </w:pPr>
      <w:r w:rsidRPr="004C37D1">
        <w:rPr>
          <w:rFonts w:ascii="Arial" w:hAnsi="Arial"/>
          <w:b/>
        </w:rPr>
        <w:t>Figure 5.4-1: Establishing secure connection flow</w:t>
      </w:r>
    </w:p>
    <w:p w14:paraId="715F6097" w14:textId="55B85956" w:rsidR="004C37D1" w:rsidRPr="004C37D1" w:rsidRDefault="004C37D1" w:rsidP="00302B93">
      <w:pPr>
        <w:pStyle w:val="Heading2"/>
      </w:pPr>
      <w:bookmarkStart w:id="46" w:name="_Toc85636865"/>
      <w:r w:rsidRPr="004C37D1">
        <w:t>5.5</w:t>
      </w:r>
      <w:r w:rsidRPr="004C37D1">
        <w:tab/>
        <w:t>Establishing connection to Software and Configuration Server (SCS)</w:t>
      </w:r>
      <w:bookmarkEnd w:id="46"/>
    </w:p>
    <w:p w14:paraId="730980E8" w14:textId="77777777" w:rsidR="004C37D1" w:rsidRPr="004C37D1" w:rsidRDefault="004C37D1" w:rsidP="004C37D1">
      <w:r w:rsidRPr="004C37D1">
        <w:t>The procedure for establishing connection to Software and Configuration Server (SCS) is described next and illustrated in figure 5.5-1.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77777777"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77777777"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 this specification.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AC4B09" w:rsidP="004C37D1">
      <w:pPr>
        <w:jc w:val="center"/>
      </w:pPr>
      <w:r>
        <w:rPr>
          <w:rFonts w:eastAsia="SimSun"/>
        </w:rPr>
        <w:pict w14:anchorId="2738B17D">
          <v:shape id="_x0000_i1031" type="#_x0000_t75" style="width:377.25pt;height:450pt;visibility:visible">
            <v:imagedata r:id="rId19" o:title=""/>
          </v:shape>
        </w:pict>
      </w:r>
    </w:p>
    <w:p w14:paraId="0FA56711" w14:textId="77777777" w:rsidR="004C37D1" w:rsidRPr="004C37D1" w:rsidRDefault="004C37D1" w:rsidP="004C37D1">
      <w:pPr>
        <w:jc w:val="center"/>
      </w:pPr>
    </w:p>
    <w:p w14:paraId="576FA482" w14:textId="77777777" w:rsidR="004C37D1" w:rsidRPr="004C37D1" w:rsidRDefault="004C37D1" w:rsidP="004C37D1">
      <w:pPr>
        <w:keepLines/>
        <w:spacing w:after="240"/>
        <w:jc w:val="center"/>
        <w:rPr>
          <w:rFonts w:ascii="Arial" w:hAnsi="Arial"/>
          <w:b/>
        </w:rPr>
      </w:pPr>
      <w:r w:rsidRPr="004C37D1">
        <w:rPr>
          <w:rFonts w:ascii="Arial" w:hAnsi="Arial"/>
          <w:b/>
        </w:rPr>
        <w:t>Figure 5.5-1: Establishing connection to Software and Configuration Server (SCS) flow</w:t>
      </w:r>
    </w:p>
    <w:p w14:paraId="08E26E4E" w14:textId="77777777" w:rsidR="004C37D1" w:rsidRPr="004C37D1" w:rsidRDefault="004C37D1" w:rsidP="009B1CDF">
      <w:pPr>
        <w:pStyle w:val="Heading8"/>
      </w:pPr>
      <w:bookmarkStart w:id="47" w:name="_Toc85636866"/>
      <w:r w:rsidRPr="004C37D1">
        <w:t>Annex &lt;A&gt; (informative):</w:t>
      </w:r>
      <w:r w:rsidRPr="004C37D1">
        <w:br/>
        <w:t>PlantUML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autoconfiugration 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 3. Certificate Enrollment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275E0629"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F21655">
        <w:rPr>
          <w:rFonts w:ascii="Arial" w:eastAsia="SimSun" w:hAnsi="Arial"/>
          <w:sz w:val="32"/>
        </w:rPr>
        <w:t>management system</w:t>
      </w:r>
    </w:p>
    <w:p w14:paraId="3AE108B4" w14:textId="322711FD"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r w:rsidR="00E60BD6">
        <w:rPr>
          <w:lang w:eastAsia="zh-CN"/>
        </w:rPr>
        <w:t xml:space="preserve"> </w:t>
      </w:r>
      <w:r w:rsidR="00F21655">
        <w:rPr>
          <w:lang w:eastAsia="zh-CN"/>
        </w:rPr>
        <w:t>management system</w:t>
      </w:r>
      <w:r w:rsidRPr="004C37D1">
        <w:rPr>
          <w:lang w:eastAsia="zh-CN"/>
        </w:rPr>
        <w:t>,</w:t>
      </w:r>
      <w:r w:rsidRPr="004C37D1">
        <w:t xml:space="preserve"> as depicted by Figure 5.5-1: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2BF84D" w:rsidR="00080512" w:rsidRPr="004D3578" w:rsidRDefault="00080512">
      <w:pPr>
        <w:pStyle w:val="Heading8"/>
      </w:pPr>
      <w:bookmarkStart w:id="52" w:name="_Toc85636867"/>
      <w:r w:rsidRPr="004D3578">
        <w:t>Annex &lt;X&gt; (informative):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C1196" w14:textId="77777777" w:rsidR="00AC4B09" w:rsidRDefault="00AC4B09">
      <w:r>
        <w:separator/>
      </w:r>
    </w:p>
  </w:endnote>
  <w:endnote w:type="continuationSeparator" w:id="0">
    <w:p w14:paraId="762FE5BF" w14:textId="77777777" w:rsidR="00AC4B09" w:rsidRDefault="00AC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55B76" w14:textId="77777777" w:rsidR="00AC4B09" w:rsidRDefault="00AC4B09">
      <w:r>
        <w:separator/>
      </w:r>
    </w:p>
  </w:footnote>
  <w:footnote w:type="continuationSeparator" w:id="0">
    <w:p w14:paraId="58297EC6" w14:textId="77777777" w:rsidR="00AC4B09" w:rsidRDefault="00AC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2412ED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860">
      <w:rPr>
        <w:rFonts w:ascii="Arial" w:hAnsi="Arial" w:cs="Arial"/>
        <w:b/>
        <w:noProof/>
        <w:sz w:val="18"/>
        <w:szCs w:val="18"/>
      </w:rPr>
      <w:t>3GPP TS 28.315 V0.2.0 (2021-10)</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619F0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860">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6D4E"/>
    <w:rsid w:val="00062023"/>
    <w:rsid w:val="000655A6"/>
    <w:rsid w:val="00065E38"/>
    <w:rsid w:val="00080512"/>
    <w:rsid w:val="00082753"/>
    <w:rsid w:val="000A7860"/>
    <w:rsid w:val="000C05B6"/>
    <w:rsid w:val="000C47C3"/>
    <w:rsid w:val="000D58AB"/>
    <w:rsid w:val="00133525"/>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71B9E"/>
    <w:rsid w:val="003765B8"/>
    <w:rsid w:val="003B51F5"/>
    <w:rsid w:val="003C3971"/>
    <w:rsid w:val="003C6D7C"/>
    <w:rsid w:val="00423334"/>
    <w:rsid w:val="004345EC"/>
    <w:rsid w:val="00465515"/>
    <w:rsid w:val="004B144E"/>
    <w:rsid w:val="004C37D1"/>
    <w:rsid w:val="004D3578"/>
    <w:rsid w:val="004D6E83"/>
    <w:rsid w:val="004E213A"/>
    <w:rsid w:val="004F0988"/>
    <w:rsid w:val="004F3340"/>
    <w:rsid w:val="0052373F"/>
    <w:rsid w:val="00532A98"/>
    <w:rsid w:val="0053388B"/>
    <w:rsid w:val="00535773"/>
    <w:rsid w:val="00543E6C"/>
    <w:rsid w:val="00561E3A"/>
    <w:rsid w:val="00562F93"/>
    <w:rsid w:val="00565087"/>
    <w:rsid w:val="00597B11"/>
    <w:rsid w:val="005A49E5"/>
    <w:rsid w:val="005D0CC5"/>
    <w:rsid w:val="005D2E01"/>
    <w:rsid w:val="005D7526"/>
    <w:rsid w:val="005E4BB2"/>
    <w:rsid w:val="00602AEA"/>
    <w:rsid w:val="00614FDF"/>
    <w:rsid w:val="0063543D"/>
    <w:rsid w:val="00647114"/>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3724"/>
    <w:rsid w:val="00A56066"/>
    <w:rsid w:val="00A73129"/>
    <w:rsid w:val="00A82346"/>
    <w:rsid w:val="00A92BA1"/>
    <w:rsid w:val="00AC4B09"/>
    <w:rsid w:val="00AC6BC6"/>
    <w:rsid w:val="00AE15CB"/>
    <w:rsid w:val="00AE65E2"/>
    <w:rsid w:val="00B15449"/>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F025A2"/>
    <w:rsid w:val="00F04712"/>
    <w:rsid w:val="00F13360"/>
    <w:rsid w:val="00F1358B"/>
    <w:rsid w:val="00F14DDE"/>
    <w:rsid w:val="00F21655"/>
    <w:rsid w:val="00F22EC7"/>
    <w:rsid w:val="00F325C8"/>
    <w:rsid w:val="00F47AAF"/>
    <w:rsid w:val="00F62302"/>
    <w:rsid w:val="00F653B8"/>
    <w:rsid w:val="00F8226C"/>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D9D9AB59-4B7F-41CB-90ED-E9A71AAE08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5153</Words>
  <Characters>29374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2021-10-20T19:43:00Z</dcterms:created>
  <dcterms:modified xsi:type="dcterms:W3CDTF">2021-10-20T19:44:00Z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