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5619A" w:rsidRPr="002A65D9" w:rsidRDefault="0015619A" w:rsidP="0015619A">
      <w:pPr>
        <w:tabs>
          <w:tab w:val="left" w:pos="2127"/>
        </w:tabs>
        <w:spacing w:before="120" w:after="120"/>
        <w:rPr>
          <w:rFonts w:ascii="Arial" w:hAnsi="Arial" w:cs="Arial"/>
          <w:b/>
          <w:sz w:val="22"/>
          <w:lang w:val="en-GB"/>
        </w:rPr>
      </w:pPr>
      <w:r w:rsidRPr="002A65D9">
        <w:rPr>
          <w:rFonts w:ascii="Arial" w:hAnsi="Arial" w:cs="Arial"/>
          <w:b/>
          <w:sz w:val="22"/>
          <w:lang w:val="en-GB"/>
        </w:rPr>
        <w:t>Source:</w:t>
      </w:r>
      <w:r w:rsidRPr="002A65D9">
        <w:rPr>
          <w:rFonts w:ascii="Arial" w:hAnsi="Arial" w:cs="Arial"/>
          <w:b/>
          <w:sz w:val="22"/>
          <w:lang w:val="en-GB"/>
        </w:rPr>
        <w:tab/>
      </w:r>
      <w:r>
        <w:rPr>
          <w:rFonts w:ascii="Arial" w:hAnsi="Arial" w:cs="Arial" w:hint="eastAsia"/>
          <w:b/>
          <w:sz w:val="22"/>
          <w:lang w:val="en-GB"/>
        </w:rPr>
        <w:t>Samsung Electronics Co., Ltd.</w:t>
      </w:r>
    </w:p>
    <w:p w:rsidR="0015619A" w:rsidRPr="002A65D9" w:rsidRDefault="0015619A" w:rsidP="008C68F2">
      <w:pPr>
        <w:tabs>
          <w:tab w:val="left" w:pos="2127"/>
        </w:tabs>
        <w:spacing w:before="120" w:after="120"/>
        <w:rPr>
          <w:rFonts w:ascii="Arial" w:hAnsi="Arial" w:cs="Arial"/>
          <w:b/>
          <w:sz w:val="22"/>
          <w:lang w:val="en-GB"/>
        </w:rPr>
      </w:pPr>
      <w:r w:rsidRPr="002A65D9">
        <w:rPr>
          <w:rFonts w:ascii="Arial" w:hAnsi="Arial" w:cs="Arial"/>
          <w:b/>
          <w:sz w:val="22"/>
          <w:lang w:val="en-GB"/>
        </w:rPr>
        <w:t>Title:</w:t>
      </w:r>
      <w:r w:rsidRPr="002A65D9">
        <w:rPr>
          <w:rFonts w:ascii="Arial" w:hAnsi="Arial" w:cs="Arial"/>
          <w:b/>
          <w:sz w:val="22"/>
          <w:lang w:val="en-GB"/>
        </w:rPr>
        <w:tab/>
      </w:r>
      <w:r w:rsidR="00062DC4" w:rsidRPr="00062DC4">
        <w:rPr>
          <w:rFonts w:ascii="Arial" w:hAnsi="Arial" w:cs="Arial"/>
          <w:sz w:val="22"/>
          <w:lang w:val="en-GB"/>
        </w:rPr>
        <w:t>Interleaving for Joint Protection of Multiple Transport Objects in FLUTE</w:t>
      </w:r>
    </w:p>
    <w:p w:rsidR="0015619A" w:rsidRPr="002A65D9" w:rsidRDefault="0015619A" w:rsidP="0015619A">
      <w:pPr>
        <w:tabs>
          <w:tab w:val="left" w:pos="2127"/>
        </w:tabs>
        <w:spacing w:before="120" w:after="120"/>
        <w:rPr>
          <w:rFonts w:ascii="Arial" w:hAnsi="Arial" w:cs="Arial"/>
          <w:b/>
          <w:sz w:val="22"/>
          <w:lang w:val="en-GB"/>
        </w:rPr>
      </w:pPr>
      <w:r w:rsidRPr="002A65D9">
        <w:rPr>
          <w:rFonts w:ascii="Arial" w:hAnsi="Arial" w:cs="Arial"/>
          <w:b/>
          <w:sz w:val="22"/>
          <w:lang w:val="en-GB"/>
        </w:rPr>
        <w:t>Document for:</w:t>
      </w:r>
      <w:r w:rsidRPr="002A65D9">
        <w:rPr>
          <w:rFonts w:ascii="Arial" w:hAnsi="Arial" w:cs="Arial"/>
          <w:b/>
          <w:sz w:val="22"/>
          <w:lang w:val="en-GB"/>
        </w:rPr>
        <w:tab/>
      </w:r>
      <w:r w:rsidR="00A13206">
        <w:rPr>
          <w:rFonts w:ascii="Arial" w:hAnsi="Arial" w:cs="Arial"/>
          <w:b/>
          <w:sz w:val="22"/>
          <w:lang w:val="en-GB"/>
        </w:rPr>
        <w:t>d</w:t>
      </w:r>
      <w:bookmarkStart w:id="0" w:name="_GoBack"/>
      <w:bookmarkEnd w:id="0"/>
      <w:r w:rsidRPr="002A65D9">
        <w:rPr>
          <w:rFonts w:ascii="Arial" w:hAnsi="Arial" w:cs="Arial"/>
          <w:b/>
          <w:sz w:val="22"/>
          <w:lang w:val="en-GB"/>
        </w:rPr>
        <w:t>iscussion and agreement</w:t>
      </w:r>
    </w:p>
    <w:p w:rsidR="0015619A" w:rsidRPr="00093793" w:rsidRDefault="0015619A" w:rsidP="008C68F2">
      <w:pPr>
        <w:tabs>
          <w:tab w:val="left" w:pos="2127"/>
        </w:tabs>
        <w:spacing w:before="120" w:after="120"/>
        <w:rPr>
          <w:rFonts w:ascii="Arial" w:hAnsi="Arial" w:cs="Arial"/>
          <w:b/>
          <w:sz w:val="22"/>
          <w:lang w:val="en-GB"/>
        </w:rPr>
      </w:pPr>
      <w:r w:rsidRPr="002A65D9">
        <w:rPr>
          <w:rFonts w:ascii="Arial" w:hAnsi="Arial" w:cs="Arial"/>
          <w:b/>
          <w:sz w:val="22"/>
          <w:lang w:val="en-GB"/>
        </w:rPr>
        <w:t>Agenda Item:</w:t>
      </w:r>
      <w:r w:rsidRPr="002A65D9">
        <w:rPr>
          <w:rFonts w:ascii="Arial" w:hAnsi="Arial" w:cs="Arial"/>
          <w:b/>
          <w:sz w:val="22"/>
          <w:lang w:val="en-GB"/>
        </w:rPr>
        <w:tab/>
      </w:r>
      <w:r w:rsidR="00D76E30">
        <w:rPr>
          <w:rFonts w:ascii="Arial" w:hAnsi="Arial" w:cs="Arial"/>
          <w:b/>
          <w:sz w:val="22"/>
          <w:lang w:val="en-GB"/>
        </w:rPr>
        <w:t>7</w:t>
      </w:r>
    </w:p>
    <w:p w:rsidR="0015619A" w:rsidRPr="00093793" w:rsidRDefault="0015619A" w:rsidP="0015619A">
      <w:pPr>
        <w:pStyle w:val="Heading1"/>
        <w:numPr>
          <w:ilvl w:val="0"/>
          <w:numId w:val="0"/>
        </w:numPr>
        <w:pBdr>
          <w:top w:val="single" w:sz="12" w:space="0" w:color="auto"/>
        </w:pBdr>
        <w:ind w:left="432" w:hanging="432"/>
      </w:pPr>
    </w:p>
    <w:p w:rsidR="005C3B80" w:rsidRPr="0015619A" w:rsidRDefault="005C3B80" w:rsidP="005C3B80">
      <w:pPr>
        <w:pStyle w:val="Heading1"/>
        <w:rPr>
          <w:rFonts w:cs="Calibri"/>
          <w:lang w:val="de-AT"/>
        </w:rPr>
      </w:pPr>
      <w:r w:rsidRPr="0015619A">
        <w:rPr>
          <w:rFonts w:cs="Calibri"/>
          <w:lang w:val="de-AT"/>
        </w:rPr>
        <w:t>Introduction</w:t>
      </w:r>
    </w:p>
    <w:p w:rsidR="005C3B80" w:rsidRDefault="00CA63C9" w:rsidP="005C3B80">
      <w:pPr>
        <w:rPr>
          <w:rFonts w:ascii="Calibri" w:hAnsi="Calibri" w:cs="Calibri"/>
        </w:rPr>
      </w:pPr>
      <w:r>
        <w:rPr>
          <w:rFonts w:ascii="Calibri" w:hAnsi="Calibri" w:cs="Calibri"/>
        </w:rPr>
        <w:t>Recently, 3GPP SA 4 has started work on Enhanced MBMS Operation (MI-EMO)</w:t>
      </w:r>
      <w:r w:rsidR="008A326C">
        <w:rPr>
          <w:rFonts w:ascii="Calibri" w:hAnsi="Calibri" w:cs="Calibri"/>
        </w:rPr>
        <w:t xml:space="preserve"> [1]</w:t>
      </w:r>
      <w:r>
        <w:rPr>
          <w:rFonts w:ascii="Calibri" w:hAnsi="Calibri" w:cs="Calibri"/>
        </w:rPr>
        <w:t xml:space="preserve">. </w:t>
      </w:r>
      <w:r w:rsidR="00D76E30">
        <w:rPr>
          <w:rFonts w:ascii="Calibri" w:hAnsi="Calibri" w:cs="Calibri"/>
        </w:rPr>
        <w:t xml:space="preserve">This work is motivated by the service developments in 3GPP, such as the support of higher resolution video and the introduction of adaptive streaming over FLUTE. One of the objectives of this WID is to improve the performance of the download service in MBMS. This covers aspects such as </w:t>
      </w:r>
      <w:r w:rsidR="00326D99">
        <w:rPr>
          <w:rFonts w:ascii="Calibri" w:hAnsi="Calibri" w:cs="Calibri"/>
        </w:rPr>
        <w:t xml:space="preserve">enhanced protocol efficiency and </w:t>
      </w:r>
      <w:r w:rsidR="00D76E30">
        <w:rPr>
          <w:rFonts w:ascii="Calibri" w:hAnsi="Calibri" w:cs="Calibri"/>
        </w:rPr>
        <w:t xml:space="preserve">better error performance through joint protection of multiple files simultaneously. </w:t>
      </w:r>
    </w:p>
    <w:p w:rsidR="00FE5BB2" w:rsidRDefault="00FE5BB2" w:rsidP="005C3B80">
      <w:pPr>
        <w:rPr>
          <w:rFonts w:ascii="Calibri" w:hAnsi="Calibri" w:cs="Calibri"/>
        </w:rPr>
      </w:pPr>
    </w:p>
    <w:p w:rsidR="008C68F2" w:rsidRPr="00FE5BB2" w:rsidRDefault="00FE5BB2" w:rsidP="008C68F2">
      <w:pPr>
        <w:rPr>
          <w:rFonts w:ascii="Calibri" w:hAnsi="Calibri" w:cs="Calibri"/>
        </w:rPr>
      </w:pPr>
      <w:r>
        <w:rPr>
          <w:rFonts w:ascii="Calibri" w:hAnsi="Calibri" w:cs="Calibri"/>
        </w:rPr>
        <w:t>In this contribution, we discuss the latter optimization on how to optimally enable object bundling for FEC protection in FLUTE.</w:t>
      </w:r>
    </w:p>
    <w:p w:rsidR="00572D11" w:rsidRPr="00572D11" w:rsidRDefault="00572D11" w:rsidP="00572D11">
      <w:pPr>
        <w:pStyle w:val="Heading1"/>
        <w:rPr>
          <w:rFonts w:eastAsia="SimSun"/>
          <w:lang w:eastAsia="zh-CN"/>
        </w:rPr>
      </w:pPr>
      <w:r w:rsidRPr="00572D11">
        <w:rPr>
          <w:rFonts w:eastAsia="Malgun Gothic" w:hint="eastAsia"/>
        </w:rPr>
        <w:t>P</w:t>
      </w:r>
      <w:r w:rsidR="0032133D" w:rsidRPr="00572D11">
        <w:rPr>
          <w:rFonts w:eastAsia="Malgun Gothic"/>
        </w:rPr>
        <w:t>ropos</w:t>
      </w:r>
      <w:r w:rsidRPr="00572D11">
        <w:rPr>
          <w:rFonts w:eastAsia="Malgun Gothic" w:hint="eastAsia"/>
          <w:lang w:eastAsia="ko-KR"/>
        </w:rPr>
        <w:t>al</w:t>
      </w:r>
    </w:p>
    <w:p w:rsidR="00490430" w:rsidRDefault="00FE5BB2" w:rsidP="008C68F2">
      <w:pPr>
        <w:rPr>
          <w:rFonts w:ascii="Calibri" w:hAnsi="Calibri" w:cs="Calibri"/>
        </w:rPr>
      </w:pPr>
      <w:r>
        <w:rPr>
          <w:rFonts w:ascii="Calibri" w:hAnsi="Calibri" w:cs="Calibri"/>
        </w:rPr>
        <w:t xml:space="preserve">One use case that motivates for introducing object bundling in FEC protection is the delivery of DASH media segments over FLUTE. </w:t>
      </w:r>
      <w:r w:rsidR="00ED70CF">
        <w:rPr>
          <w:rFonts w:ascii="Calibri" w:hAnsi="Calibri" w:cs="Calibri"/>
        </w:rPr>
        <w:t xml:space="preserve">Media segments are typically of the same duration across different Representations. For ease of processing, media segments also typically carry media data of a single media type, e.g. Audio or Video. </w:t>
      </w:r>
      <w:r w:rsidR="00090E6E">
        <w:rPr>
          <w:rFonts w:ascii="Calibri" w:hAnsi="Calibri" w:cs="Calibri"/>
        </w:rPr>
        <w:t xml:space="preserve">In such a setup, the resulting media segments are of different file sizes due to the difference in the bitrates. </w:t>
      </w:r>
      <w:r w:rsidR="00C20899">
        <w:rPr>
          <w:rFonts w:ascii="Calibri" w:hAnsi="Calibri" w:cs="Calibri"/>
        </w:rPr>
        <w:t xml:space="preserve">As an example, media segments of 5 seconds duration would result in a 30 Kbyte audio segments (encoded at 48 kbps) and 480 Kbyte video segments (encoded at 768kbps). FEC </w:t>
      </w:r>
      <w:r w:rsidR="00FA180C">
        <w:rPr>
          <w:rFonts w:ascii="Calibri" w:hAnsi="Calibri" w:cs="Calibri"/>
        </w:rPr>
        <w:t>has</w:t>
      </w:r>
      <w:r w:rsidR="00490430">
        <w:rPr>
          <w:rFonts w:ascii="Calibri" w:hAnsi="Calibri" w:cs="Calibri"/>
        </w:rPr>
        <w:t xml:space="preserve"> a poorer performance when operating on smaller source blocks, thus the proposal to do object bundling to achieve better FEC protection for smaller files. </w:t>
      </w:r>
    </w:p>
    <w:p w:rsidR="00490430" w:rsidRDefault="00490430" w:rsidP="008C68F2">
      <w:pPr>
        <w:rPr>
          <w:rFonts w:ascii="Calibri" w:hAnsi="Calibri" w:cs="Calibri"/>
        </w:rPr>
      </w:pPr>
    </w:p>
    <w:p w:rsidR="00490430" w:rsidRDefault="00490430" w:rsidP="008C68F2">
      <w:pPr>
        <w:rPr>
          <w:rFonts w:ascii="Calibri" w:hAnsi="Calibri" w:cs="Calibri"/>
        </w:rPr>
      </w:pPr>
      <w:r>
        <w:rPr>
          <w:rFonts w:ascii="Calibri" w:hAnsi="Calibri" w:cs="Calibri"/>
        </w:rPr>
        <w:t>A</w:t>
      </w:r>
      <w:r w:rsidR="006E14DC">
        <w:rPr>
          <w:rFonts w:ascii="Calibri" w:hAnsi="Calibri" w:cs="Calibri"/>
        </w:rPr>
        <w:t xml:space="preserve"> simple</w:t>
      </w:r>
      <w:r>
        <w:rPr>
          <w:rFonts w:ascii="Calibri" w:hAnsi="Calibri" w:cs="Calibri"/>
        </w:rPr>
        <w:t xml:space="preserve"> approach to perform joint protection of multiple files is to do file concatenation. This means that for building the FEC source blocks, the files are first concatenated to build a single file. FEC protection </w:t>
      </w:r>
      <w:r w:rsidR="006E14DC">
        <w:rPr>
          <w:rFonts w:ascii="Calibri" w:hAnsi="Calibri" w:cs="Calibri"/>
        </w:rPr>
        <w:t>is then applied to the concatenated file. As a result</w:t>
      </w:r>
      <w:r w:rsidR="009400CD">
        <w:rPr>
          <w:rFonts w:ascii="Calibri" w:hAnsi="Calibri" w:cs="Calibri"/>
        </w:rPr>
        <w:t>,</w:t>
      </w:r>
      <w:r w:rsidR="006E14DC">
        <w:rPr>
          <w:rFonts w:ascii="Calibri" w:hAnsi="Calibri" w:cs="Calibri"/>
        </w:rPr>
        <w:t xml:space="preserve"> the smaller file will most likely be confined to one or a few source blocks. </w:t>
      </w:r>
      <w:r w:rsidR="009400CD">
        <w:rPr>
          <w:rFonts w:ascii="Calibri" w:hAnsi="Calibri" w:cs="Calibri"/>
        </w:rPr>
        <w:t>This will by consequence result in lower error reliability that might be inferior to the one achieved if no concatenation takes place. The object bundling using concatenation is depicted in the following figure.</w:t>
      </w:r>
    </w:p>
    <w:p w:rsidR="00647AD4" w:rsidRDefault="00490430" w:rsidP="00490430">
      <w:pPr>
        <w:jc w:val="center"/>
      </w:pPr>
      <w:r>
        <w:object w:dxaOrig="11010" w:dyaOrig="74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0.05pt;height:257.3pt" o:ole="">
            <v:imagedata r:id="rId8" o:title=""/>
          </v:shape>
          <o:OLEObject Type="Embed" ProgID="Visio.Drawing.15" ShapeID="_x0000_i1025" DrawAspect="Content" ObjectID="_1427028183" r:id="rId9"/>
        </w:object>
      </w:r>
    </w:p>
    <w:p w:rsidR="00367349" w:rsidRDefault="00367349" w:rsidP="00490430">
      <w:pPr>
        <w:jc w:val="center"/>
        <w:rPr>
          <w:rFonts w:ascii="Calibri" w:hAnsi="Calibri" w:cs="Calibri"/>
        </w:rPr>
      </w:pPr>
      <w:r>
        <w:t>Concatenation for Object Bundling</w:t>
      </w:r>
    </w:p>
    <w:p w:rsidR="00490430" w:rsidRDefault="00490430" w:rsidP="008C68F2">
      <w:pPr>
        <w:rPr>
          <w:rFonts w:ascii="Calibri" w:hAnsi="Calibri" w:cs="Calibri"/>
        </w:rPr>
      </w:pPr>
    </w:p>
    <w:p w:rsidR="00490430" w:rsidRDefault="009400CD" w:rsidP="008C68F2">
      <w:pPr>
        <w:rPr>
          <w:rFonts w:ascii="Calibri" w:hAnsi="Calibri" w:cs="Calibri"/>
        </w:rPr>
      </w:pPr>
      <w:r>
        <w:rPr>
          <w:rFonts w:ascii="Calibri" w:hAnsi="Calibri" w:cs="Calibri"/>
        </w:rPr>
        <w:t>It is generally well known that time interleaving improves the performance of FEC protection as it among others helps combat long channel deterioration periods. Based on this observation, we believe that object bu</w:t>
      </w:r>
      <w:r w:rsidR="00367349">
        <w:rPr>
          <w:rFonts w:ascii="Calibri" w:hAnsi="Calibri" w:cs="Calibri"/>
        </w:rPr>
        <w:t xml:space="preserve">ndling should be performed using interleaving. This approach is depicted in the following figure. </w:t>
      </w:r>
    </w:p>
    <w:p w:rsidR="00490430" w:rsidRDefault="00367349" w:rsidP="00490430">
      <w:pPr>
        <w:jc w:val="center"/>
      </w:pPr>
      <w:r>
        <w:object w:dxaOrig="6330" w:dyaOrig="11295">
          <v:shape id="_x0000_i1026" type="#_x0000_t75" style="width:247.3pt;height:440.75pt" o:ole="">
            <v:imagedata r:id="rId10" o:title=""/>
          </v:shape>
          <o:OLEObject Type="Embed" ProgID="Visio.Drawing.15" ShapeID="_x0000_i1026" DrawAspect="Content" ObjectID="_1427028184" r:id="rId11"/>
        </w:object>
      </w:r>
    </w:p>
    <w:p w:rsidR="00367349" w:rsidRDefault="00367349" w:rsidP="00490430">
      <w:pPr>
        <w:jc w:val="center"/>
      </w:pPr>
      <w:r>
        <w:t>Interleaving for Object Bundling</w:t>
      </w:r>
    </w:p>
    <w:p w:rsidR="00367349" w:rsidRDefault="00367349" w:rsidP="00367349">
      <w:pPr>
        <w:rPr>
          <w:rFonts w:ascii="Calibri" w:hAnsi="Calibri" w:cs="Calibri"/>
        </w:rPr>
      </w:pPr>
      <w:r>
        <w:rPr>
          <w:rFonts w:ascii="Calibri" w:hAnsi="Calibri" w:cs="Calibri"/>
        </w:rPr>
        <w:t xml:space="preserve">For perfect interleaving, the amount of data from each file in each source block </w:t>
      </w:r>
      <w:r w:rsidR="0068117D">
        <w:rPr>
          <w:rFonts w:ascii="Calibri" w:hAnsi="Calibri" w:cs="Calibri"/>
        </w:rPr>
        <w:t>should be proportional to the size of that file. The following table gives a proposal for a source block algorithm that works accordingly.</w:t>
      </w:r>
    </w:p>
    <w:tbl>
      <w:tblPr>
        <w:tblStyle w:val="PlainTable4"/>
        <w:tblW w:w="0" w:type="auto"/>
        <w:tblLook w:val="04A0" w:firstRow="1" w:lastRow="0" w:firstColumn="1" w:lastColumn="0" w:noHBand="0" w:noVBand="1"/>
      </w:tblPr>
      <w:tblGrid>
        <w:gridCol w:w="9016"/>
      </w:tblGrid>
      <w:tr w:rsidR="0068117D" w:rsidTr="0068117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shd w:val="clear" w:color="auto" w:fill="D9D9D9" w:themeFill="background1" w:themeFillShade="D9"/>
          </w:tcPr>
          <w:p w:rsidR="004E4629" w:rsidRDefault="001E1FFB" w:rsidP="00A76C0E">
            <w:pPr>
              <w:rPr>
                <w:rFonts w:ascii="Calibri" w:hAnsi="Calibri" w:cs="Calibri"/>
              </w:rPr>
            </w:pPr>
            <w:r w:rsidRPr="001E1FFB">
              <w:rPr>
                <w:rFonts w:ascii="Calibri" w:hAnsi="Calibri" w:cs="Calibri"/>
                <w:position w:val="-234"/>
              </w:rPr>
              <w:object w:dxaOrig="4660" w:dyaOrig="4800">
                <v:shape id="_x0000_i1027" type="#_x0000_t75" style="width:232.9pt;height:239.8pt" o:ole="">
                  <v:imagedata r:id="rId12" o:title=""/>
                </v:shape>
                <o:OLEObject Type="Embed" ProgID="Equation.3" ShapeID="_x0000_i1027" DrawAspect="Content" ObjectID="_1427028185" r:id="rId13"/>
              </w:object>
            </w:r>
          </w:p>
        </w:tc>
      </w:tr>
    </w:tbl>
    <w:p w:rsidR="0068117D" w:rsidRDefault="0068117D" w:rsidP="00367349">
      <w:pPr>
        <w:rPr>
          <w:rFonts w:ascii="Calibri" w:hAnsi="Calibri" w:cs="Calibri"/>
        </w:rPr>
      </w:pPr>
    </w:p>
    <w:p w:rsidR="001E1FFB" w:rsidRDefault="001E1FFB" w:rsidP="00367349">
      <w:pPr>
        <w:rPr>
          <w:rFonts w:ascii="Calibri" w:hAnsi="Calibri" w:cs="Calibri"/>
        </w:rPr>
      </w:pPr>
      <w:r>
        <w:rPr>
          <w:rFonts w:ascii="Calibri" w:hAnsi="Calibri" w:cs="Calibri"/>
        </w:rPr>
        <w:t xml:space="preserve">In this example, </w:t>
      </w:r>
      <w:r w:rsidRPr="001E1FFB">
        <w:rPr>
          <w:rFonts w:ascii="Calibri" w:hAnsi="Calibri" w:cs="Calibri"/>
          <w:b/>
          <w:i/>
        </w:rPr>
        <w:t>F</w:t>
      </w:r>
      <w:r w:rsidRPr="001E1FFB">
        <w:rPr>
          <w:rFonts w:ascii="Calibri" w:hAnsi="Calibri" w:cs="Calibri"/>
          <w:b/>
          <w:i/>
          <w:vertAlign w:val="subscript"/>
        </w:rPr>
        <w:t>i</w:t>
      </w:r>
      <w:r>
        <w:rPr>
          <w:rFonts w:ascii="Calibri" w:hAnsi="Calibri" w:cs="Calibri"/>
        </w:rPr>
        <w:t xml:space="preserve"> represents the file size of file </w:t>
      </w:r>
      <w:r w:rsidRPr="001E1FFB">
        <w:rPr>
          <w:rFonts w:ascii="Calibri" w:hAnsi="Calibri" w:cs="Calibri"/>
          <w:b/>
          <w:i/>
        </w:rPr>
        <w:t>i</w:t>
      </w:r>
      <w:r>
        <w:rPr>
          <w:rFonts w:ascii="Calibri" w:hAnsi="Calibri" w:cs="Calibri"/>
        </w:rPr>
        <w:t xml:space="preserve">, </w:t>
      </w:r>
      <w:r w:rsidRPr="001E1FFB">
        <w:rPr>
          <w:rFonts w:ascii="Calibri" w:hAnsi="Calibri" w:cs="Calibri"/>
          <w:b/>
          <w:i/>
        </w:rPr>
        <w:t>T</w:t>
      </w:r>
      <w:r>
        <w:rPr>
          <w:rFonts w:ascii="Calibri" w:hAnsi="Calibri" w:cs="Calibri"/>
        </w:rPr>
        <w:t xml:space="preserve"> represents the target source symbol size, </w:t>
      </w:r>
      <w:r w:rsidRPr="001E1FFB">
        <w:rPr>
          <w:rFonts w:ascii="Calibri" w:hAnsi="Calibri" w:cs="Calibri"/>
          <w:b/>
          <w:i/>
        </w:rPr>
        <w:t>Kt</w:t>
      </w:r>
      <w:r w:rsidRPr="001E1FFB">
        <w:rPr>
          <w:rFonts w:ascii="Calibri" w:hAnsi="Calibri" w:cs="Calibri"/>
          <w:b/>
          <w:i/>
          <w:vertAlign w:val="subscript"/>
        </w:rPr>
        <w:t>i</w:t>
      </w:r>
      <w:r>
        <w:rPr>
          <w:rFonts w:ascii="Calibri" w:hAnsi="Calibri" w:cs="Calibri"/>
        </w:rPr>
        <w:t xml:space="preserve"> and </w:t>
      </w:r>
      <w:r w:rsidRPr="001E1FFB">
        <w:rPr>
          <w:rFonts w:ascii="Calibri" w:hAnsi="Calibri" w:cs="Calibri"/>
          <w:b/>
          <w:i/>
        </w:rPr>
        <w:t>Kt</w:t>
      </w:r>
      <w:r>
        <w:rPr>
          <w:rFonts w:ascii="Calibri" w:hAnsi="Calibri" w:cs="Calibri"/>
        </w:rPr>
        <w:t xml:space="preserve"> represent the number of source symbols for file </w:t>
      </w:r>
      <w:r w:rsidRPr="001E1FFB">
        <w:rPr>
          <w:rFonts w:ascii="Calibri" w:hAnsi="Calibri" w:cs="Calibri"/>
          <w:b/>
          <w:i/>
        </w:rPr>
        <w:t>i</w:t>
      </w:r>
      <w:r>
        <w:rPr>
          <w:rFonts w:ascii="Calibri" w:hAnsi="Calibri" w:cs="Calibri"/>
        </w:rPr>
        <w:t xml:space="preserve"> and in total respectively, </w:t>
      </w:r>
      <w:r w:rsidR="00D76C3C" w:rsidRPr="00D76C3C">
        <w:rPr>
          <w:rFonts w:ascii="Calibri" w:hAnsi="Calibri" w:cs="Calibri"/>
          <w:i/>
        </w:rPr>
        <w:t>IL</w:t>
      </w:r>
      <w:r w:rsidR="00D76C3C">
        <w:rPr>
          <w:rFonts w:ascii="Calibri" w:hAnsi="Calibri" w:cs="Calibri"/>
        </w:rPr>
        <w:t xml:space="preserve"> and </w:t>
      </w:r>
      <w:r w:rsidR="00D76C3C" w:rsidRPr="00D76C3C">
        <w:rPr>
          <w:rFonts w:ascii="Calibri" w:hAnsi="Calibri" w:cs="Calibri"/>
          <w:i/>
        </w:rPr>
        <w:t>IS</w:t>
      </w:r>
      <w:r w:rsidR="00D76C3C">
        <w:rPr>
          <w:rFonts w:ascii="Calibri" w:hAnsi="Calibri" w:cs="Calibri"/>
        </w:rPr>
        <w:t xml:space="preserve"> represent the number of source symbols in the long source blocks and in the short source blocks respectively, </w:t>
      </w:r>
      <w:r w:rsidR="00D76C3C" w:rsidRPr="00D76C3C">
        <w:rPr>
          <w:rFonts w:ascii="Calibri" w:hAnsi="Calibri" w:cs="Calibri"/>
          <w:b/>
          <w:i/>
        </w:rPr>
        <w:t>JL</w:t>
      </w:r>
      <w:r w:rsidR="00D76C3C">
        <w:rPr>
          <w:rFonts w:ascii="Calibri" w:hAnsi="Calibri" w:cs="Calibri"/>
        </w:rPr>
        <w:t xml:space="preserve"> and </w:t>
      </w:r>
      <w:r w:rsidR="00D76C3C" w:rsidRPr="00D76C3C">
        <w:rPr>
          <w:rFonts w:ascii="Calibri" w:hAnsi="Calibri" w:cs="Calibri"/>
          <w:b/>
          <w:i/>
        </w:rPr>
        <w:t>JS</w:t>
      </w:r>
      <w:r w:rsidR="00D76C3C">
        <w:rPr>
          <w:rFonts w:ascii="Calibri" w:hAnsi="Calibri" w:cs="Calibri"/>
        </w:rPr>
        <w:t xml:space="preserve"> represent the number of long source blocks and the number of short source blocks, and </w:t>
      </w:r>
      <w:r w:rsidR="00D76C3C" w:rsidRPr="00D76C3C">
        <w:rPr>
          <w:rFonts w:ascii="Calibri" w:hAnsi="Calibri" w:cs="Calibri"/>
          <w:b/>
          <w:i/>
        </w:rPr>
        <w:t>N</w:t>
      </w:r>
      <w:r w:rsidR="00D76C3C" w:rsidRPr="00D76C3C">
        <w:rPr>
          <w:rFonts w:ascii="Calibri" w:hAnsi="Calibri" w:cs="Calibri"/>
          <w:b/>
          <w:i/>
          <w:vertAlign w:val="subscript"/>
        </w:rPr>
        <w:t>i,j</w:t>
      </w:r>
      <w:r w:rsidR="00D76C3C">
        <w:rPr>
          <w:rFonts w:ascii="Calibri" w:hAnsi="Calibri" w:cs="Calibri"/>
        </w:rPr>
        <w:t xml:space="preserve"> represents the number of source blocks from file </w:t>
      </w:r>
      <w:r w:rsidR="00D76C3C" w:rsidRPr="00D76C3C">
        <w:rPr>
          <w:rFonts w:ascii="Calibri" w:hAnsi="Calibri" w:cs="Calibri"/>
          <w:b/>
          <w:i/>
        </w:rPr>
        <w:t>i</w:t>
      </w:r>
      <w:r w:rsidR="00D76C3C">
        <w:rPr>
          <w:rFonts w:ascii="Calibri" w:hAnsi="Calibri" w:cs="Calibri"/>
        </w:rPr>
        <w:t xml:space="preserve"> to be put in source block </w:t>
      </w:r>
      <w:r w:rsidR="00D76C3C" w:rsidRPr="00D76C3C">
        <w:rPr>
          <w:rFonts w:ascii="Calibri" w:hAnsi="Calibri" w:cs="Calibri"/>
          <w:b/>
          <w:i/>
        </w:rPr>
        <w:t>j</w:t>
      </w:r>
      <w:r w:rsidR="00D76C3C">
        <w:rPr>
          <w:rFonts w:ascii="Calibri" w:hAnsi="Calibri" w:cs="Calibri"/>
        </w:rPr>
        <w:t>.</w:t>
      </w:r>
    </w:p>
    <w:p w:rsidR="008568C5" w:rsidRDefault="008568C5" w:rsidP="00367349">
      <w:pPr>
        <w:rPr>
          <w:rFonts w:ascii="Calibri" w:hAnsi="Calibri" w:cs="Calibri"/>
        </w:rPr>
      </w:pPr>
    </w:p>
    <w:p w:rsidR="008568C5" w:rsidRDefault="008568C5" w:rsidP="00367349">
      <w:pPr>
        <w:rPr>
          <w:rFonts w:ascii="Calibri" w:hAnsi="Calibri" w:cs="Calibri"/>
        </w:rPr>
      </w:pPr>
      <w:r>
        <w:rPr>
          <w:rFonts w:ascii="Calibri" w:hAnsi="Calibri" w:cs="Calibri"/>
        </w:rPr>
        <w:t>This operation may be performed without altering the behavior of the FEC decoder. However, in order to enable this interleaving appropriate signaling is required. The client must be made aware that FEC bundling is taking place. This information needs to be signaled as part of the FEC OTI information that is typically signaled in the FDT or in an extension header. The signaling should indicate the following:</w:t>
      </w:r>
    </w:p>
    <w:p w:rsidR="008568C5" w:rsidRDefault="008568C5" w:rsidP="008568C5">
      <w:pPr>
        <w:pStyle w:val="ListParagraph"/>
        <w:numPr>
          <w:ilvl w:val="0"/>
          <w:numId w:val="18"/>
        </w:numPr>
        <w:ind w:leftChars="0"/>
        <w:rPr>
          <w:rFonts w:ascii="Calibri" w:hAnsi="Calibri" w:cs="Calibri"/>
        </w:rPr>
      </w:pPr>
      <w:r>
        <w:rPr>
          <w:rFonts w:ascii="Calibri" w:hAnsi="Calibri" w:cs="Calibri"/>
        </w:rPr>
        <w:t>FEC bundling is performed</w:t>
      </w:r>
    </w:p>
    <w:p w:rsidR="008568C5" w:rsidRDefault="008568C5" w:rsidP="008568C5">
      <w:pPr>
        <w:pStyle w:val="ListParagraph"/>
        <w:numPr>
          <w:ilvl w:val="0"/>
          <w:numId w:val="18"/>
        </w:numPr>
        <w:ind w:leftChars="0"/>
        <w:rPr>
          <w:rFonts w:ascii="Calibri" w:hAnsi="Calibri" w:cs="Calibri"/>
        </w:rPr>
      </w:pPr>
      <w:r>
        <w:rPr>
          <w:rFonts w:ascii="Calibri" w:hAnsi="Calibri" w:cs="Calibri"/>
        </w:rPr>
        <w:t>Transport Objects that are bundled for FEC protection</w:t>
      </w:r>
    </w:p>
    <w:p w:rsidR="008568C5" w:rsidRPr="008568C5" w:rsidRDefault="00FA3741" w:rsidP="008568C5">
      <w:pPr>
        <w:pStyle w:val="ListParagraph"/>
        <w:numPr>
          <w:ilvl w:val="0"/>
          <w:numId w:val="18"/>
        </w:numPr>
        <w:ind w:leftChars="0"/>
        <w:rPr>
          <w:rFonts w:ascii="Calibri" w:hAnsi="Calibri" w:cs="Calibri"/>
        </w:rPr>
      </w:pPr>
      <w:r>
        <w:rPr>
          <w:rFonts w:ascii="Calibri" w:hAnsi="Calibri" w:cs="Calibri"/>
        </w:rPr>
        <w:t>Where to find the repair symbols</w:t>
      </w:r>
    </w:p>
    <w:p w:rsidR="008568C5" w:rsidRDefault="008568C5" w:rsidP="00367349">
      <w:pPr>
        <w:rPr>
          <w:rFonts w:ascii="Calibri" w:hAnsi="Calibri" w:cs="Calibri"/>
        </w:rPr>
      </w:pPr>
    </w:p>
    <w:p w:rsidR="008568C5" w:rsidRPr="00647AD4" w:rsidRDefault="008568C5" w:rsidP="00367349">
      <w:pPr>
        <w:rPr>
          <w:rFonts w:ascii="Calibri" w:hAnsi="Calibri" w:cs="Calibri"/>
        </w:rPr>
      </w:pPr>
      <w:r>
        <w:rPr>
          <w:rFonts w:ascii="Calibri" w:hAnsi="Calibri" w:cs="Calibri"/>
        </w:rPr>
        <w:t>There are different ways to carry the resulting repair signals. The sender c</w:t>
      </w:r>
      <w:r w:rsidR="00FA3741">
        <w:rPr>
          <w:rFonts w:ascii="Calibri" w:hAnsi="Calibri" w:cs="Calibri"/>
        </w:rPr>
        <w:t xml:space="preserve">ould send all repair symbols as part of a specific TO (for example the one with the lowest TOI), or it can split the repair symbols across all transport objects proportionally. Or alternatively, it could repeat the repair symbols in every TO. </w:t>
      </w:r>
    </w:p>
    <w:p w:rsidR="0015619A" w:rsidRPr="0015619A" w:rsidRDefault="00572D11" w:rsidP="0015619A">
      <w:pPr>
        <w:pStyle w:val="Heading1"/>
        <w:keepLines/>
        <w:tabs>
          <w:tab w:val="num" w:pos="432"/>
        </w:tabs>
        <w:overflowPunct w:val="0"/>
        <w:autoSpaceDE w:val="0"/>
        <w:autoSpaceDN w:val="0"/>
        <w:adjustRightInd w:val="0"/>
        <w:spacing w:after="180"/>
        <w:jc w:val="left"/>
        <w:textAlignment w:val="baseline"/>
        <w:rPr>
          <w:rFonts w:cs="Calibri"/>
        </w:rPr>
      </w:pPr>
      <w:r>
        <w:rPr>
          <w:rFonts w:eastAsia="Malgun Gothic" w:cs="Calibri" w:hint="eastAsia"/>
          <w:lang w:eastAsia="ko-KR"/>
        </w:rPr>
        <w:t>Conclusion</w:t>
      </w:r>
      <w:r w:rsidR="00FA3741">
        <w:rPr>
          <w:rFonts w:eastAsia="Malgun Gothic" w:cs="Calibri"/>
          <w:lang w:eastAsia="ko-KR"/>
        </w:rPr>
        <w:t xml:space="preserve"> and Proposal</w:t>
      </w:r>
    </w:p>
    <w:p w:rsidR="00916B92" w:rsidRPr="00FA3741" w:rsidRDefault="00FA3741" w:rsidP="00FA3741">
      <w:pPr>
        <w:rPr>
          <w:rFonts w:ascii="Calibri" w:hAnsi="Calibri" w:cs="Calibri"/>
        </w:rPr>
      </w:pPr>
      <w:r w:rsidRPr="00FA3741">
        <w:rPr>
          <w:rFonts w:ascii="Calibri" w:hAnsi="Calibri" w:cs="Calibri"/>
        </w:rPr>
        <w:t>We propose to use interleaving for object bundling for FEC protection in FLUTE. We also propose to define the FEC OTI extensions to signal the necessary information to enable FEC decoding.</w:t>
      </w:r>
    </w:p>
    <w:p w:rsidR="00916B92" w:rsidRDefault="00916B92" w:rsidP="00916B92">
      <w:pPr>
        <w:pStyle w:val="Heading1"/>
        <w:keepLines/>
        <w:tabs>
          <w:tab w:val="num" w:pos="432"/>
        </w:tabs>
        <w:overflowPunct w:val="0"/>
        <w:autoSpaceDE w:val="0"/>
        <w:autoSpaceDN w:val="0"/>
        <w:adjustRightInd w:val="0"/>
        <w:spacing w:after="180"/>
        <w:jc w:val="left"/>
        <w:textAlignment w:val="baseline"/>
        <w:rPr>
          <w:rFonts w:eastAsia="Malgun Gothic" w:cs="Calibri"/>
          <w:lang w:eastAsia="ko-KR"/>
        </w:rPr>
      </w:pPr>
      <w:r>
        <w:rPr>
          <w:rFonts w:eastAsia="Malgun Gothic" w:cs="Calibri" w:hint="eastAsia"/>
          <w:lang w:eastAsia="ko-KR"/>
        </w:rPr>
        <w:t>References</w:t>
      </w:r>
    </w:p>
    <w:p w:rsidR="00916B92" w:rsidRPr="0015619A" w:rsidRDefault="00916B92" w:rsidP="008C68F2">
      <w:pPr>
        <w:rPr>
          <w:rFonts w:ascii="Calibri" w:hAnsi="Calibri" w:cs="Calibri"/>
        </w:rPr>
      </w:pPr>
      <w:r>
        <w:rPr>
          <w:rFonts w:ascii="Calibri" w:hAnsi="Calibri" w:cs="Calibri" w:hint="eastAsia"/>
        </w:rPr>
        <w:t>[1]</w:t>
      </w:r>
      <w:r w:rsidR="0056356C">
        <w:rPr>
          <w:rFonts w:ascii="Calibri" w:hAnsi="Calibri" w:cs="Calibri" w:hint="eastAsia"/>
        </w:rPr>
        <w:t xml:space="preserve"> </w:t>
      </w:r>
      <w:r w:rsidR="00172BCB">
        <w:rPr>
          <w:rFonts w:ascii="Calibri" w:hAnsi="Calibri" w:cs="Calibri"/>
        </w:rPr>
        <w:t>S4-130264, New work item: Enhanced MBMS Operation (MI-EMO)</w:t>
      </w:r>
    </w:p>
    <w:sectPr w:rsidR="00916B92" w:rsidRPr="0015619A" w:rsidSect="005E5A28">
      <w:headerReference w:type="default" r:id="rId14"/>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E63CA" w:rsidRDefault="00AE63CA"/>
  </w:endnote>
  <w:endnote w:type="continuationSeparator" w:id="0">
    <w:p w:rsidR="00AE63CA" w:rsidRDefault="00AE63C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altName w:val="맑은 고딕"/>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E63CA" w:rsidRDefault="00AE63CA"/>
  </w:footnote>
  <w:footnote w:type="continuationSeparator" w:id="0">
    <w:p w:rsidR="00AE63CA" w:rsidRDefault="00AE63C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619A" w:rsidRPr="0015619A" w:rsidRDefault="0015619A" w:rsidP="008C68F2">
    <w:pPr>
      <w:tabs>
        <w:tab w:val="right" w:pos="9072"/>
      </w:tabs>
      <w:rPr>
        <w:rFonts w:ascii="Calibri" w:eastAsia="SimSun" w:hAnsi="Calibri" w:cs="Calibri"/>
        <w:b/>
        <w:i/>
        <w:color w:val="FF0000"/>
        <w:szCs w:val="20"/>
        <w:lang w:eastAsia="zh-CN"/>
      </w:rPr>
    </w:pPr>
    <w:r w:rsidRPr="0015619A">
      <w:rPr>
        <w:rFonts w:ascii="Calibri" w:hAnsi="Calibri" w:cs="Calibri"/>
        <w:b/>
        <w:szCs w:val="20"/>
      </w:rPr>
      <w:t>TSG SA4#7</w:t>
    </w:r>
    <w:r w:rsidR="00CA63C9">
      <w:rPr>
        <w:rFonts w:ascii="Calibri" w:hAnsi="Calibri" w:cs="Calibri"/>
        <w:b/>
        <w:szCs w:val="20"/>
      </w:rPr>
      <w:t>3</w:t>
    </w:r>
    <w:r w:rsidRPr="0015619A">
      <w:rPr>
        <w:rFonts w:ascii="Calibri" w:hAnsi="Calibri" w:cs="Calibri"/>
        <w:b/>
        <w:szCs w:val="20"/>
      </w:rPr>
      <w:t xml:space="preserve"> meeting</w:t>
    </w:r>
    <w:r w:rsidR="008B4A1F">
      <w:rPr>
        <w:rFonts w:ascii="Calibri" w:hAnsi="Calibri" w:cs="Calibri" w:hint="eastAsia"/>
        <w:b/>
        <w:szCs w:val="20"/>
      </w:rPr>
      <w:t xml:space="preserve"> </w:t>
    </w:r>
    <w:r w:rsidR="008B4A1F">
      <w:rPr>
        <w:rFonts w:ascii="Calibri" w:hAnsi="Calibri" w:cs="Calibri" w:hint="eastAsia"/>
        <w:b/>
        <w:szCs w:val="20"/>
      </w:rPr>
      <w:tab/>
    </w:r>
    <w:r w:rsidRPr="0015619A">
      <w:rPr>
        <w:rFonts w:ascii="Calibri" w:hAnsi="Calibri" w:cs="Calibri"/>
        <w:b/>
        <w:i/>
        <w:szCs w:val="20"/>
      </w:rPr>
      <w:t>Tdoc S4-</w:t>
    </w:r>
    <w:r w:rsidR="00084864" w:rsidRPr="0015619A">
      <w:rPr>
        <w:rFonts w:ascii="Calibri" w:hAnsi="Calibri" w:cs="Calibri"/>
        <w:b/>
        <w:i/>
        <w:szCs w:val="20"/>
      </w:rPr>
      <w:t>1</w:t>
    </w:r>
    <w:r w:rsidR="00062DC4">
      <w:rPr>
        <w:rFonts w:ascii="Calibri" w:hAnsi="Calibri" w:cs="Calibri"/>
        <w:b/>
        <w:i/>
        <w:szCs w:val="20"/>
      </w:rPr>
      <w:t>30485</w:t>
    </w:r>
  </w:p>
  <w:p w:rsidR="0015619A" w:rsidRPr="00916B92" w:rsidRDefault="00CA63C9" w:rsidP="008C68F2">
    <w:pPr>
      <w:tabs>
        <w:tab w:val="right" w:pos="9072"/>
      </w:tabs>
      <w:rPr>
        <w:rFonts w:ascii="Calibri" w:eastAsia="SimSun" w:hAnsi="Calibri" w:cs="Calibri"/>
        <w:szCs w:val="20"/>
      </w:rPr>
    </w:pPr>
    <w:r>
      <w:rPr>
        <w:rFonts w:ascii="Calibri" w:hAnsi="Calibri" w:cs="Calibri"/>
        <w:szCs w:val="20"/>
        <w:lang w:eastAsia="zh-CN"/>
      </w:rPr>
      <w:t>1</w:t>
    </w:r>
    <w:r w:rsidR="008C68F2">
      <w:rPr>
        <w:rFonts w:ascii="Calibri" w:hAnsi="Calibri" w:cs="Calibri"/>
        <w:szCs w:val="20"/>
        <w:lang w:eastAsia="zh-CN"/>
      </w:rPr>
      <w:t>5</w:t>
    </w:r>
    <w:r w:rsidR="0015619A" w:rsidRPr="0015619A">
      <w:rPr>
        <w:rFonts w:ascii="Calibri" w:hAnsi="Calibri" w:cs="Calibri"/>
        <w:szCs w:val="20"/>
        <w:lang w:eastAsia="zh-CN"/>
      </w:rPr>
      <w:t>-</w:t>
    </w:r>
    <w:r>
      <w:rPr>
        <w:rFonts w:ascii="Calibri" w:hAnsi="Calibri" w:cs="Calibri"/>
        <w:szCs w:val="20"/>
        <w:lang w:eastAsia="zh-CN"/>
      </w:rPr>
      <w:t>1</w:t>
    </w:r>
    <w:r w:rsidR="008C68F2">
      <w:rPr>
        <w:rFonts w:ascii="Calibri" w:hAnsi="Calibri" w:cs="Calibri"/>
        <w:szCs w:val="20"/>
        <w:lang w:eastAsia="zh-CN"/>
      </w:rPr>
      <w:t>9</w:t>
    </w:r>
    <w:r w:rsidR="0015619A" w:rsidRPr="0015619A">
      <w:rPr>
        <w:rFonts w:ascii="Calibri" w:hAnsi="Calibri" w:cs="Calibri"/>
        <w:szCs w:val="20"/>
        <w:lang w:eastAsia="zh-CN"/>
      </w:rPr>
      <w:t xml:space="preserve"> </w:t>
    </w:r>
    <w:r>
      <w:rPr>
        <w:rFonts w:ascii="Calibri" w:hAnsi="Calibri" w:cs="Calibri"/>
        <w:szCs w:val="20"/>
        <w:lang w:eastAsia="zh-CN"/>
      </w:rPr>
      <w:t>April</w:t>
    </w:r>
    <w:r w:rsidR="0015619A" w:rsidRPr="0015619A">
      <w:rPr>
        <w:rFonts w:ascii="Calibri" w:hAnsi="Calibri" w:cs="Calibri"/>
        <w:szCs w:val="20"/>
        <w:lang w:eastAsia="zh-CN"/>
      </w:rPr>
      <w:t xml:space="preserve">, </w:t>
    </w:r>
    <w:r>
      <w:rPr>
        <w:rFonts w:ascii="Calibri" w:hAnsi="Calibri" w:cs="Calibri"/>
        <w:szCs w:val="20"/>
        <w:lang w:eastAsia="zh-CN"/>
      </w:rPr>
      <w:t>Qingdao</w:t>
    </w:r>
    <w:r w:rsidR="0015619A" w:rsidRPr="0015619A">
      <w:rPr>
        <w:rFonts w:ascii="Calibri" w:hAnsi="Calibri" w:cs="Calibri"/>
        <w:szCs w:val="20"/>
        <w:lang w:eastAsia="zh-CN"/>
      </w:rPr>
      <w:t xml:space="preserve">, </w:t>
    </w:r>
    <w:r>
      <w:rPr>
        <w:rFonts w:ascii="Calibri" w:hAnsi="Calibri" w:cs="Calibri"/>
        <w:szCs w:val="20"/>
        <w:lang w:eastAsia="zh-CN"/>
      </w:rPr>
      <w:t>CH</w:t>
    </w:r>
    <w:r w:rsidR="0015619A" w:rsidRPr="0015619A">
      <w:rPr>
        <w:rFonts w:ascii="Calibri" w:hAnsi="Calibri" w:cs="Calibri"/>
        <w:szCs w:val="20"/>
        <w:lang w:eastAsia="zh-CN"/>
      </w:rPr>
      <w:tab/>
    </w:r>
    <w:r w:rsidR="00FC6C51">
      <w:rPr>
        <w:rFonts w:ascii="Calibri" w:hAnsi="Calibri" w:cs="Calibri" w:hint="eastAsia"/>
        <w:szCs w:val="20"/>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D07D78"/>
    <w:multiLevelType w:val="hybridMultilevel"/>
    <w:tmpl w:val="94B67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8AE038A"/>
    <w:multiLevelType w:val="hybridMultilevel"/>
    <w:tmpl w:val="E1CCE716"/>
    <w:lvl w:ilvl="0" w:tplc="F02C4F4C">
      <w:start w:val="26"/>
      <w:numFmt w:val="bullet"/>
      <w:lvlText w:val="-"/>
      <w:lvlJc w:val="left"/>
      <w:pPr>
        <w:ind w:left="800" w:hanging="400"/>
      </w:pPr>
      <w:rPr>
        <w:rFonts w:ascii="Arial" w:eastAsia="Times New Roman" w:hAnsi="Aria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1AB8305E"/>
    <w:multiLevelType w:val="hybridMultilevel"/>
    <w:tmpl w:val="9D5C7EFE"/>
    <w:lvl w:ilvl="0" w:tplc="5DE6B796">
      <w:start w:val="1"/>
      <w:numFmt w:val="bullet"/>
      <w:lvlText w:val="–"/>
      <w:lvlJc w:val="left"/>
      <w:pPr>
        <w:ind w:left="800" w:hanging="400"/>
      </w:pPr>
      <w:rPr>
        <w:rFonts w:ascii="Times New Roman" w:hAnsi="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1EB6760A"/>
    <w:multiLevelType w:val="hybridMultilevel"/>
    <w:tmpl w:val="05A627A8"/>
    <w:lvl w:ilvl="0" w:tplc="76B0B864">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BCF483D2">
      <w:start w:val="5"/>
      <w:numFmt w:val="bullet"/>
      <w:lvlText w:val=""/>
      <w:lvlJc w:val="left"/>
      <w:pPr>
        <w:ind w:left="1960" w:hanging="360"/>
      </w:pPr>
      <w:rPr>
        <w:rFonts w:ascii="Wingdings" w:eastAsia="Malgun Gothic" w:hAnsi="Wingdings" w:cs="Times New Roman" w:hint="default"/>
      </w:r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nsid w:val="25655D04"/>
    <w:multiLevelType w:val="multilevel"/>
    <w:tmpl w:val="94D06028"/>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94"/>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5">
    <w:nsid w:val="34FF5A22"/>
    <w:multiLevelType w:val="hybridMultilevel"/>
    <w:tmpl w:val="09D242B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nsid w:val="40386970"/>
    <w:multiLevelType w:val="hybridMultilevel"/>
    <w:tmpl w:val="9C2A8BBE"/>
    <w:lvl w:ilvl="0" w:tplc="FC7A70C6">
      <w:start w:val="3"/>
      <w:numFmt w:val="bullet"/>
      <w:lvlText w:val="-"/>
      <w:lvlJc w:val="left"/>
      <w:pPr>
        <w:ind w:left="720" w:hanging="360"/>
      </w:pPr>
      <w:rPr>
        <w:rFonts w:ascii="Times New Roman" w:eastAsia="MS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nsid w:val="6659418A"/>
    <w:multiLevelType w:val="hybridMultilevel"/>
    <w:tmpl w:val="18CA5502"/>
    <w:lvl w:ilvl="0" w:tplc="5DE6B796">
      <w:start w:val="1"/>
      <w:numFmt w:val="bullet"/>
      <w:lvlText w:val="–"/>
      <w:lvlJc w:val="left"/>
      <w:pPr>
        <w:ind w:left="800" w:hanging="400"/>
      </w:pPr>
      <w:rPr>
        <w:rFonts w:ascii="Times New Roman" w:hAnsi="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71587CE9"/>
    <w:multiLevelType w:val="hybridMultilevel"/>
    <w:tmpl w:val="B338F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3BF2DB0"/>
    <w:multiLevelType w:val="hybridMultilevel"/>
    <w:tmpl w:val="CA52695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75A340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nsid w:val="75E8078C"/>
    <w:multiLevelType w:val="hybridMultilevel"/>
    <w:tmpl w:val="67D4A888"/>
    <w:lvl w:ilvl="0" w:tplc="F02C4F4C">
      <w:start w:val="26"/>
      <w:numFmt w:val="bullet"/>
      <w:lvlText w:val="-"/>
      <w:lvlJc w:val="left"/>
      <w:pPr>
        <w:ind w:left="1140" w:hanging="420"/>
      </w:pPr>
      <w:rPr>
        <w:rFonts w:ascii="Arial" w:eastAsia="Times New Roman" w:hAnsi="Arial"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2">
    <w:nsid w:val="7D4A587B"/>
    <w:multiLevelType w:val="hybridMultilevel"/>
    <w:tmpl w:val="844A7EF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3"/>
  </w:num>
  <w:num w:numId="2">
    <w:abstractNumId w:val="10"/>
  </w:num>
  <w:num w:numId="3">
    <w:abstractNumId w:val="11"/>
  </w:num>
  <w:num w:numId="4">
    <w:abstractNumId w:val="9"/>
  </w:num>
  <w:num w:numId="5">
    <w:abstractNumId w:val="6"/>
  </w:num>
  <w:num w:numId="6">
    <w:abstractNumId w:val="12"/>
  </w:num>
  <w:num w:numId="7">
    <w:abstractNumId w:val="5"/>
  </w:num>
  <w:num w:numId="8">
    <w:abstractNumId w:val="10"/>
  </w:num>
  <w:num w:numId="9">
    <w:abstractNumId w:val="10"/>
  </w:num>
  <w:num w:numId="10">
    <w:abstractNumId w:val="8"/>
  </w:num>
  <w:num w:numId="11">
    <w:abstractNumId w:val="10"/>
  </w:num>
  <w:num w:numId="12">
    <w:abstractNumId w:val="4"/>
  </w:num>
  <w:num w:numId="13">
    <w:abstractNumId w:val="10"/>
  </w:num>
  <w:num w:numId="14">
    <w:abstractNumId w:val="10"/>
  </w:num>
  <w:num w:numId="15">
    <w:abstractNumId w:val="1"/>
  </w:num>
  <w:num w:numId="16">
    <w:abstractNumId w:val="7"/>
  </w:num>
  <w:num w:numId="17">
    <w:abstractNumId w:val="2"/>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2A9A"/>
    <w:rsid w:val="000352B6"/>
    <w:rsid w:val="000533A1"/>
    <w:rsid w:val="00062DC4"/>
    <w:rsid w:val="00084864"/>
    <w:rsid w:val="00090E6E"/>
    <w:rsid w:val="000A339D"/>
    <w:rsid w:val="000B762B"/>
    <w:rsid w:val="000D7CD8"/>
    <w:rsid w:val="000E483F"/>
    <w:rsid w:val="000E66DB"/>
    <w:rsid w:val="00117759"/>
    <w:rsid w:val="0015619A"/>
    <w:rsid w:val="00172BCB"/>
    <w:rsid w:val="001809CF"/>
    <w:rsid w:val="001C1BFF"/>
    <w:rsid w:val="001D406D"/>
    <w:rsid w:val="001D62D2"/>
    <w:rsid w:val="001D70FB"/>
    <w:rsid w:val="001E1FFB"/>
    <w:rsid w:val="001F42B3"/>
    <w:rsid w:val="002041EB"/>
    <w:rsid w:val="00220E59"/>
    <w:rsid w:val="00240328"/>
    <w:rsid w:val="00270396"/>
    <w:rsid w:val="002A233F"/>
    <w:rsid w:val="00312298"/>
    <w:rsid w:val="00316AA2"/>
    <w:rsid w:val="0032133D"/>
    <w:rsid w:val="00326D99"/>
    <w:rsid w:val="00367349"/>
    <w:rsid w:val="0040048F"/>
    <w:rsid w:val="0048770D"/>
    <w:rsid w:val="00490430"/>
    <w:rsid w:val="00490945"/>
    <w:rsid w:val="004A2ECA"/>
    <w:rsid w:val="004B35CF"/>
    <w:rsid w:val="004D3C01"/>
    <w:rsid w:val="004E4629"/>
    <w:rsid w:val="004F3C6B"/>
    <w:rsid w:val="00522EFD"/>
    <w:rsid w:val="0054205B"/>
    <w:rsid w:val="0056356C"/>
    <w:rsid w:val="00572D11"/>
    <w:rsid w:val="00595EC5"/>
    <w:rsid w:val="005B58A0"/>
    <w:rsid w:val="005C3B80"/>
    <w:rsid w:val="005E5A28"/>
    <w:rsid w:val="00621899"/>
    <w:rsid w:val="00635558"/>
    <w:rsid w:val="00647AD4"/>
    <w:rsid w:val="0066196A"/>
    <w:rsid w:val="0068117D"/>
    <w:rsid w:val="006B0EB0"/>
    <w:rsid w:val="006D4DF6"/>
    <w:rsid w:val="006E14DC"/>
    <w:rsid w:val="00780448"/>
    <w:rsid w:val="007A6127"/>
    <w:rsid w:val="007F1E93"/>
    <w:rsid w:val="0084450C"/>
    <w:rsid w:val="008568C5"/>
    <w:rsid w:val="008A326C"/>
    <w:rsid w:val="008B36B6"/>
    <w:rsid w:val="008B4A1F"/>
    <w:rsid w:val="008C68F2"/>
    <w:rsid w:val="00916B92"/>
    <w:rsid w:val="009400CD"/>
    <w:rsid w:val="00954EF6"/>
    <w:rsid w:val="00984A55"/>
    <w:rsid w:val="00A13206"/>
    <w:rsid w:val="00A65538"/>
    <w:rsid w:val="00A76C0E"/>
    <w:rsid w:val="00A92EF1"/>
    <w:rsid w:val="00AC59AE"/>
    <w:rsid w:val="00AE63CA"/>
    <w:rsid w:val="00B06561"/>
    <w:rsid w:val="00B17DAE"/>
    <w:rsid w:val="00B21549"/>
    <w:rsid w:val="00B23CB3"/>
    <w:rsid w:val="00B54BB4"/>
    <w:rsid w:val="00B948E8"/>
    <w:rsid w:val="00BB5D39"/>
    <w:rsid w:val="00C20899"/>
    <w:rsid w:val="00C5363A"/>
    <w:rsid w:val="00C676A7"/>
    <w:rsid w:val="00CA2A9A"/>
    <w:rsid w:val="00CA63C9"/>
    <w:rsid w:val="00CB037C"/>
    <w:rsid w:val="00D4313A"/>
    <w:rsid w:val="00D65FDE"/>
    <w:rsid w:val="00D76C3C"/>
    <w:rsid w:val="00D76E30"/>
    <w:rsid w:val="00DA1369"/>
    <w:rsid w:val="00DE6AA3"/>
    <w:rsid w:val="00DF1611"/>
    <w:rsid w:val="00E14AE8"/>
    <w:rsid w:val="00EC124F"/>
    <w:rsid w:val="00ED0CA9"/>
    <w:rsid w:val="00ED70CF"/>
    <w:rsid w:val="00EF6392"/>
    <w:rsid w:val="00F137B0"/>
    <w:rsid w:val="00F420FA"/>
    <w:rsid w:val="00F47ADE"/>
    <w:rsid w:val="00F6184E"/>
    <w:rsid w:val="00F83313"/>
    <w:rsid w:val="00FA180C"/>
    <w:rsid w:val="00FA3741"/>
    <w:rsid w:val="00FC6C51"/>
    <w:rsid w:val="00FE529D"/>
    <w:rsid w:val="00FE5BB2"/>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D0BEE8D-06E0-4929-9654-6612945258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Malgun Gothic" w:eastAsia="Malgun Gothic" w:hAnsi="Malgun Gothic"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E5A28"/>
    <w:pPr>
      <w:widowControl w:val="0"/>
      <w:wordWrap w:val="0"/>
      <w:autoSpaceDE w:val="0"/>
      <w:autoSpaceDN w:val="0"/>
      <w:jc w:val="both"/>
    </w:pPr>
    <w:rPr>
      <w:kern w:val="2"/>
      <w:szCs w:val="22"/>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
    <w:basedOn w:val="Normal"/>
    <w:next w:val="Normal"/>
    <w:link w:val="Heading1Char"/>
    <w:qFormat/>
    <w:rsid w:val="005C3B80"/>
    <w:pPr>
      <w:keepNext/>
      <w:widowControl/>
      <w:numPr>
        <w:numId w:val="2"/>
      </w:numPr>
      <w:wordWrap/>
      <w:autoSpaceDE/>
      <w:autoSpaceDN/>
      <w:spacing w:before="240" w:after="60"/>
      <w:outlineLvl w:val="0"/>
    </w:pPr>
    <w:rPr>
      <w:rFonts w:ascii="Calibri" w:eastAsia="Times New Roman" w:hAnsi="Calibri"/>
      <w:b/>
      <w:bCs/>
      <w:kern w:val="32"/>
      <w:sz w:val="32"/>
      <w:szCs w:val="32"/>
      <w:lang w:eastAsia="en-US"/>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Normal"/>
    <w:next w:val="Normal"/>
    <w:link w:val="Heading2Char"/>
    <w:qFormat/>
    <w:rsid w:val="005C3B80"/>
    <w:pPr>
      <w:keepNext/>
      <w:widowControl/>
      <w:numPr>
        <w:ilvl w:val="1"/>
        <w:numId w:val="2"/>
      </w:numPr>
      <w:wordWrap/>
      <w:autoSpaceDE/>
      <w:autoSpaceDN/>
      <w:spacing w:before="240" w:after="60"/>
      <w:outlineLvl w:val="1"/>
    </w:pPr>
    <w:rPr>
      <w:rFonts w:ascii="Calibri" w:eastAsia="Times New Roman" w:hAnsi="Calibri"/>
      <w:b/>
      <w:bCs/>
      <w:i/>
      <w:iCs/>
      <w:kern w:val="0"/>
      <w:sz w:val="28"/>
      <w:szCs w:val="28"/>
      <w:lang w:eastAsia="en-US"/>
    </w:rPr>
  </w:style>
  <w:style w:type="paragraph" w:styleId="Heading3">
    <w:name w:val="heading 3"/>
    <w:aliases w:val="H3,h3,H31,Titre 3,Org Heading 1"/>
    <w:basedOn w:val="Normal"/>
    <w:next w:val="Normal"/>
    <w:link w:val="Heading3Char"/>
    <w:qFormat/>
    <w:rsid w:val="005C3B80"/>
    <w:pPr>
      <w:keepNext/>
      <w:widowControl/>
      <w:numPr>
        <w:ilvl w:val="2"/>
        <w:numId w:val="2"/>
      </w:numPr>
      <w:wordWrap/>
      <w:autoSpaceDE/>
      <w:autoSpaceDN/>
      <w:spacing w:before="240" w:after="60"/>
      <w:outlineLvl w:val="2"/>
    </w:pPr>
    <w:rPr>
      <w:rFonts w:ascii="Calibri" w:eastAsia="Times New Roman" w:hAnsi="Calibri"/>
      <w:b/>
      <w:bCs/>
      <w:kern w:val="0"/>
      <w:sz w:val="26"/>
      <w:szCs w:val="26"/>
      <w:lang w:eastAsia="en-US"/>
    </w:rPr>
  </w:style>
  <w:style w:type="paragraph" w:styleId="Heading4">
    <w:name w:val="heading 4"/>
    <w:aliases w:val="h4,H4,H41,Titre 4,Org Heading 2,Heading 4 Char1 Char,Heading 4 Char Char Char"/>
    <w:basedOn w:val="Normal"/>
    <w:next w:val="Normal"/>
    <w:link w:val="Heading4Char"/>
    <w:uiPriority w:val="9"/>
    <w:qFormat/>
    <w:rsid w:val="005C3B80"/>
    <w:pPr>
      <w:keepNext/>
      <w:widowControl/>
      <w:numPr>
        <w:ilvl w:val="3"/>
        <w:numId w:val="2"/>
      </w:numPr>
      <w:wordWrap/>
      <w:autoSpaceDE/>
      <w:autoSpaceDN/>
      <w:spacing w:before="240" w:after="60"/>
      <w:outlineLvl w:val="3"/>
    </w:pPr>
    <w:rPr>
      <w:rFonts w:ascii="Cambria" w:eastAsia="Times New Roman" w:hAnsi="Cambria"/>
      <w:b/>
      <w:bCs/>
      <w:kern w:val="0"/>
      <w:sz w:val="28"/>
      <w:szCs w:val="28"/>
      <w:lang w:eastAsia="en-US"/>
    </w:rPr>
  </w:style>
  <w:style w:type="paragraph" w:styleId="Heading5">
    <w:name w:val="heading 5"/>
    <w:aliases w:val="H5,Appendix A to X,Heading 5   Appendix A to X,5 sub-bullet,sb,4,h5,Indent,H51,Titre 5,DO NOT USE_h5"/>
    <w:basedOn w:val="Normal"/>
    <w:next w:val="Normal"/>
    <w:link w:val="Heading5Char"/>
    <w:uiPriority w:val="9"/>
    <w:qFormat/>
    <w:rsid w:val="005C3B80"/>
    <w:pPr>
      <w:widowControl/>
      <w:numPr>
        <w:ilvl w:val="4"/>
        <w:numId w:val="2"/>
      </w:numPr>
      <w:wordWrap/>
      <w:autoSpaceDE/>
      <w:autoSpaceDN/>
      <w:spacing w:before="240" w:after="60"/>
      <w:outlineLvl w:val="4"/>
    </w:pPr>
    <w:rPr>
      <w:rFonts w:ascii="Cambria" w:eastAsia="Times New Roman" w:hAnsi="Cambria"/>
      <w:b/>
      <w:bCs/>
      <w:i/>
      <w:iCs/>
      <w:kern w:val="0"/>
      <w:sz w:val="26"/>
      <w:szCs w:val="26"/>
      <w:lang w:eastAsia="en-US"/>
    </w:rPr>
  </w:style>
  <w:style w:type="paragraph" w:styleId="Heading6">
    <w:name w:val="heading 6"/>
    <w:aliases w:val="TOC header,Bullet list,sub-dash,sd,5,Appendix,T1,h6,H6,H61,Titre 6"/>
    <w:basedOn w:val="Normal"/>
    <w:next w:val="Normal"/>
    <w:link w:val="Heading6Char"/>
    <w:uiPriority w:val="9"/>
    <w:qFormat/>
    <w:rsid w:val="005C3B80"/>
    <w:pPr>
      <w:widowControl/>
      <w:numPr>
        <w:ilvl w:val="5"/>
        <w:numId w:val="2"/>
      </w:numPr>
      <w:wordWrap/>
      <w:autoSpaceDE/>
      <w:autoSpaceDN/>
      <w:spacing w:before="240" w:after="60"/>
      <w:outlineLvl w:val="5"/>
    </w:pPr>
    <w:rPr>
      <w:rFonts w:ascii="Cambria" w:eastAsia="Times New Roman" w:hAnsi="Cambria"/>
      <w:b/>
      <w:bCs/>
      <w:kern w:val="0"/>
      <w:sz w:val="22"/>
      <w:lang w:eastAsia="en-US"/>
    </w:rPr>
  </w:style>
  <w:style w:type="paragraph" w:styleId="Heading7">
    <w:name w:val="heading 7"/>
    <w:aliases w:val="Bulleted list,L7"/>
    <w:basedOn w:val="Normal"/>
    <w:next w:val="Normal"/>
    <w:link w:val="Heading7Char"/>
    <w:qFormat/>
    <w:rsid w:val="005C3B80"/>
    <w:pPr>
      <w:widowControl/>
      <w:numPr>
        <w:ilvl w:val="6"/>
        <w:numId w:val="2"/>
      </w:numPr>
      <w:wordWrap/>
      <w:autoSpaceDE/>
      <w:autoSpaceDN/>
      <w:spacing w:before="240" w:after="60"/>
      <w:outlineLvl w:val="6"/>
    </w:pPr>
    <w:rPr>
      <w:rFonts w:ascii="Cambria" w:eastAsia="Times New Roman" w:hAnsi="Cambria"/>
      <w:kern w:val="0"/>
      <w:sz w:val="24"/>
      <w:szCs w:val="24"/>
      <w:lang w:eastAsia="en-US"/>
    </w:rPr>
  </w:style>
  <w:style w:type="paragraph" w:styleId="Heading8">
    <w:name w:val="heading 8"/>
    <w:aliases w:val="Table Heading,Legal Level 1.1.1.,Center Bold"/>
    <w:basedOn w:val="Normal"/>
    <w:next w:val="Normal"/>
    <w:link w:val="Heading8Char"/>
    <w:qFormat/>
    <w:rsid w:val="005C3B80"/>
    <w:pPr>
      <w:widowControl/>
      <w:numPr>
        <w:ilvl w:val="7"/>
        <w:numId w:val="2"/>
      </w:numPr>
      <w:wordWrap/>
      <w:autoSpaceDE/>
      <w:autoSpaceDN/>
      <w:spacing w:before="240" w:after="60"/>
      <w:outlineLvl w:val="7"/>
    </w:pPr>
    <w:rPr>
      <w:rFonts w:ascii="Cambria" w:eastAsia="Times New Roman" w:hAnsi="Cambria"/>
      <w:i/>
      <w:iCs/>
      <w:kern w:val="0"/>
      <w:sz w:val="24"/>
      <w:szCs w:val="24"/>
      <w:lang w:eastAsia="en-US"/>
    </w:rPr>
  </w:style>
  <w:style w:type="paragraph" w:styleId="Heading9">
    <w:name w:val="heading 9"/>
    <w:aliases w:val="Figure Heading,FH,Titre 10"/>
    <w:basedOn w:val="Normal"/>
    <w:next w:val="Normal"/>
    <w:link w:val="Heading9Char"/>
    <w:qFormat/>
    <w:rsid w:val="005C3B80"/>
    <w:pPr>
      <w:widowControl/>
      <w:numPr>
        <w:ilvl w:val="8"/>
        <w:numId w:val="2"/>
      </w:numPr>
      <w:wordWrap/>
      <w:autoSpaceDE/>
      <w:autoSpaceDN/>
      <w:spacing w:before="240" w:after="60"/>
      <w:outlineLvl w:val="8"/>
    </w:pPr>
    <w:rPr>
      <w:rFonts w:ascii="Calibri" w:eastAsia="Times New Roman" w:hAnsi="Calibri"/>
      <w:kern w:val="0"/>
      <w:sz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72"/>
    <w:qFormat/>
    <w:rsid w:val="00CA2A9A"/>
    <w:pPr>
      <w:ind w:leftChars="400" w:left="800"/>
    </w:p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rsid w:val="005C3B80"/>
    <w:rPr>
      <w:rFonts w:ascii="Calibri" w:eastAsia="Times New Roman" w:hAnsi="Calibri"/>
      <w:b/>
      <w:bCs/>
      <w:kern w:val="32"/>
      <w:sz w:val="32"/>
      <w:szCs w:val="32"/>
      <w:lang w:eastAsia="en-US"/>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basedOn w:val="DefaultParagraphFont"/>
    <w:link w:val="Heading2"/>
    <w:rsid w:val="005C3B80"/>
    <w:rPr>
      <w:rFonts w:ascii="Calibri" w:eastAsia="Times New Roman" w:hAnsi="Calibri"/>
      <w:b/>
      <w:bCs/>
      <w:i/>
      <w:iCs/>
      <w:sz w:val="28"/>
      <w:szCs w:val="28"/>
      <w:lang w:eastAsia="en-US"/>
    </w:rPr>
  </w:style>
  <w:style w:type="character" w:customStyle="1" w:styleId="Heading3Char">
    <w:name w:val="Heading 3 Char"/>
    <w:aliases w:val="H3 Char,h3 Char,H31 Char,Titre 3 Char,Org Heading 1 Char"/>
    <w:basedOn w:val="DefaultParagraphFont"/>
    <w:link w:val="Heading3"/>
    <w:rsid w:val="005C3B80"/>
    <w:rPr>
      <w:rFonts w:ascii="Calibri" w:eastAsia="Times New Roman" w:hAnsi="Calibri" w:cs="Times New Roman"/>
      <w:b/>
      <w:bCs/>
      <w:kern w:val="0"/>
      <w:sz w:val="26"/>
      <w:szCs w:val="26"/>
      <w:lang w:eastAsia="en-US"/>
    </w:rPr>
  </w:style>
  <w:style w:type="character" w:customStyle="1" w:styleId="Heading4Char">
    <w:name w:val="Heading 4 Char"/>
    <w:aliases w:val="h4 Char,H4 Char,H41 Char,Titre 4 Char,Org Heading 2 Char,Heading 4 Char1 Char Char,Heading 4 Char Char Char Char"/>
    <w:basedOn w:val="DefaultParagraphFont"/>
    <w:link w:val="Heading4"/>
    <w:uiPriority w:val="9"/>
    <w:rsid w:val="005C3B80"/>
    <w:rPr>
      <w:rFonts w:ascii="Cambria" w:eastAsia="Times New Roman" w:hAnsi="Cambria" w:cs="Times New Roman"/>
      <w:b/>
      <w:bCs/>
      <w:kern w:val="0"/>
      <w:sz w:val="28"/>
      <w:szCs w:val="28"/>
      <w:lang w:eastAsia="en-US"/>
    </w:rPr>
  </w:style>
  <w:style w:type="character" w:customStyle="1" w:styleId="Heading5Char">
    <w:name w:val="Heading 5 Char"/>
    <w:aliases w:val="H5 Char,Appendix A to X Char,Heading 5   Appendix A to X Char,5 sub-bullet Char,sb Char,4 Char,h5 Char,Indent Char,H51 Char,Titre 5 Char,DO NOT USE_h5 Char"/>
    <w:basedOn w:val="DefaultParagraphFont"/>
    <w:link w:val="Heading5"/>
    <w:uiPriority w:val="9"/>
    <w:rsid w:val="005C3B80"/>
    <w:rPr>
      <w:rFonts w:ascii="Cambria" w:eastAsia="Times New Roman" w:hAnsi="Cambria" w:cs="Times New Roman"/>
      <w:b/>
      <w:bCs/>
      <w:i/>
      <w:iCs/>
      <w:kern w:val="0"/>
      <w:sz w:val="26"/>
      <w:szCs w:val="26"/>
      <w:lang w:eastAsia="en-US"/>
    </w:rPr>
  </w:style>
  <w:style w:type="character" w:customStyle="1" w:styleId="Heading6Char">
    <w:name w:val="Heading 6 Char"/>
    <w:aliases w:val="TOC header Char,Bullet list Char,sub-dash Char,sd Char,5 Char,Appendix Char,T1 Char,h6 Char,H6 Char,H61 Char,Titre 6 Char"/>
    <w:basedOn w:val="DefaultParagraphFont"/>
    <w:link w:val="Heading6"/>
    <w:uiPriority w:val="9"/>
    <w:rsid w:val="005C3B80"/>
    <w:rPr>
      <w:rFonts w:ascii="Cambria" w:eastAsia="Times New Roman" w:hAnsi="Cambria" w:cs="Times New Roman"/>
      <w:b/>
      <w:bCs/>
      <w:kern w:val="0"/>
      <w:sz w:val="22"/>
      <w:lang w:eastAsia="en-US"/>
    </w:rPr>
  </w:style>
  <w:style w:type="character" w:customStyle="1" w:styleId="Heading7Char">
    <w:name w:val="Heading 7 Char"/>
    <w:aliases w:val="Bulleted list Char,L7 Char"/>
    <w:basedOn w:val="DefaultParagraphFont"/>
    <w:link w:val="Heading7"/>
    <w:rsid w:val="005C3B80"/>
    <w:rPr>
      <w:rFonts w:ascii="Cambria" w:eastAsia="Times New Roman" w:hAnsi="Cambria" w:cs="Times New Roman"/>
      <w:kern w:val="0"/>
      <w:sz w:val="24"/>
      <w:szCs w:val="24"/>
      <w:lang w:eastAsia="en-US"/>
    </w:rPr>
  </w:style>
  <w:style w:type="character" w:customStyle="1" w:styleId="Heading8Char">
    <w:name w:val="Heading 8 Char"/>
    <w:aliases w:val="Table Heading Char,Legal Level 1.1.1. Char,Center Bold Char"/>
    <w:basedOn w:val="DefaultParagraphFont"/>
    <w:link w:val="Heading8"/>
    <w:rsid w:val="005C3B80"/>
    <w:rPr>
      <w:rFonts w:ascii="Cambria" w:eastAsia="Times New Roman" w:hAnsi="Cambria" w:cs="Times New Roman"/>
      <w:i/>
      <w:iCs/>
      <w:kern w:val="0"/>
      <w:sz w:val="24"/>
      <w:szCs w:val="24"/>
      <w:lang w:eastAsia="en-US"/>
    </w:rPr>
  </w:style>
  <w:style w:type="character" w:customStyle="1" w:styleId="Heading9Char">
    <w:name w:val="Heading 9 Char"/>
    <w:aliases w:val="Figure Heading Char,FH Char,Titre 10 Char"/>
    <w:basedOn w:val="DefaultParagraphFont"/>
    <w:link w:val="Heading9"/>
    <w:rsid w:val="005C3B80"/>
    <w:rPr>
      <w:rFonts w:ascii="Calibri" w:eastAsia="Times New Roman" w:hAnsi="Calibri" w:cs="Times New Roman"/>
      <w:kern w:val="0"/>
      <w:sz w:val="22"/>
      <w:lang w:eastAsia="en-US"/>
    </w:rPr>
  </w:style>
  <w:style w:type="paragraph" w:styleId="DocumentMap">
    <w:name w:val="Document Map"/>
    <w:basedOn w:val="Normal"/>
    <w:link w:val="DocumentMapChar"/>
    <w:uiPriority w:val="99"/>
    <w:semiHidden/>
    <w:unhideWhenUsed/>
    <w:rsid w:val="005C3B80"/>
    <w:rPr>
      <w:rFonts w:ascii="Gulim" w:eastAsia="Gulim"/>
      <w:sz w:val="18"/>
      <w:szCs w:val="18"/>
    </w:rPr>
  </w:style>
  <w:style w:type="character" w:customStyle="1" w:styleId="DocumentMapChar">
    <w:name w:val="Document Map Char"/>
    <w:basedOn w:val="DefaultParagraphFont"/>
    <w:link w:val="DocumentMap"/>
    <w:uiPriority w:val="99"/>
    <w:semiHidden/>
    <w:rsid w:val="005C3B80"/>
    <w:rPr>
      <w:rFonts w:ascii="Gulim" w:eastAsia="Gulim"/>
      <w:sz w:val="18"/>
      <w:szCs w:val="18"/>
    </w:rPr>
  </w:style>
  <w:style w:type="paragraph" w:styleId="Header">
    <w:name w:val="header"/>
    <w:basedOn w:val="Normal"/>
    <w:link w:val="HeaderChar"/>
    <w:uiPriority w:val="99"/>
    <w:unhideWhenUsed/>
    <w:rsid w:val="00C676A7"/>
    <w:pPr>
      <w:tabs>
        <w:tab w:val="center" w:pos="4513"/>
        <w:tab w:val="right" w:pos="9026"/>
      </w:tabs>
      <w:snapToGrid w:val="0"/>
    </w:pPr>
  </w:style>
  <w:style w:type="character" w:customStyle="1" w:styleId="HeaderChar">
    <w:name w:val="Header Char"/>
    <w:basedOn w:val="DefaultParagraphFont"/>
    <w:link w:val="Header"/>
    <w:uiPriority w:val="99"/>
    <w:rsid w:val="00C676A7"/>
    <w:rPr>
      <w:kern w:val="2"/>
      <w:szCs w:val="22"/>
    </w:rPr>
  </w:style>
  <w:style w:type="paragraph" w:styleId="Footer">
    <w:name w:val="footer"/>
    <w:basedOn w:val="Normal"/>
    <w:link w:val="FooterChar"/>
    <w:uiPriority w:val="99"/>
    <w:unhideWhenUsed/>
    <w:rsid w:val="00C676A7"/>
    <w:pPr>
      <w:tabs>
        <w:tab w:val="center" w:pos="4513"/>
        <w:tab w:val="right" w:pos="9026"/>
      </w:tabs>
      <w:snapToGrid w:val="0"/>
    </w:pPr>
  </w:style>
  <w:style w:type="character" w:customStyle="1" w:styleId="FooterChar">
    <w:name w:val="Footer Char"/>
    <w:basedOn w:val="DefaultParagraphFont"/>
    <w:link w:val="Footer"/>
    <w:uiPriority w:val="99"/>
    <w:rsid w:val="00C676A7"/>
    <w:rPr>
      <w:kern w:val="2"/>
      <w:szCs w:val="22"/>
    </w:rPr>
  </w:style>
  <w:style w:type="paragraph" w:styleId="BalloonText">
    <w:name w:val="Balloon Text"/>
    <w:basedOn w:val="Normal"/>
    <w:link w:val="BalloonTextChar"/>
    <w:uiPriority w:val="99"/>
    <w:semiHidden/>
    <w:unhideWhenUsed/>
    <w:rsid w:val="00954EF6"/>
    <w:rPr>
      <w:sz w:val="18"/>
      <w:szCs w:val="18"/>
    </w:rPr>
  </w:style>
  <w:style w:type="character" w:customStyle="1" w:styleId="BalloonTextChar">
    <w:name w:val="Balloon Text Char"/>
    <w:basedOn w:val="DefaultParagraphFont"/>
    <w:link w:val="BalloonText"/>
    <w:uiPriority w:val="99"/>
    <w:semiHidden/>
    <w:rsid w:val="00954EF6"/>
    <w:rPr>
      <w:rFonts w:ascii="Malgun Gothic" w:eastAsia="Malgun Gothic" w:hAnsi="Malgun Gothic" w:cs="Times New Roman"/>
      <w:kern w:val="2"/>
      <w:sz w:val="18"/>
      <w:szCs w:val="18"/>
    </w:rPr>
  </w:style>
  <w:style w:type="table" w:styleId="TableGrid">
    <w:name w:val="Table Grid"/>
    <w:basedOn w:val="TableNormal"/>
    <w:uiPriority w:val="59"/>
    <w:rsid w:val="0068117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PlainTable4">
    <w:name w:val="Plain Table 4"/>
    <w:basedOn w:val="TableNormal"/>
    <w:uiPriority w:val="44"/>
    <w:rsid w:val="0068117D"/>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PlaceholderText">
    <w:name w:val="Placeholder Text"/>
    <w:basedOn w:val="DefaultParagraphFont"/>
    <w:uiPriority w:val="99"/>
    <w:semiHidden/>
    <w:rsid w:val="0068117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1.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2.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1.vsdx"/><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A19066-DAE1-4ED3-BFCB-F8B1CE7AF0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323</TotalTime>
  <Pages>4</Pages>
  <Words>664</Words>
  <Characters>3785</Characters>
  <Application>Microsoft Office Word</Application>
  <DocSecurity>0</DocSecurity>
  <Lines>31</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4441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사용자</dc:creator>
  <cp:lastModifiedBy>Imed Bouazizi</cp:lastModifiedBy>
  <cp:revision>14</cp:revision>
  <dcterms:created xsi:type="dcterms:W3CDTF">2013-04-09T15:34:00Z</dcterms:created>
  <dcterms:modified xsi:type="dcterms:W3CDTF">2013-04-09T20:56:00Z</dcterms:modified>
</cp:coreProperties>
</file>