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18499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ascii="Arial" w:hAnsi="Arial" w:cs="Arial"/>
          <w:sz w:val="22"/>
          <w:lang w:val="de-DE" w:eastAsia="en-US"/>
        </w:rPr>
        <w:t xml:space="preserve">3GPP TSG SA WG4#131-bis-e                                                                      </w:t>
      </w:r>
      <w:r>
        <w:rPr>
          <w:rFonts w:ascii="Arial" w:hAnsi="Arial" w:cs="Arial"/>
          <w:sz w:val="22"/>
          <w:lang w:val="de-DE" w:eastAsia="en-US"/>
        </w:rPr>
        <w:tab/>
      </w:r>
      <w:r>
        <w:rPr>
          <w:rFonts w:ascii="Arial" w:hAnsi="Arial" w:eastAsia="等线" w:cs="Arial"/>
          <w:b/>
          <w:sz w:val="24"/>
          <w:lang w:val="en-US"/>
        </w:rPr>
        <w:t xml:space="preserve">TDoc </w:t>
      </w:r>
      <w:r>
        <w:rPr>
          <w:rFonts w:hint="eastAsia" w:ascii="Arial" w:hAnsi="Arial" w:eastAsia="等线" w:cs="Arial"/>
          <w:b/>
          <w:sz w:val="24"/>
          <w:lang w:val="en-US"/>
        </w:rPr>
        <w:t>S4-250</w:t>
      </w:r>
      <w:r>
        <w:rPr>
          <w:rFonts w:ascii="Arial" w:hAnsi="Arial" w:eastAsia="等线" w:cs="Arial"/>
          <w:b/>
          <w:sz w:val="24"/>
          <w:lang w:val="en-US"/>
        </w:rPr>
        <w:t>7</w:t>
      </w:r>
      <w:r>
        <w:rPr>
          <w:rFonts w:hint="eastAsia" w:ascii="Arial" w:hAnsi="Arial" w:eastAsia="等线" w:cs="Arial"/>
          <w:b/>
          <w:sz w:val="24"/>
          <w:lang w:val="en-US" w:eastAsia="zh-CN"/>
        </w:rPr>
        <w:t>51</w:t>
      </w:r>
    </w:p>
    <w:p w14:paraId="7A48C037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>
        <w:rPr>
          <w:rFonts w:ascii="Arial" w:hAnsi="Arial" w:cs="Arial"/>
          <w:sz w:val="22"/>
          <w:lang w:val="en-US" w:eastAsia="en-US"/>
        </w:rPr>
        <w:t>Online, 11 – 17 April 2025</w:t>
      </w:r>
      <w:r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ab/>
      </w:r>
    </w:p>
    <w:p w14:paraId="5402E7A1">
      <w:pPr>
        <w:pStyle w:val="16"/>
        <w:tabs>
          <w:tab w:val="left" w:pos="6840"/>
          <w:tab w:val="right" w:pos="10206"/>
          <w:tab w:val="clear" w:pos="4819"/>
          <w:tab w:val="clear" w:pos="9071"/>
        </w:tabs>
        <w:jc w:val="left"/>
        <w:rPr>
          <w:rFonts w:cs="Arial"/>
          <w:sz w:val="24"/>
          <w:szCs w:val="24"/>
          <w:lang w:val="en-US"/>
        </w:rPr>
      </w:pPr>
    </w:p>
    <w:p w14:paraId="4563EEFA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hAnsi="Arial" w:eastAsia="Batang"/>
          <w:b/>
          <w:sz w:val="24"/>
          <w:lang w:val="en-US"/>
        </w:rPr>
      </w:pPr>
      <w:bookmarkStart w:id="0" w:name="OLE_LINK1"/>
      <w:bookmarkStart w:id="1" w:name="OLE_LINK2"/>
      <w:r>
        <w:rPr>
          <w:rFonts w:ascii="Arial" w:hAnsi="Arial" w:eastAsia="Batang"/>
          <w:b/>
          <w:sz w:val="24"/>
          <w:lang w:val="en-US" w:eastAsia="en-US"/>
        </w:rPr>
        <w:t>Source:</w:t>
      </w:r>
      <w:r>
        <w:rPr>
          <w:rFonts w:ascii="Arial" w:hAnsi="Arial" w:eastAsia="Batang"/>
          <w:b/>
          <w:sz w:val="24"/>
          <w:lang w:val="en-US" w:eastAsia="en-US"/>
        </w:rPr>
        <w:tab/>
      </w:r>
      <w:r>
        <w:rPr>
          <w:rFonts w:ascii="Arial" w:hAnsi="Arial" w:eastAsia="等线" w:cs="Arial"/>
          <w:b/>
          <w:sz w:val="24"/>
          <w:lang w:val="en-US"/>
        </w:rPr>
        <w:t>China Mobile</w:t>
      </w:r>
      <w:bookmarkStart w:id="2" w:name="_GoBack"/>
      <w:bookmarkEnd w:id="2"/>
    </w:p>
    <w:p w14:paraId="25D3D20D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  <w:lang w:val="en-US" w:eastAsia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Title: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Timeplan for FS_ULBC Study Item</w:t>
      </w:r>
    </w:p>
    <w:p w14:paraId="4A2DFF69">
      <w:pPr>
        <w:tabs>
          <w:tab w:val="left" w:pos="2127"/>
        </w:tabs>
        <w:spacing w:after="120"/>
        <w:ind w:left="2127" w:hanging="2127"/>
        <w:rPr>
          <w:rFonts w:hint="eastAsia" w:ascii="Arial" w:hAnsi="Arial" w:eastAsia="宋体"/>
          <w:b/>
          <w:bCs/>
          <w:sz w:val="24"/>
          <w:lang w:val="en-US" w:eastAsia="zh-CN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Version: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0.</w:t>
      </w:r>
      <w:r>
        <w:rPr>
          <w:rFonts w:hint="eastAsia" w:ascii="Arial" w:hAnsi="Arial"/>
          <w:b/>
          <w:bCs/>
          <w:sz w:val="24"/>
          <w:lang w:val="en-US" w:eastAsia="zh-CN"/>
        </w:rPr>
        <w:t>1</w:t>
      </w:r>
    </w:p>
    <w:p w14:paraId="61AC2BF2">
      <w:pPr>
        <w:tabs>
          <w:tab w:val="left" w:pos="2248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eastAsia="en-US"/>
        </w:rPr>
        <w:t>Agenda Item:</w:t>
      </w:r>
      <w:r>
        <w:rPr>
          <w:rFonts w:ascii="Arial" w:hAnsi="Arial" w:eastAsia="Batang"/>
          <w:b/>
          <w:bCs/>
          <w:sz w:val="24"/>
          <w:lang w:eastAsia="en-US"/>
        </w:rPr>
        <w:tab/>
      </w:r>
      <w:r>
        <w:rPr>
          <w:rFonts w:hint="eastAsia" w:ascii="Arial" w:hAnsi="Arial"/>
          <w:b/>
          <w:bCs/>
          <w:sz w:val="24"/>
          <w:lang w:val="en-US"/>
        </w:rPr>
        <w:t>7.9</w:t>
      </w:r>
    </w:p>
    <w:p w14:paraId="251EC3B9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</w:rPr>
      </w:pPr>
      <w:r>
        <w:rPr>
          <w:rFonts w:ascii="Arial" w:hAnsi="Arial" w:eastAsia="Batang"/>
          <w:b/>
          <w:bCs/>
          <w:sz w:val="24"/>
        </w:rPr>
        <w:t>Document for:</w:t>
      </w:r>
      <w:r>
        <w:rPr>
          <w:rFonts w:ascii="Arial" w:hAnsi="Arial" w:eastAsia="Batang"/>
          <w:b/>
          <w:bCs/>
          <w:sz w:val="24"/>
        </w:rPr>
        <w:tab/>
      </w:r>
      <w:r>
        <w:rPr>
          <w:rFonts w:ascii="Arial" w:hAnsi="Arial" w:eastAsia="Batang"/>
          <w:b/>
          <w:bCs/>
          <w:sz w:val="24"/>
        </w:rPr>
        <w:t>Discussion and Agreement</w:t>
      </w:r>
    </w:p>
    <w:bookmarkEnd w:id="0"/>
    <w:bookmarkEnd w:id="1"/>
    <w:p w14:paraId="28475DC2">
      <w:pPr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</w:rPr>
      </w:pPr>
    </w:p>
    <w:p w14:paraId="76C2CE6A">
      <w:pPr>
        <w:pStyle w:val="16"/>
        <w:tabs>
          <w:tab w:val="right" w:pos="10206"/>
          <w:tab w:val="clear" w:pos="4819"/>
          <w:tab w:val="clear" w:pos="9071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5ADC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E9838CA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outlines a timeplan for the proposed new Feasibility Study on </w:t>
      </w:r>
      <w:r>
        <w:rPr>
          <w:rFonts w:hint="eastAsia" w:ascii="Arial" w:hAnsi="Arial" w:cs="Arial"/>
          <w:sz w:val="22"/>
          <w:szCs w:val="22"/>
        </w:rPr>
        <w:t>Ultra Low Bitrate Speech Codec</w:t>
      </w:r>
      <w:r>
        <w:rPr>
          <w:rFonts w:ascii="Arial" w:hAnsi="Arial" w:cs="Arial"/>
          <w:sz w:val="22"/>
          <w:szCs w:val="22"/>
        </w:rPr>
        <w:t>. The proposed Feasibility Study has the following objectives:</w:t>
      </w:r>
    </w:p>
    <w:p w14:paraId="7298200D">
      <w:pPr>
        <w:spacing w:after="120"/>
        <w:rPr>
          <w:rFonts w:ascii="Arial" w:hAnsi="Arial" w:cs="Arial"/>
          <w:sz w:val="22"/>
          <w:szCs w:val="22"/>
        </w:rPr>
      </w:pPr>
    </w:p>
    <w:p w14:paraId="63AE9095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AED9D7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GEO channel characteristics and derive service-related dependencies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>e.g. bitrates, mouth-to-ear delay or loss/delay/jitter profiles.</w:t>
      </w:r>
    </w:p>
    <w:p w14:paraId="48BDAE73">
      <w:pPr>
        <w:pStyle w:val="5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NOTE: </w:t>
      </w:r>
      <w:r>
        <w:rPr>
          <w:rFonts w:ascii="Arial" w:hAnsi="Arial" w:eastAsia="宋体" w:cs="Arial"/>
          <w:sz w:val="22"/>
          <w:szCs w:val="22"/>
          <w:lang w:val="en-US" w:eastAsia="zh-CN"/>
        </w:rPr>
        <w:tab/>
      </w:r>
      <w:r>
        <w:rPr>
          <w:rFonts w:ascii="Arial" w:hAnsi="Arial" w:eastAsia="宋体" w:cs="Arial"/>
          <w:sz w:val="22"/>
          <w:szCs w:val="22"/>
          <w:lang w:val="en-US" w:eastAsia="zh-CN"/>
        </w:rPr>
        <w:t>Any impact of ultra-low bitrate voice codec in NB-IoT services is outside of the scope of the study and is expected to be addressed by other working groups.</w:t>
      </w:r>
    </w:p>
    <w:p w14:paraId="2FDA4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the relevant design constraints for such a codec, in coordination with other WGs, including</w:t>
      </w:r>
    </w:p>
    <w:p w14:paraId="63D6069B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Bit rates</w:t>
      </w:r>
    </w:p>
    <w:p w14:paraId="24C8452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Sample rate and audio bandwidth</w:t>
      </w:r>
    </w:p>
    <w:p w14:paraId="3211784E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Frame length</w:t>
      </w:r>
    </w:p>
    <w:p w14:paraId="6341165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Complexity and memory demands</w:t>
      </w:r>
    </w:p>
    <w:p w14:paraId="5302BE74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Algorithmic delay</w:t>
      </w:r>
    </w:p>
    <w:p w14:paraId="2B51407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-</w:t>
      </w:r>
      <w:r>
        <w:rPr>
          <w:rFonts w:ascii="Arial" w:hAnsi="Arial" w:eastAsia="宋体" w:cs="Arial"/>
          <w:sz w:val="22"/>
          <w:szCs w:val="22"/>
        </w:rPr>
        <w:tab/>
      </w:r>
      <w:r>
        <w:rPr>
          <w:rFonts w:ascii="Arial" w:hAnsi="Arial" w:eastAsia="宋体" w:cs="Arial"/>
          <w:sz w:val="22"/>
          <w:szCs w:val="22"/>
        </w:rPr>
        <w:t>Packet loss concealment (PLC)</w:t>
      </w:r>
    </w:p>
    <w:p w14:paraId="67238E71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Potential use of noise suppression as part of the codec</w:t>
      </w:r>
    </w:p>
    <w:p w14:paraId="5A1C6422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Discontinuous transmission including voice activity detection and comfort noise</w:t>
      </w:r>
    </w:p>
    <w:p w14:paraId="0E3A5973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Speech quality</w:t>
      </w:r>
    </w:p>
    <w:p w14:paraId="6F86563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Robustness to non-speech input</w:t>
      </w:r>
    </w:p>
    <w:p w14:paraId="0FA7244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Provide some evidence that the design criteria can be met, for example existing reference codecs. </w:t>
      </w:r>
    </w:p>
    <w:p w14:paraId="1A266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Define performance requirements and identify appropriate test methodologies,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regarding </w:t>
      </w:r>
      <w:r>
        <w:rPr>
          <w:rFonts w:ascii="Arial" w:hAnsi="Arial" w:eastAsia="等线" w:cs="Arial"/>
          <w:sz w:val="22"/>
          <w:szCs w:val="22"/>
          <w:lang w:val="en-US" w:eastAsia="zh-CN" w:bidi="ar"/>
        </w:rPr>
        <w:t>s</w:t>
      </w:r>
      <w:r>
        <w:rPr>
          <w:rFonts w:ascii="Arial" w:hAnsi="Arial" w:eastAsia="等线" w:cs="Arial"/>
          <w:sz w:val="22"/>
          <w:szCs w:val="22"/>
          <w:lang w:bidi="ar"/>
        </w:rPr>
        <w:t>peech quality, intelligibility, conversational quality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in particular taking into account </w:t>
      </w:r>
    </w:p>
    <w:p w14:paraId="4E3D8988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eastAsia="等线" w:cs="Arial"/>
          <w:sz w:val="22"/>
          <w:szCs w:val="22"/>
        </w:rPr>
        <w:t>)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speech and noisy speech</w:t>
      </w:r>
    </w:p>
    <w:p w14:paraId="29D21753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Tandeming with existing IMS voice codecs</w:t>
      </w:r>
    </w:p>
    <w:p w14:paraId="7BD59AB9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channel and GEO channel conditions</w:t>
      </w:r>
    </w:p>
    <w:p w14:paraId="4C9DA7AA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or develop objective measures to verify the design constraints as necessary (e.g., to measure complexity and memory demands)</w:t>
      </w:r>
    </w:p>
    <w:p w14:paraId="5735F35B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relevant reference codecs for comparison and evaluation purposes.</w:t>
      </w:r>
    </w:p>
    <w:p w14:paraId="4BC5D8A7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Coordinate work with other 3GPP groups e.g. SA2, RAN, CT1, and others as needed.</w:t>
      </w:r>
    </w:p>
    <w:p w14:paraId="00155C68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Define potential normative work item objectives and timeline.</w:t>
      </w:r>
    </w:p>
    <w:p w14:paraId="37A00587">
      <w:pPr>
        <w:keepNext/>
      </w:pPr>
    </w:p>
    <w:p w14:paraId="23E0BDBC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Timeplan</w:t>
      </w:r>
    </w:p>
    <w:p w14:paraId="7FDB8CA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timeplan for the execution of the FS_ULBC study item objectives is in the following table:</w:t>
      </w:r>
    </w:p>
    <w:p w14:paraId="70146565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48"/>
        <w:tblW w:w="10053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355"/>
      </w:tblGrid>
      <w:tr w14:paraId="7FF921A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698" w:type="dxa"/>
          </w:tcPr>
          <w:p w14:paraId="720EB74B">
            <w:pPr>
              <w:spacing w:before="120"/>
              <w:rPr>
                <w:rFonts w:asciiTheme="minorBidi" w:hAnsiTheme="minorBidi" w:cstheme="minorBidi"/>
                <w:b w:val="0"/>
                <w:bCs/>
                <w:color w:val="000000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 w:val="0"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399ABAB2">
            <w:pPr>
              <w:spacing w:before="12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14:paraId="7C5BB7E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632C05D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b w:val="0"/>
                <w:bCs/>
                <w:sz w:val="20"/>
                <w:lang w:val="en-US" w:eastAsia="zh-CN"/>
              </w:rPr>
              <w:t>S</w:t>
            </w:r>
            <w:r>
              <w:rPr>
                <w:b w:val="0"/>
                <w:bCs/>
                <w:sz w:val="20"/>
                <w:lang w:val="en-US" w:eastAsia="zh-CN"/>
              </w:rPr>
              <w:t>A#107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Incheon, KR</w:t>
            </w:r>
          </w:p>
          <w:p w14:paraId="2AE80B1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/>
              </w:rPr>
              <w:t>(12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14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March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2FDC42D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study item FS_ULBC by TSG SA (SA#107)</w:t>
            </w:r>
          </w:p>
        </w:tc>
      </w:tr>
      <w:tr w14:paraId="3482371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7139F7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SA4#131-bis-e</w:t>
            </w:r>
          </w:p>
          <w:p w14:paraId="0C6BEE9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(11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17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April 2025)</w:t>
            </w:r>
          </w:p>
        </w:tc>
        <w:tc>
          <w:tcPr>
            <w:tcW w:w="7355" w:type="dxa"/>
          </w:tcPr>
          <w:p w14:paraId="433D164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documenting the application scenarios for ultra-low bit rate communication services taking into account the use cases and potential requirements documented in TR 22.887 related to IMS Voice Call Using GEO Access. </w:t>
            </w:r>
          </w:p>
          <w:p w14:paraId="198B72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studying GEO channel characteristics and derive service-related dependencies, e.g. bitrates, mouth-to-ear delay or loss/delay/jitter profiles.</w:t>
            </w:r>
          </w:p>
          <w:p w14:paraId="5594C0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identifying relevant reference codecs for comparison and evaluation purposes</w:t>
            </w:r>
          </w:p>
          <w:p w14:paraId="23ACBAA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coordinating work with other 3GPP groups e.g. SA2, RAN, CT1, and others as needed.</w:t>
            </w:r>
          </w:p>
        </w:tc>
      </w:tr>
      <w:tr w14:paraId="04E7ACE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2AE59AC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Audio SWG telco, May 5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>, 15:00 – 16:00 CEST, submission deadline May 2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sz w:val="20"/>
                <w:lang w:eastAsia="zh-CN"/>
              </w:rPr>
              <w:t>, 15:00 CEST, host: Ericsson</w:t>
            </w:r>
          </w:p>
        </w:tc>
        <w:tc>
          <w:tcPr>
            <w:tcW w:w="7355" w:type="dxa"/>
          </w:tcPr>
          <w:p w14:paraId="00412EB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Application Scenarios</w:t>
            </w:r>
          </w:p>
          <w:p w14:paraId="45706BE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Technical Contributions</w:t>
            </w:r>
          </w:p>
        </w:tc>
      </w:tr>
      <w:tr w14:paraId="395A126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40C35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SA2#169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Fukuoka, JP</w:t>
            </w:r>
          </w:p>
          <w:p w14:paraId="1CB09E4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CT1#155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Bratislava, SK</w:t>
            </w:r>
          </w:p>
          <w:p w14:paraId="2CC1E38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 w:val="0"/>
                <w:sz w:val="20"/>
                <w:lang w:eastAsia="zh-CN"/>
              </w:rPr>
              <w:t>RAN1#121</w:t>
            </w:r>
            <w:r>
              <w:rPr>
                <w:b w:val="0"/>
                <w:bCs w:val="0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RAN2#130</w:t>
            </w:r>
            <w:r>
              <w:rPr>
                <w:b w:val="0"/>
                <w:bCs w:val="0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RAN3#128</w:t>
            </w:r>
            <w:r>
              <w:rPr>
                <w:b w:val="0"/>
                <w:bCs w:val="0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RAN4#115</w:t>
            </w:r>
            <w:r>
              <w:rPr>
                <w:b w:val="0"/>
                <w:bCs w:val="0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RAN5#107</w:t>
            </w:r>
            <w:r>
              <w:rPr>
                <w:b w:val="0"/>
                <w:bCs w:val="0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Malta, MT</w:t>
            </w:r>
          </w:p>
          <w:p w14:paraId="5715DD6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(19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</w:tcPr>
          <w:p w14:paraId="0AD1B2AE">
            <w:pPr>
              <w:pStyle w:val="44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For information:</w:t>
            </w:r>
          </w:p>
          <w:p w14:paraId="7CDCB008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Opportunity for feedback to SA4</w:t>
            </w:r>
            <w:r>
              <w:rPr>
                <w:rFonts w:asciiTheme="minorBidi" w:hAnsiTheme="minorBidi" w:cstheme="minorBidi"/>
                <w:sz w:val="22"/>
                <w:szCs w:val="22"/>
              </w:rPr>
              <w:br w:type="textWrapping"/>
            </w:r>
            <w:r>
              <w:rPr>
                <w:rFonts w:asciiTheme="minorBidi" w:hAnsiTheme="minorBidi" w:cstheme="minorBidi"/>
                <w:sz w:val="22"/>
                <w:szCs w:val="22"/>
              </w:rPr>
              <w:t>(Same time as SA4#132)</w:t>
            </w:r>
          </w:p>
        </w:tc>
      </w:tr>
      <w:tr w14:paraId="5FFAE93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502C07D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SA4#132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Fukuoka, JP</w:t>
            </w:r>
          </w:p>
          <w:p w14:paraId="4BB64A23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(19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01DB93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documentation of the application scenarios for ultra-low bit rate communication services addressing the use cases and potential requirements documented in TR 22.887 related to IMS Voice Call Using GEO Access. </w:t>
            </w:r>
          </w:p>
          <w:p w14:paraId="1F57CB6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5E55891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relevant reference codecs for comparison and evaluation purposes</w:t>
            </w:r>
          </w:p>
          <w:p w14:paraId="2DECBEE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szCs w:val="22"/>
              </w:rPr>
              <w:t>Progress coordinating work with other 3GPP groups e.g. SA2, RAN, CT1, and others as needed.</w:t>
            </w:r>
            <w:r>
              <w:rPr>
                <w:rFonts w:asciiTheme="minorBidi" w:hAnsiTheme="minorBidi" w:cstheme="minorBidi"/>
                <w:b w:val="0"/>
                <w:szCs w:val="22"/>
              </w:rPr>
              <w:br w:type="textWrapping"/>
            </w:r>
          </w:p>
          <w:p w14:paraId="63014267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identifying or developing objective measures to verify the design constraints as necessary (e.g., to measure complexity and memory demands)</w:t>
            </w:r>
          </w:p>
          <w:p w14:paraId="6E63CA7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Identifying the relevant design constraints for such a codec, in coordination with other WGs, including</w:t>
            </w:r>
          </w:p>
          <w:p w14:paraId="055AA2A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Bit rates</w:t>
            </w:r>
          </w:p>
          <w:p w14:paraId="011DAFEB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Sample rate and audio bandwidth</w:t>
            </w:r>
          </w:p>
          <w:p w14:paraId="6AF26B0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Frame length</w:t>
            </w:r>
          </w:p>
          <w:p w14:paraId="71013FF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57FFCA4F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0B0121F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sz w:val="22"/>
                <w:szCs w:val="22"/>
              </w:rPr>
              <w:t>Packet loss concealment (PLC)</w:t>
            </w:r>
          </w:p>
          <w:p w14:paraId="2F514889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07FB32B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Discontinuous transmission including voice activity detection and comfort noise</w:t>
            </w:r>
          </w:p>
          <w:p w14:paraId="4AD4F21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5E17774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03F466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providing some evidence that the design criteria can be met, for example existing reference codecs. </w:t>
            </w:r>
          </w:p>
          <w:p w14:paraId="3D0D4D7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defining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426297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B5C6EE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7E9E351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channel and GEO channel conditions</w:t>
            </w:r>
          </w:p>
          <w:p w14:paraId="2B470E4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</w:tc>
      </w:tr>
      <w:tr w14:paraId="57A5800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4AED364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SA4#133-e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(21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25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July 2025)</w:t>
            </w:r>
          </w:p>
        </w:tc>
        <w:tc>
          <w:tcPr>
            <w:tcW w:w="7355" w:type="dxa"/>
          </w:tcPr>
          <w:p w14:paraId="1784898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US"/>
              </w:rPr>
              <w:t xml:space="preserve">Progress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38C9F8D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szCs w:val="22"/>
              </w:rPr>
              <w:t>Progress coordination work with other 3GPP groups e.g. SA2, RAN, CT1, and others as needed.</w:t>
            </w:r>
          </w:p>
          <w:p w14:paraId="2075E83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relevant reference codecs for comparison and evaluation purposes</w:t>
            </w:r>
          </w:p>
          <w:p w14:paraId="48793B1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2C6818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30808AB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Bit rates</w:t>
            </w:r>
          </w:p>
          <w:p w14:paraId="4E5577E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Sample rate and audio bandwidth</w:t>
            </w:r>
          </w:p>
          <w:p w14:paraId="3FE4A278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Frame length</w:t>
            </w:r>
          </w:p>
          <w:p w14:paraId="4139A41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5B59FA8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5ECC88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sz w:val="22"/>
                <w:szCs w:val="22"/>
              </w:rPr>
              <w:t>Packet loss concealment (PLC)</w:t>
            </w:r>
          </w:p>
          <w:p w14:paraId="5B36BFC8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3A83289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Discontinuous transmission including voice activity detection and comfort noise</w:t>
            </w:r>
          </w:p>
          <w:p w14:paraId="54B96BE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7DFE3A7B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686D02C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providing some evidence that the design criteria can be met, for example existing reference codecs. </w:t>
            </w:r>
          </w:p>
          <w:p w14:paraId="390FD32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2F2335C3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74D24A1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3851328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1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157C2BB5">
            <w:pPr>
              <w:pStyle w:val="44"/>
              <w:numPr>
                <w:ilvl w:val="0"/>
                <w:numId w:val="2"/>
              </w:numPr>
              <w:rPr>
                <w:bCs/>
                <w:lang w:val="en-US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documentation of the application scenarios for ultra-low bit rate communication services addressing potentially additional use cases. </w:t>
            </w:r>
          </w:p>
        </w:tc>
      </w:tr>
      <w:tr w14:paraId="75F8D74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7C849A1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SA2#170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CT1#156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Goteborg, SE</w:t>
            </w:r>
          </w:p>
          <w:p w14:paraId="6EEC1942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highlight w:val="yellow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RAN1#122</w:t>
            </w:r>
            <w:r>
              <w:rPr>
                <w:b w:val="0"/>
                <w:bCs w:val="0"/>
                <w:sz w:val="20"/>
                <w:highlight w:val="yellow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RAN2#131</w:t>
            </w:r>
            <w:r>
              <w:rPr>
                <w:b w:val="0"/>
                <w:bCs w:val="0"/>
                <w:sz w:val="20"/>
                <w:highlight w:val="yellow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RAN3#129</w:t>
            </w:r>
            <w:r>
              <w:rPr>
                <w:b w:val="0"/>
                <w:bCs w:val="0"/>
                <w:sz w:val="20"/>
                <w:highlight w:val="yellow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RAN4#116</w:t>
            </w:r>
            <w:r>
              <w:rPr>
                <w:b w:val="0"/>
                <w:bCs w:val="0"/>
                <w:sz w:val="20"/>
                <w:highlight w:val="yellow"/>
                <w:lang w:eastAsia="zh-CN"/>
              </w:rPr>
              <w:br w:type="textWrapping"/>
            </w:r>
            <w:r>
              <w:rPr>
                <w:b w:val="0"/>
                <w:bCs w:val="0"/>
                <w:sz w:val="20"/>
                <w:lang w:eastAsia="zh-CN"/>
              </w:rPr>
              <w:t>RAN5#108</w:t>
            </w:r>
            <w:r>
              <w:rPr>
                <w:b w:val="0"/>
                <w:bCs w:val="0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Bengaluru, IN</w:t>
            </w:r>
          </w:p>
          <w:p w14:paraId="2A75439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(25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– 29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August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EB5DB58">
            <w:pPr>
              <w:pStyle w:val="44"/>
              <w:ind w:left="0" w:firstLine="0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For information:</w:t>
            </w:r>
          </w:p>
          <w:p w14:paraId="6FADB4A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szCs w:val="22"/>
              </w:rPr>
              <w:t>Opportunity for feedback to SA4</w:t>
            </w:r>
          </w:p>
        </w:tc>
      </w:tr>
      <w:tr w14:paraId="11B270F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E5A806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20FC7F75">
            <w:pPr>
              <w:pStyle w:val="36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14:paraId="1878433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42A1A2E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TSG SA#109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China, CN</w:t>
            </w:r>
          </w:p>
          <w:p w14:paraId="21E089B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(16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– 19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September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3E10757E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n/a</w:t>
            </w:r>
          </w:p>
        </w:tc>
      </w:tr>
      <w:tr w14:paraId="2EE03F8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602B47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highlight w:val="yellow"/>
                <w:lang w:eastAsia="zh-CN"/>
              </w:rPr>
            </w:pPr>
            <w:r>
              <w:rPr>
                <w:b w:val="0"/>
                <w:bCs/>
                <w:sz w:val="20"/>
                <w:highlight w:val="yellow"/>
                <w:lang w:eastAsia="zh-CN"/>
              </w:rPr>
              <w:t>[tbd]</w:t>
            </w:r>
          </w:p>
        </w:tc>
        <w:tc>
          <w:tcPr>
            <w:tcW w:w="7355" w:type="dxa"/>
          </w:tcPr>
          <w:p w14:paraId="31466524">
            <w:pPr>
              <w:pStyle w:val="44"/>
              <w:ind w:left="0" w:firstLine="0"/>
              <w:rPr>
                <w:rFonts w:asciiTheme="minorBidi" w:hAnsiTheme="minorBidi" w:cstheme="minorBidi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sz w:val="22"/>
                <w:szCs w:val="22"/>
                <w:highlight w:val="yellow"/>
              </w:rPr>
              <w:t>[tbd: Ad-Hoc Meeting]</w:t>
            </w:r>
            <w:r>
              <w:rPr>
                <w:rFonts w:asciiTheme="minorBidi" w:hAnsiTheme="minorBidi" w:cstheme="minorBidi"/>
                <w:sz w:val="22"/>
                <w:szCs w:val="22"/>
                <w:highlight w:val="yellow"/>
              </w:rPr>
              <w:br w:type="textWrapping"/>
            </w:r>
          </w:p>
          <w:p w14:paraId="20D1E238">
            <w:pPr>
              <w:pStyle w:val="44"/>
              <w:ind w:left="0" w:firstLine="0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sz w:val="22"/>
                <w:szCs w:val="22"/>
                <w:highlight w:val="yellow"/>
              </w:rPr>
              <w:t>Note: Additional Ad-Hoc meeting considered useful</w:t>
            </w:r>
          </w:p>
        </w:tc>
      </w:tr>
      <w:tr w14:paraId="1721341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A9008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SA4#134</w:t>
            </w:r>
            <w:r>
              <w:rPr>
                <w:b w:val="0"/>
                <w:bCs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sz w:val="20"/>
                <w:lang w:eastAsia="zh-CN"/>
              </w:rPr>
              <w:t>Dallas, US</w:t>
            </w:r>
          </w:p>
          <w:p w14:paraId="032CFB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  <w:r>
              <w:rPr>
                <w:b w:val="0"/>
                <w:bCs/>
                <w:sz w:val="20"/>
                <w:lang w:eastAsia="zh-CN"/>
              </w:rPr>
              <w:t>(17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sz w:val="20"/>
                <w:lang w:eastAsia="zh-CN"/>
              </w:rPr>
              <w:t xml:space="preserve"> – 21</w:t>
            </w:r>
            <w:r>
              <w:rPr>
                <w:b w:val="0"/>
                <w:bCs/>
                <w:sz w:val="20"/>
                <w:vertAlign w:val="superscript"/>
                <w:lang w:eastAsia="zh-CN"/>
              </w:rPr>
              <w:t>st</w:t>
            </w:r>
            <w:r>
              <w:rPr>
                <w:b w:val="0"/>
                <w:bCs/>
                <w:sz w:val="20"/>
                <w:lang w:eastAsia="zh-CN"/>
              </w:rPr>
              <w:t xml:space="preserve"> November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6654825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7D55F99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Cs/>
                <w:szCs w:val="22"/>
              </w:rPr>
              <w:t>Finalize</w:t>
            </w:r>
            <w:r>
              <w:rPr>
                <w:rFonts w:asciiTheme="minorBidi" w:hAnsiTheme="minorBidi" w:cstheme="minorBidi"/>
                <w:b w:val="0"/>
                <w:szCs w:val="22"/>
              </w:rPr>
              <w:t xml:space="preserve"> coordination work with other 3GPP groups e.g. SA2, RAN, CT1, and others as needed.</w:t>
            </w:r>
          </w:p>
          <w:p w14:paraId="3629259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relevant reference codecs for comparison and evaluation purposes</w:t>
            </w:r>
          </w:p>
          <w:p w14:paraId="3C708F2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the relevant design constraints for such a codec, in coordination with other WGs, including</w:t>
            </w:r>
          </w:p>
          <w:p w14:paraId="4531964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Bit rates</w:t>
            </w:r>
          </w:p>
          <w:p w14:paraId="1A5EEEF9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Sample rate and audio bandwidth</w:t>
            </w:r>
          </w:p>
          <w:p w14:paraId="66AFB6C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Frame length</w:t>
            </w:r>
          </w:p>
          <w:p w14:paraId="4736CBD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sz w:val="22"/>
                <w:szCs w:val="22"/>
              </w:rPr>
              <w:t>Packet loss concealment (PLC)</w:t>
            </w:r>
          </w:p>
          <w:p w14:paraId="5E6849F3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090B879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Discontinuous transmission including voice activity detection and comfort noise</w:t>
            </w:r>
          </w:p>
          <w:p w14:paraId="0B0BE7B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  <w:p w14:paraId="1A5C6B5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evidence that the design criteria can be met, for example existing reference codecs</w:t>
            </w:r>
          </w:p>
          <w:p w14:paraId="1ACC4F2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675A42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0DD1B9F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57A70761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3DD2F10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6CB907C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6BDC604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</w:t>
            </w:r>
            <w:r>
              <w:rPr>
                <w:rFonts w:ascii="Arial" w:hAnsi="Arial" w:cs="Arial"/>
                <w:sz w:val="22"/>
                <w:szCs w:val="22"/>
              </w:rPr>
              <w:t xml:space="preserve"> 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0067B9E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2653887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230CCAA1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6FB1E81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</w:rPr>
              <w:t>Start defining potential normative work item objectives and timeline</w:t>
            </w:r>
          </w:p>
        </w:tc>
      </w:tr>
      <w:tr w14:paraId="716BD91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6A89FB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TSG SA#110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Baltimore, US</w:t>
            </w:r>
          </w:p>
          <w:p w14:paraId="3B5B4C8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December 2025)</w:t>
            </w:r>
          </w:p>
        </w:tc>
        <w:tc>
          <w:tcPr>
            <w:tcW w:w="7355" w:type="dxa"/>
          </w:tcPr>
          <w:p w14:paraId="3892C3B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n/a</w:t>
            </w:r>
          </w:p>
        </w:tc>
      </w:tr>
      <w:tr w14:paraId="2327704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6F2D1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SA4#135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India, IN</w:t>
            </w:r>
          </w:p>
          <w:p w14:paraId="2D79789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February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0F243DB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or development objective measures to verify the design constraints as necessary (e.g., to measure complexity and memory demands)</w:t>
            </w:r>
          </w:p>
          <w:p w14:paraId="29B9511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4568358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72D11D3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73DF77CC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07877D52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123CE3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evidence that the design criteria can be met, for example existing reference codecs. </w:t>
            </w:r>
          </w:p>
          <w:p w14:paraId="5B5B755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5EB07B44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3375CD8D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22E76C03">
            <w:pPr>
              <w:pStyle w:val="44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channel and GEO channel conditions</w:t>
            </w:r>
          </w:p>
        </w:tc>
      </w:tr>
      <w:tr w14:paraId="4AE9CC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EA998D6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SA#111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Japan, JP</w:t>
            </w:r>
          </w:p>
          <w:p w14:paraId="1F7C7A9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(10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March 2026)</w:t>
            </w:r>
          </w:p>
        </w:tc>
        <w:tc>
          <w:tcPr>
            <w:tcW w:w="7355" w:type="dxa"/>
          </w:tcPr>
          <w:p w14:paraId="0577404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information</w:t>
            </w:r>
          </w:p>
        </w:tc>
      </w:tr>
      <w:tr w14:paraId="17F5429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342FF748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SA4#136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 w:val="0"/>
                <w:sz w:val="20"/>
                <w:lang w:val="en-US"/>
              </w:rPr>
              <w:t>location tbd</w:t>
            </w:r>
          </w:p>
          <w:p w14:paraId="17E86B89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17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EA04DF9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46DC2A9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0759BFB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C8CB21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4EC9FBD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evidence that the design criteria can be met, for example existing reference codecs. </w:t>
            </w:r>
          </w:p>
          <w:p w14:paraId="7EDF614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5DED97A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1B9BAFC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3EB24E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97BCC4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4A7224A9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</w:tc>
      </w:tr>
      <w:tr w14:paraId="4E754A2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B550D5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SA4#137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location tbd</w:t>
            </w:r>
          </w:p>
          <w:p w14:paraId="33A85B20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(11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15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19A91FF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034F70D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30B0FD3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definition of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10EFD50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BCBDBB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62FD3CB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5CBCB4E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  <w:szCs w:val="22"/>
              </w:rPr>
              <w:t>Finalize Define potential normative work item objectives and timeline</w:t>
            </w:r>
          </w:p>
        </w:tc>
      </w:tr>
      <w:tr w14:paraId="5FBF99F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tcBorders>
              <w:top w:val="double" w:color="BEBEBE" w:themeColor="background1" w:themeShade="BF" w:sz="4" w:space="0"/>
            </w:tcBorders>
          </w:tcPr>
          <w:p w14:paraId="2E924F55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SA#112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Singapore, SA</w:t>
            </w:r>
          </w:p>
          <w:p w14:paraId="43145FDC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color="BEBEBE" w:themeColor="background1" w:themeShade="BF" w:sz="4" w:space="0"/>
            </w:tcBorders>
          </w:tcPr>
          <w:p w14:paraId="7FAE60A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approval</w:t>
            </w:r>
          </w:p>
        </w:tc>
      </w:tr>
    </w:tbl>
    <w:p w14:paraId="128917A1">
      <w:pPr>
        <w:rPr>
          <w:rFonts w:ascii="Arial" w:hAnsi="Arial" w:cs="Arial"/>
          <w:sz w:val="22"/>
          <w:szCs w:val="22"/>
        </w:rPr>
      </w:pPr>
    </w:p>
    <w:p w14:paraId="7C83B85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References</w:t>
      </w:r>
    </w:p>
    <w:p w14:paraId="3C8CD996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[1] </w:t>
      </w:r>
      <w:r>
        <w:rPr>
          <w:rFonts w:asciiTheme="minorBidi" w:hAnsiTheme="minorBidi" w:cstheme="minorBidi"/>
          <w:sz w:val="24"/>
          <w:lang w:val="en-US"/>
        </w:rPr>
        <w:t xml:space="preserve">SP-250378 - </w:t>
      </w:r>
      <w:r>
        <w:rPr>
          <w:rFonts w:eastAsia="Batang" w:asciiTheme="minorBidi" w:hAnsiTheme="minorBidi" w:cstheme="minorBidi"/>
          <w:sz w:val="24"/>
          <w:szCs w:val="24"/>
        </w:rPr>
        <w:t>Study on Ultra Low Bitrate Speech Codec</w:t>
      </w:r>
    </w:p>
    <w:sectPr>
      <w:endnotePr>
        <w:numFmt w:val="decimal"/>
      </w:endnotePr>
      <w:pgSz w:w="11907" w:h="16840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rinda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B37BC"/>
    <w:multiLevelType w:val="multilevel"/>
    <w:tmpl w:val="2DAB37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8"/>
      <w:numFmt w:val="bullet"/>
      <w:lvlText w:val="-"/>
      <w:lvlJc w:val="left"/>
      <w:pPr>
        <w:ind w:left="2880" w:hanging="360"/>
      </w:pPr>
      <w:rPr>
        <w:rFonts w:hint="default" w:ascii="Arial" w:hAnsi="Arial" w:eastAsia="等线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documentProtection w:enforcement="0"/>
  <w:defaultTabStop w:val="720"/>
  <w:hyphenationZone w:val="425"/>
  <w:doNotHyphenateCaps/>
  <w:drawingGridHorizontalSpacing w:val="120"/>
  <w:drawingGridVerticalSpacing w:val="104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14"/>
    <w:rsid w:val="0000528B"/>
    <w:rsid w:val="0000755F"/>
    <w:rsid w:val="000115AB"/>
    <w:rsid w:val="00012274"/>
    <w:rsid w:val="00015A7D"/>
    <w:rsid w:val="0002131E"/>
    <w:rsid w:val="00032403"/>
    <w:rsid w:val="000343B4"/>
    <w:rsid w:val="0004092B"/>
    <w:rsid w:val="00043FC0"/>
    <w:rsid w:val="0004562A"/>
    <w:rsid w:val="00051A30"/>
    <w:rsid w:val="00054021"/>
    <w:rsid w:val="000612FD"/>
    <w:rsid w:val="00065BC2"/>
    <w:rsid w:val="000665BE"/>
    <w:rsid w:val="00076430"/>
    <w:rsid w:val="00077E91"/>
    <w:rsid w:val="00080799"/>
    <w:rsid w:val="00080C71"/>
    <w:rsid w:val="000818C0"/>
    <w:rsid w:val="00083856"/>
    <w:rsid w:val="00084E5C"/>
    <w:rsid w:val="00086E7D"/>
    <w:rsid w:val="00086F84"/>
    <w:rsid w:val="00093AAE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3997"/>
    <w:rsid w:val="000F5B1F"/>
    <w:rsid w:val="000F68E5"/>
    <w:rsid w:val="0010135D"/>
    <w:rsid w:val="00104863"/>
    <w:rsid w:val="00113696"/>
    <w:rsid w:val="00113D03"/>
    <w:rsid w:val="00114191"/>
    <w:rsid w:val="00114194"/>
    <w:rsid w:val="00121B07"/>
    <w:rsid w:val="00123CC8"/>
    <w:rsid w:val="0012688F"/>
    <w:rsid w:val="00130481"/>
    <w:rsid w:val="001307AA"/>
    <w:rsid w:val="001311DB"/>
    <w:rsid w:val="00135311"/>
    <w:rsid w:val="00137FCA"/>
    <w:rsid w:val="001524B8"/>
    <w:rsid w:val="001540C1"/>
    <w:rsid w:val="001550F2"/>
    <w:rsid w:val="00164580"/>
    <w:rsid w:val="001726FA"/>
    <w:rsid w:val="00174604"/>
    <w:rsid w:val="00180F2C"/>
    <w:rsid w:val="001811D8"/>
    <w:rsid w:val="00184789"/>
    <w:rsid w:val="00184CBE"/>
    <w:rsid w:val="00186282"/>
    <w:rsid w:val="00190D42"/>
    <w:rsid w:val="001914E5"/>
    <w:rsid w:val="00191FF0"/>
    <w:rsid w:val="0019463E"/>
    <w:rsid w:val="001947A7"/>
    <w:rsid w:val="00195031"/>
    <w:rsid w:val="00197016"/>
    <w:rsid w:val="001A08EB"/>
    <w:rsid w:val="001A31A4"/>
    <w:rsid w:val="001A32FE"/>
    <w:rsid w:val="001A35B1"/>
    <w:rsid w:val="001A7083"/>
    <w:rsid w:val="001B0BA0"/>
    <w:rsid w:val="001B1289"/>
    <w:rsid w:val="001B425D"/>
    <w:rsid w:val="001B60DD"/>
    <w:rsid w:val="001C2A0F"/>
    <w:rsid w:val="001C49B1"/>
    <w:rsid w:val="001C4E62"/>
    <w:rsid w:val="001C509C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2D80"/>
    <w:rsid w:val="00236050"/>
    <w:rsid w:val="00236965"/>
    <w:rsid w:val="00236CC7"/>
    <w:rsid w:val="00240839"/>
    <w:rsid w:val="002418D5"/>
    <w:rsid w:val="00241CB1"/>
    <w:rsid w:val="0025104A"/>
    <w:rsid w:val="00251325"/>
    <w:rsid w:val="00251A9E"/>
    <w:rsid w:val="0025452A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94C29"/>
    <w:rsid w:val="00296AD2"/>
    <w:rsid w:val="002A2854"/>
    <w:rsid w:val="002A2D24"/>
    <w:rsid w:val="002A335A"/>
    <w:rsid w:val="002A65CD"/>
    <w:rsid w:val="002A7339"/>
    <w:rsid w:val="002B0BA0"/>
    <w:rsid w:val="002B418E"/>
    <w:rsid w:val="002B526A"/>
    <w:rsid w:val="002C2D3A"/>
    <w:rsid w:val="002D055A"/>
    <w:rsid w:val="002D74A3"/>
    <w:rsid w:val="002D7A59"/>
    <w:rsid w:val="002F013C"/>
    <w:rsid w:val="002F2858"/>
    <w:rsid w:val="002F2E5F"/>
    <w:rsid w:val="002F474F"/>
    <w:rsid w:val="002F4F78"/>
    <w:rsid w:val="002F6D19"/>
    <w:rsid w:val="002F7ABE"/>
    <w:rsid w:val="00300022"/>
    <w:rsid w:val="00305075"/>
    <w:rsid w:val="00311BF5"/>
    <w:rsid w:val="00325A28"/>
    <w:rsid w:val="003270EB"/>
    <w:rsid w:val="0033238F"/>
    <w:rsid w:val="003331A4"/>
    <w:rsid w:val="00335B1F"/>
    <w:rsid w:val="00336ED3"/>
    <w:rsid w:val="00337510"/>
    <w:rsid w:val="00341993"/>
    <w:rsid w:val="003431EE"/>
    <w:rsid w:val="003440F9"/>
    <w:rsid w:val="003453CE"/>
    <w:rsid w:val="0034612B"/>
    <w:rsid w:val="003467C8"/>
    <w:rsid w:val="00347774"/>
    <w:rsid w:val="003553ED"/>
    <w:rsid w:val="0036072A"/>
    <w:rsid w:val="0036638A"/>
    <w:rsid w:val="003737FA"/>
    <w:rsid w:val="00376B3E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3E60"/>
    <w:rsid w:val="003B42AC"/>
    <w:rsid w:val="003B7693"/>
    <w:rsid w:val="003C0480"/>
    <w:rsid w:val="003C26F4"/>
    <w:rsid w:val="003C3AFD"/>
    <w:rsid w:val="003D02F3"/>
    <w:rsid w:val="003D7D97"/>
    <w:rsid w:val="003E05AA"/>
    <w:rsid w:val="003E48EC"/>
    <w:rsid w:val="003E6FA8"/>
    <w:rsid w:val="004002E1"/>
    <w:rsid w:val="004013D7"/>
    <w:rsid w:val="00405343"/>
    <w:rsid w:val="0040584F"/>
    <w:rsid w:val="00406081"/>
    <w:rsid w:val="00412B34"/>
    <w:rsid w:val="004137C9"/>
    <w:rsid w:val="004145C5"/>
    <w:rsid w:val="004160C3"/>
    <w:rsid w:val="004215F7"/>
    <w:rsid w:val="004307FD"/>
    <w:rsid w:val="00431D71"/>
    <w:rsid w:val="004320C4"/>
    <w:rsid w:val="00433175"/>
    <w:rsid w:val="004334EB"/>
    <w:rsid w:val="00434400"/>
    <w:rsid w:val="00443E11"/>
    <w:rsid w:val="004444B8"/>
    <w:rsid w:val="00447645"/>
    <w:rsid w:val="0045246B"/>
    <w:rsid w:val="00452EC4"/>
    <w:rsid w:val="00452F5C"/>
    <w:rsid w:val="00454931"/>
    <w:rsid w:val="0045523D"/>
    <w:rsid w:val="0045671A"/>
    <w:rsid w:val="0045758A"/>
    <w:rsid w:val="00460084"/>
    <w:rsid w:val="00463E93"/>
    <w:rsid w:val="004651A5"/>
    <w:rsid w:val="004711DD"/>
    <w:rsid w:val="00474AC5"/>
    <w:rsid w:val="00477CFB"/>
    <w:rsid w:val="00482102"/>
    <w:rsid w:val="00483993"/>
    <w:rsid w:val="004856D3"/>
    <w:rsid w:val="004909BD"/>
    <w:rsid w:val="00494C16"/>
    <w:rsid w:val="00496DA0"/>
    <w:rsid w:val="004A1F2C"/>
    <w:rsid w:val="004A4EC7"/>
    <w:rsid w:val="004B5633"/>
    <w:rsid w:val="004B5D3D"/>
    <w:rsid w:val="004B78D9"/>
    <w:rsid w:val="004C598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317"/>
    <w:rsid w:val="00535F01"/>
    <w:rsid w:val="00536E4E"/>
    <w:rsid w:val="005413F4"/>
    <w:rsid w:val="005414A9"/>
    <w:rsid w:val="00546A4D"/>
    <w:rsid w:val="00554A33"/>
    <w:rsid w:val="0055679C"/>
    <w:rsid w:val="0056214D"/>
    <w:rsid w:val="00563036"/>
    <w:rsid w:val="00564D07"/>
    <w:rsid w:val="00565155"/>
    <w:rsid w:val="00566846"/>
    <w:rsid w:val="00572B8E"/>
    <w:rsid w:val="00572BC3"/>
    <w:rsid w:val="00573954"/>
    <w:rsid w:val="00574CDC"/>
    <w:rsid w:val="00577CD2"/>
    <w:rsid w:val="00584794"/>
    <w:rsid w:val="00585344"/>
    <w:rsid w:val="005855C1"/>
    <w:rsid w:val="00586C66"/>
    <w:rsid w:val="0059049A"/>
    <w:rsid w:val="005904A4"/>
    <w:rsid w:val="005953FF"/>
    <w:rsid w:val="0059600D"/>
    <w:rsid w:val="005964E5"/>
    <w:rsid w:val="005A2D0E"/>
    <w:rsid w:val="005A7B76"/>
    <w:rsid w:val="005B11BA"/>
    <w:rsid w:val="005C2841"/>
    <w:rsid w:val="005C3D31"/>
    <w:rsid w:val="005C3DEB"/>
    <w:rsid w:val="005C5B02"/>
    <w:rsid w:val="005C61BA"/>
    <w:rsid w:val="005D059A"/>
    <w:rsid w:val="005D1C61"/>
    <w:rsid w:val="005D1E12"/>
    <w:rsid w:val="005D6D8E"/>
    <w:rsid w:val="005E4571"/>
    <w:rsid w:val="005E4C0F"/>
    <w:rsid w:val="005E58C7"/>
    <w:rsid w:val="005F4DF6"/>
    <w:rsid w:val="006008CF"/>
    <w:rsid w:val="00605668"/>
    <w:rsid w:val="006132AB"/>
    <w:rsid w:val="00613E98"/>
    <w:rsid w:val="00614572"/>
    <w:rsid w:val="00615E75"/>
    <w:rsid w:val="00616092"/>
    <w:rsid w:val="0061703C"/>
    <w:rsid w:val="00617858"/>
    <w:rsid w:val="0062458B"/>
    <w:rsid w:val="00625305"/>
    <w:rsid w:val="00630835"/>
    <w:rsid w:val="00630BC1"/>
    <w:rsid w:val="00633F0B"/>
    <w:rsid w:val="0064678B"/>
    <w:rsid w:val="0064735E"/>
    <w:rsid w:val="0065125E"/>
    <w:rsid w:val="006579FE"/>
    <w:rsid w:val="0066145C"/>
    <w:rsid w:val="00662731"/>
    <w:rsid w:val="00664731"/>
    <w:rsid w:val="00665820"/>
    <w:rsid w:val="00666CB7"/>
    <w:rsid w:val="00676384"/>
    <w:rsid w:val="00680FDF"/>
    <w:rsid w:val="00681DA2"/>
    <w:rsid w:val="00684053"/>
    <w:rsid w:val="00684B7F"/>
    <w:rsid w:val="006A13CE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F047C"/>
    <w:rsid w:val="006F35D9"/>
    <w:rsid w:val="00702269"/>
    <w:rsid w:val="00702B53"/>
    <w:rsid w:val="00704461"/>
    <w:rsid w:val="007046B8"/>
    <w:rsid w:val="0070500E"/>
    <w:rsid w:val="00707916"/>
    <w:rsid w:val="0071726B"/>
    <w:rsid w:val="00722CE7"/>
    <w:rsid w:val="00724D1E"/>
    <w:rsid w:val="00725415"/>
    <w:rsid w:val="00725B3D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67701"/>
    <w:rsid w:val="0077063D"/>
    <w:rsid w:val="00790307"/>
    <w:rsid w:val="007922FF"/>
    <w:rsid w:val="00796090"/>
    <w:rsid w:val="007964F0"/>
    <w:rsid w:val="007A2ECE"/>
    <w:rsid w:val="007A2F76"/>
    <w:rsid w:val="007A598E"/>
    <w:rsid w:val="007B2772"/>
    <w:rsid w:val="007B493A"/>
    <w:rsid w:val="007B53C3"/>
    <w:rsid w:val="007D1B1E"/>
    <w:rsid w:val="007D2C1E"/>
    <w:rsid w:val="007D428F"/>
    <w:rsid w:val="007E59E0"/>
    <w:rsid w:val="007F0586"/>
    <w:rsid w:val="007F249D"/>
    <w:rsid w:val="007F5104"/>
    <w:rsid w:val="007F74BF"/>
    <w:rsid w:val="008005C0"/>
    <w:rsid w:val="00801FAA"/>
    <w:rsid w:val="00803BA2"/>
    <w:rsid w:val="00804139"/>
    <w:rsid w:val="0080569D"/>
    <w:rsid w:val="008176C9"/>
    <w:rsid w:val="0082267A"/>
    <w:rsid w:val="008239C3"/>
    <w:rsid w:val="00827B01"/>
    <w:rsid w:val="00834049"/>
    <w:rsid w:val="00834593"/>
    <w:rsid w:val="00840375"/>
    <w:rsid w:val="00845997"/>
    <w:rsid w:val="00846029"/>
    <w:rsid w:val="00855D2F"/>
    <w:rsid w:val="00857E54"/>
    <w:rsid w:val="008671BC"/>
    <w:rsid w:val="0087270F"/>
    <w:rsid w:val="00877061"/>
    <w:rsid w:val="00882DD5"/>
    <w:rsid w:val="00886DB7"/>
    <w:rsid w:val="00890530"/>
    <w:rsid w:val="008948EB"/>
    <w:rsid w:val="00895856"/>
    <w:rsid w:val="008A3BD9"/>
    <w:rsid w:val="008A3BE5"/>
    <w:rsid w:val="008A525D"/>
    <w:rsid w:val="008A6843"/>
    <w:rsid w:val="008B11C5"/>
    <w:rsid w:val="008B4BCC"/>
    <w:rsid w:val="008B74D4"/>
    <w:rsid w:val="008C0DBD"/>
    <w:rsid w:val="008C260F"/>
    <w:rsid w:val="008C2B02"/>
    <w:rsid w:val="008C5D50"/>
    <w:rsid w:val="008C773C"/>
    <w:rsid w:val="008C7A5B"/>
    <w:rsid w:val="008D13A4"/>
    <w:rsid w:val="008D1A68"/>
    <w:rsid w:val="008D3CC4"/>
    <w:rsid w:val="008D7163"/>
    <w:rsid w:val="008E2180"/>
    <w:rsid w:val="008E3CA2"/>
    <w:rsid w:val="008E5569"/>
    <w:rsid w:val="008E576B"/>
    <w:rsid w:val="008E7B57"/>
    <w:rsid w:val="008F426D"/>
    <w:rsid w:val="008F4399"/>
    <w:rsid w:val="008F55B0"/>
    <w:rsid w:val="008F58E5"/>
    <w:rsid w:val="00900F5A"/>
    <w:rsid w:val="00902B31"/>
    <w:rsid w:val="00905A4C"/>
    <w:rsid w:val="00916FD8"/>
    <w:rsid w:val="009223EB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97A7B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C787E"/>
    <w:rsid w:val="009D3918"/>
    <w:rsid w:val="009D6367"/>
    <w:rsid w:val="009D689F"/>
    <w:rsid w:val="009E0DBF"/>
    <w:rsid w:val="009E32DB"/>
    <w:rsid w:val="009E5755"/>
    <w:rsid w:val="009E5CE9"/>
    <w:rsid w:val="009E62DA"/>
    <w:rsid w:val="009E69C3"/>
    <w:rsid w:val="009E7005"/>
    <w:rsid w:val="009E7BF0"/>
    <w:rsid w:val="009E7E1D"/>
    <w:rsid w:val="009F2543"/>
    <w:rsid w:val="009F4D43"/>
    <w:rsid w:val="00A004A4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278D"/>
    <w:rsid w:val="00A5382B"/>
    <w:rsid w:val="00A5555E"/>
    <w:rsid w:val="00A614F6"/>
    <w:rsid w:val="00A71C3B"/>
    <w:rsid w:val="00A73002"/>
    <w:rsid w:val="00A749B3"/>
    <w:rsid w:val="00A75240"/>
    <w:rsid w:val="00A76038"/>
    <w:rsid w:val="00A80A39"/>
    <w:rsid w:val="00A81E62"/>
    <w:rsid w:val="00A84D87"/>
    <w:rsid w:val="00A84FA1"/>
    <w:rsid w:val="00A91F6F"/>
    <w:rsid w:val="00A93574"/>
    <w:rsid w:val="00AA2B02"/>
    <w:rsid w:val="00AA48D7"/>
    <w:rsid w:val="00AA4DFA"/>
    <w:rsid w:val="00AA74B1"/>
    <w:rsid w:val="00AB03BD"/>
    <w:rsid w:val="00AC26CE"/>
    <w:rsid w:val="00AC32C0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33A30"/>
    <w:rsid w:val="00B41432"/>
    <w:rsid w:val="00B54BC9"/>
    <w:rsid w:val="00B5560F"/>
    <w:rsid w:val="00B55A40"/>
    <w:rsid w:val="00B56A5A"/>
    <w:rsid w:val="00B627FF"/>
    <w:rsid w:val="00B67459"/>
    <w:rsid w:val="00B72468"/>
    <w:rsid w:val="00B7418E"/>
    <w:rsid w:val="00B74E51"/>
    <w:rsid w:val="00B755AF"/>
    <w:rsid w:val="00B81B34"/>
    <w:rsid w:val="00B81B44"/>
    <w:rsid w:val="00B83BD5"/>
    <w:rsid w:val="00B86725"/>
    <w:rsid w:val="00B86741"/>
    <w:rsid w:val="00B95C27"/>
    <w:rsid w:val="00B9658F"/>
    <w:rsid w:val="00BB5765"/>
    <w:rsid w:val="00BB6BB5"/>
    <w:rsid w:val="00BC6C8C"/>
    <w:rsid w:val="00BC7C94"/>
    <w:rsid w:val="00BE0717"/>
    <w:rsid w:val="00BE43EA"/>
    <w:rsid w:val="00BE673F"/>
    <w:rsid w:val="00BF29D1"/>
    <w:rsid w:val="00BF36D4"/>
    <w:rsid w:val="00BF5A70"/>
    <w:rsid w:val="00C01627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43A8"/>
    <w:rsid w:val="00C45F90"/>
    <w:rsid w:val="00C46CC8"/>
    <w:rsid w:val="00C53560"/>
    <w:rsid w:val="00C54465"/>
    <w:rsid w:val="00C64C35"/>
    <w:rsid w:val="00C70645"/>
    <w:rsid w:val="00C711AD"/>
    <w:rsid w:val="00C711C5"/>
    <w:rsid w:val="00C712FF"/>
    <w:rsid w:val="00C738AD"/>
    <w:rsid w:val="00C80789"/>
    <w:rsid w:val="00C937CF"/>
    <w:rsid w:val="00C9385A"/>
    <w:rsid w:val="00C94D7F"/>
    <w:rsid w:val="00C97EFC"/>
    <w:rsid w:val="00CB09E8"/>
    <w:rsid w:val="00CB0B20"/>
    <w:rsid w:val="00CB17BC"/>
    <w:rsid w:val="00CB2011"/>
    <w:rsid w:val="00CB68EB"/>
    <w:rsid w:val="00CC6311"/>
    <w:rsid w:val="00CD086F"/>
    <w:rsid w:val="00CE5F1B"/>
    <w:rsid w:val="00CE61C1"/>
    <w:rsid w:val="00CE75F6"/>
    <w:rsid w:val="00CF5DEB"/>
    <w:rsid w:val="00D11565"/>
    <w:rsid w:val="00D1180D"/>
    <w:rsid w:val="00D13422"/>
    <w:rsid w:val="00D143E8"/>
    <w:rsid w:val="00D15445"/>
    <w:rsid w:val="00D15B80"/>
    <w:rsid w:val="00D20029"/>
    <w:rsid w:val="00D203E4"/>
    <w:rsid w:val="00D25BB2"/>
    <w:rsid w:val="00D318F1"/>
    <w:rsid w:val="00D37874"/>
    <w:rsid w:val="00D43678"/>
    <w:rsid w:val="00D43A3D"/>
    <w:rsid w:val="00D441B3"/>
    <w:rsid w:val="00D45CD3"/>
    <w:rsid w:val="00D47EA6"/>
    <w:rsid w:val="00D5787E"/>
    <w:rsid w:val="00D6024B"/>
    <w:rsid w:val="00D60839"/>
    <w:rsid w:val="00D612D9"/>
    <w:rsid w:val="00D675AC"/>
    <w:rsid w:val="00D80B1D"/>
    <w:rsid w:val="00D84C47"/>
    <w:rsid w:val="00D863B1"/>
    <w:rsid w:val="00D866B4"/>
    <w:rsid w:val="00D87656"/>
    <w:rsid w:val="00D87B4B"/>
    <w:rsid w:val="00D87D14"/>
    <w:rsid w:val="00D919C2"/>
    <w:rsid w:val="00D92C49"/>
    <w:rsid w:val="00D96726"/>
    <w:rsid w:val="00DA3AE6"/>
    <w:rsid w:val="00DA411A"/>
    <w:rsid w:val="00DA43E6"/>
    <w:rsid w:val="00DA5711"/>
    <w:rsid w:val="00DA69FD"/>
    <w:rsid w:val="00DB077B"/>
    <w:rsid w:val="00DB4ED4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DF42D1"/>
    <w:rsid w:val="00E005FC"/>
    <w:rsid w:val="00E123B4"/>
    <w:rsid w:val="00E134C4"/>
    <w:rsid w:val="00E1782D"/>
    <w:rsid w:val="00E30A65"/>
    <w:rsid w:val="00E35A83"/>
    <w:rsid w:val="00E36527"/>
    <w:rsid w:val="00E41092"/>
    <w:rsid w:val="00E42D47"/>
    <w:rsid w:val="00E44EE2"/>
    <w:rsid w:val="00E457EA"/>
    <w:rsid w:val="00E46FFD"/>
    <w:rsid w:val="00E506CE"/>
    <w:rsid w:val="00E50878"/>
    <w:rsid w:val="00E51F9B"/>
    <w:rsid w:val="00E53603"/>
    <w:rsid w:val="00E559C7"/>
    <w:rsid w:val="00E55AA5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07B66"/>
    <w:rsid w:val="00F1061C"/>
    <w:rsid w:val="00F13E60"/>
    <w:rsid w:val="00F21428"/>
    <w:rsid w:val="00F229B8"/>
    <w:rsid w:val="00F229C6"/>
    <w:rsid w:val="00F22B70"/>
    <w:rsid w:val="00F25D39"/>
    <w:rsid w:val="00F27F18"/>
    <w:rsid w:val="00F3417C"/>
    <w:rsid w:val="00F36578"/>
    <w:rsid w:val="00F40EAC"/>
    <w:rsid w:val="00F509BD"/>
    <w:rsid w:val="00F52671"/>
    <w:rsid w:val="00F605D5"/>
    <w:rsid w:val="00F64EBE"/>
    <w:rsid w:val="00F66279"/>
    <w:rsid w:val="00F6686F"/>
    <w:rsid w:val="00F66CEF"/>
    <w:rsid w:val="00F75CA2"/>
    <w:rsid w:val="00F766E1"/>
    <w:rsid w:val="00F80F1B"/>
    <w:rsid w:val="00F8162B"/>
    <w:rsid w:val="00F85713"/>
    <w:rsid w:val="00F85D77"/>
    <w:rsid w:val="00F861C2"/>
    <w:rsid w:val="00F872EE"/>
    <w:rsid w:val="00F96D97"/>
    <w:rsid w:val="00FA0658"/>
    <w:rsid w:val="00FB09F0"/>
    <w:rsid w:val="00FC081E"/>
    <w:rsid w:val="00FC0FB8"/>
    <w:rsid w:val="00FC5852"/>
    <w:rsid w:val="00FC5AEE"/>
    <w:rsid w:val="00FD31C9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  <w:rsid w:val="22797EBF"/>
    <w:rsid w:val="516C18CD"/>
    <w:rsid w:val="7EA5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sz w:val="24"/>
    </w:rPr>
  </w:style>
  <w:style w:type="paragraph" w:styleId="3">
    <w:name w:val="heading 2"/>
    <w:basedOn w:val="1"/>
    <w:next w:val="1"/>
    <w:link w:val="2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5"/>
    <w:next w:val="1"/>
    <w:link w:val="31"/>
    <w:qFormat/>
    <w:uiPriority w:val="0"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9">
    <w:name w:val="heading 8"/>
    <w:basedOn w:val="2"/>
    <w:next w:val="1"/>
    <w:link w:val="34"/>
    <w:qFormat/>
    <w:uiPriority w:val="0"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10">
    <w:name w:val="heading 9"/>
    <w:basedOn w:val="9"/>
    <w:next w:val="1"/>
    <w:link w:val="35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uiPriority w:val="1"/>
  </w:style>
  <w:style w:type="table" w:default="1" w:styleId="2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semiHidden/>
    <w:unhideWhenUsed/>
    <w:qFormat/>
    <w:uiPriority w:val="99"/>
  </w:style>
  <w:style w:type="paragraph" w:styleId="12">
    <w:name w:val="List 2"/>
    <w:basedOn w:val="1"/>
    <w:semiHidden/>
    <w:unhideWhenUsed/>
    <w:uiPriority w:val="99"/>
    <w:pPr>
      <w:ind w:left="720" w:hanging="360"/>
      <w:contextualSpacing/>
    </w:pPr>
  </w:style>
  <w:style w:type="paragraph" w:styleId="13">
    <w:name w:val="List Continue"/>
    <w:basedOn w:val="1"/>
    <w:qFormat/>
    <w:uiPriority w:val="0"/>
    <w:pPr>
      <w:widowControl/>
      <w:spacing w:after="120"/>
      <w:ind w:left="420" w:leftChars="200"/>
      <w:contextualSpacing/>
    </w:pPr>
    <w:rPr>
      <w:lang w:eastAsia="ja-JP"/>
    </w:rPr>
  </w:style>
  <w:style w:type="paragraph" w:styleId="14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link w:val="43"/>
    <w:unhideWhenUsed/>
    <w:uiPriority w:val="99"/>
    <w:pPr>
      <w:tabs>
        <w:tab w:val="center" w:pos="4703"/>
        <w:tab w:val="right" w:pos="9406"/>
      </w:tabs>
    </w:pPr>
  </w:style>
  <w:style w:type="paragraph" w:styleId="16">
    <w:name w:val="header"/>
    <w:basedOn w:val="1"/>
    <w:semiHidden/>
    <w:qFormat/>
    <w:uiPriority w:val="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17">
    <w:name w:val="List"/>
    <w:basedOn w:val="1"/>
    <w:semiHidden/>
    <w:unhideWhenUsed/>
    <w:uiPriority w:val="99"/>
    <w:pPr>
      <w:ind w:left="360" w:hanging="360"/>
      <w:contextualSpacing/>
    </w:pPr>
  </w:style>
  <w:style w:type="paragraph" w:styleId="18">
    <w:name w:val="footnote text"/>
    <w:basedOn w:val="1"/>
    <w:link w:val="37"/>
    <w:semiHidden/>
    <w:qFormat/>
    <w:uiPriority w:val="0"/>
    <w:pPr>
      <w:keepLines/>
      <w:widowControl/>
      <w:ind w:left="454" w:hanging="454"/>
    </w:pPr>
    <w:rPr>
      <w:sz w:val="16"/>
      <w:lang w:eastAsia="en-US"/>
    </w:rPr>
  </w:style>
  <w:style w:type="paragraph" w:styleId="19">
    <w:name w:val="Normal (Web)"/>
    <w:basedOn w:val="1"/>
    <w:unhideWhenUsed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20">
    <w:name w:val="annotation subject"/>
    <w:basedOn w:val="11"/>
    <w:next w:val="11"/>
    <w:link w:val="40"/>
    <w:semiHidden/>
    <w:unhideWhenUsed/>
    <w:uiPriority w:val="99"/>
    <w:rPr>
      <w:b/>
      <w:bCs/>
    </w:rPr>
  </w:style>
  <w:style w:type="character" w:styleId="23">
    <w:name w:val="annotation reference"/>
    <w:semiHidden/>
    <w:unhideWhenUsed/>
    <w:qFormat/>
    <w:uiPriority w:val="99"/>
    <w:rPr>
      <w:sz w:val="16"/>
      <w:szCs w:val="16"/>
    </w:rPr>
  </w:style>
  <w:style w:type="paragraph" w:customStyle="1" w:styleId="24">
    <w:name w:val="TH"/>
    <w:basedOn w:val="1"/>
    <w:link w:val="26"/>
    <w:qFormat/>
    <w:uiPriority w:val="0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25">
    <w:name w:val="Normal_"/>
    <w:basedOn w:val="1"/>
    <w:semiHidden/>
    <w:qFormat/>
    <w:uiPriority w:val="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26">
    <w:name w:val="TH Char"/>
    <w:link w:val="24"/>
    <w:qFormat/>
    <w:locked/>
    <w:uiPriority w:val="0"/>
    <w:rPr>
      <w:rFonts w:ascii="Arial" w:hAnsi="Arial" w:eastAsia="宋体"/>
      <w:b/>
      <w:lang w:val="en-GB" w:eastAsia="en-US"/>
    </w:rPr>
  </w:style>
  <w:style w:type="paragraph" w:customStyle="1" w:styleId="27">
    <w:name w:val="TF"/>
    <w:basedOn w:val="24"/>
    <w:qFormat/>
    <w:uiPriority w:val="0"/>
    <w:pPr>
      <w:keepNext w:val="0"/>
      <w:spacing w:before="0" w:after="240"/>
    </w:pPr>
  </w:style>
  <w:style w:type="character" w:customStyle="1" w:styleId="28">
    <w:name w:val="Überschrift 2 Zchn"/>
    <w:link w:val="3"/>
    <w:qFormat/>
    <w:uiPriority w:val="9"/>
    <w:rPr>
      <w:rFonts w:ascii="Cambria" w:hAnsi="Cambria" w:eastAsia="宋体" w:cs="Times New Roman"/>
      <w:b/>
      <w:bCs/>
      <w:sz w:val="32"/>
      <w:szCs w:val="32"/>
      <w:lang w:val="en-GB"/>
    </w:rPr>
  </w:style>
  <w:style w:type="character" w:customStyle="1" w:styleId="29">
    <w:name w:val="Überschrift 3 Zchn"/>
    <w:link w:val="4"/>
    <w:qFormat/>
    <w:uiPriority w:val="9"/>
    <w:rPr>
      <w:b/>
      <w:bCs/>
      <w:sz w:val="32"/>
      <w:szCs w:val="32"/>
      <w:lang w:val="en-GB"/>
    </w:rPr>
  </w:style>
  <w:style w:type="character" w:customStyle="1" w:styleId="30">
    <w:name w:val="Überschrift 4 Zchn"/>
    <w:link w:val="5"/>
    <w:qFormat/>
    <w:uiPriority w:val="9"/>
    <w:rPr>
      <w:rFonts w:ascii="Cambria" w:hAnsi="Cambria" w:eastAsia="宋体" w:cs="Times New Roman"/>
      <w:b/>
      <w:bCs/>
      <w:sz w:val="28"/>
      <w:szCs w:val="28"/>
      <w:lang w:val="en-GB"/>
    </w:rPr>
  </w:style>
  <w:style w:type="character" w:customStyle="1" w:styleId="31">
    <w:name w:val="Überschrift 5 Zchn"/>
    <w:link w:val="6"/>
    <w:qFormat/>
    <w:uiPriority w:val="0"/>
    <w:rPr>
      <w:rFonts w:ascii="Arial" w:hAnsi="Arial" w:eastAsia="宋体"/>
      <w:b/>
      <w:sz w:val="22"/>
      <w:lang w:eastAsia="en-US"/>
    </w:rPr>
  </w:style>
  <w:style w:type="character" w:customStyle="1" w:styleId="32">
    <w:name w:val="Überschrift 6 Zchn"/>
    <w:link w:val="7"/>
    <w:qFormat/>
    <w:uiPriority w:val="0"/>
    <w:rPr>
      <w:rFonts w:ascii="Arial" w:hAnsi="Arial" w:eastAsia="宋体"/>
      <w:b/>
      <w:lang w:eastAsia="en-US"/>
    </w:rPr>
  </w:style>
  <w:style w:type="character" w:customStyle="1" w:styleId="33">
    <w:name w:val="Überschrift 7 Zchn"/>
    <w:link w:val="8"/>
    <w:qFormat/>
    <w:uiPriority w:val="0"/>
    <w:rPr>
      <w:rFonts w:ascii="Arial" w:hAnsi="Arial" w:eastAsia="宋体"/>
      <w:b/>
      <w:lang w:eastAsia="en-US"/>
    </w:rPr>
  </w:style>
  <w:style w:type="character" w:customStyle="1" w:styleId="34">
    <w:name w:val="Überschrift 8 Zchn"/>
    <w:link w:val="9"/>
    <w:qFormat/>
    <w:uiPriority w:val="0"/>
    <w:rPr>
      <w:rFonts w:ascii="Arial" w:hAnsi="Arial" w:eastAsia="宋体"/>
      <w:sz w:val="36"/>
      <w:lang w:eastAsia="en-US"/>
    </w:rPr>
  </w:style>
  <w:style w:type="character" w:customStyle="1" w:styleId="35">
    <w:name w:val="Überschrift 9 Zchn"/>
    <w:link w:val="10"/>
    <w:uiPriority w:val="0"/>
    <w:rPr>
      <w:rFonts w:ascii="Arial" w:hAnsi="Arial" w:eastAsia="宋体"/>
      <w:sz w:val="36"/>
      <w:lang w:eastAsia="en-US"/>
    </w:rPr>
  </w:style>
  <w:style w:type="paragraph" w:customStyle="1" w:styleId="36">
    <w:name w:val="Heading"/>
    <w:basedOn w:val="1"/>
    <w:link w:val="42"/>
    <w:uiPriority w:val="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37">
    <w:name w:val="Fußnotentext Zchn"/>
    <w:link w:val="18"/>
    <w:semiHidden/>
    <w:qFormat/>
    <w:uiPriority w:val="0"/>
    <w:rPr>
      <w:sz w:val="16"/>
      <w:lang w:val="en-GB" w:eastAsia="en-US"/>
    </w:rPr>
  </w:style>
  <w:style w:type="character" w:customStyle="1" w:styleId="38">
    <w:name w:val="Sprechblasentext Zchn"/>
    <w:link w:val="14"/>
    <w:semiHidden/>
    <w:qFormat/>
    <w:uiPriority w:val="99"/>
    <w:rPr>
      <w:rFonts w:ascii="Tahoma" w:hAnsi="Tahoma" w:cs="Tahoma"/>
      <w:sz w:val="16"/>
      <w:szCs w:val="16"/>
      <w:lang w:val="en-GB" w:eastAsia="zh-CN"/>
    </w:rPr>
  </w:style>
  <w:style w:type="character" w:customStyle="1" w:styleId="39">
    <w:name w:val="Kommentartext Zchn"/>
    <w:link w:val="11"/>
    <w:semiHidden/>
    <w:uiPriority w:val="99"/>
    <w:rPr>
      <w:lang w:val="en-GB" w:eastAsia="zh-CN"/>
    </w:rPr>
  </w:style>
  <w:style w:type="character" w:customStyle="1" w:styleId="40">
    <w:name w:val="Kommentarthema Zchn"/>
    <w:link w:val="20"/>
    <w:semiHidden/>
    <w:uiPriority w:val="99"/>
    <w:rPr>
      <w:b/>
      <w:bCs/>
      <w:lang w:val="en-GB" w:eastAsia="zh-CN"/>
    </w:rPr>
  </w:style>
  <w:style w:type="paragraph" w:customStyle="1" w:styleId="41">
    <w:name w:val="Überarbeitung1"/>
    <w:hidden/>
    <w:semiHidden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42">
    <w:name w:val="Heading Car"/>
    <w:link w:val="36"/>
    <w:locked/>
    <w:uiPriority w:val="0"/>
    <w:rPr>
      <w:rFonts w:ascii="Arial" w:hAnsi="Arial"/>
      <w:b/>
      <w:sz w:val="22"/>
      <w:lang w:val="en-GB"/>
    </w:rPr>
  </w:style>
  <w:style w:type="character" w:customStyle="1" w:styleId="43">
    <w:name w:val="Fußzeile Zchn"/>
    <w:link w:val="15"/>
    <w:qFormat/>
    <w:uiPriority w:val="99"/>
    <w:rPr>
      <w:lang w:val="en-GB" w:eastAsia="zh-CN"/>
    </w:rPr>
  </w:style>
  <w:style w:type="paragraph" w:customStyle="1" w:styleId="44">
    <w:name w:val="B1"/>
    <w:basedOn w:val="17"/>
    <w:link w:val="46"/>
    <w:qFormat/>
    <w:uiPriority w:val="0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45">
    <w:name w:val="B2"/>
    <w:basedOn w:val="12"/>
    <w:link w:val="49"/>
    <w:qFormat/>
    <w:uiPriority w:val="0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46">
    <w:name w:val="B1 Char1"/>
    <w:link w:val="44"/>
    <w:qFormat/>
    <w:uiPriority w:val="0"/>
    <w:rPr>
      <w:rFonts w:eastAsia="Times New Roman" w:cs="Vrinda"/>
      <w:lang w:val="en-GB" w:eastAsia="en-GB" w:bidi="bn-IN"/>
    </w:rPr>
  </w:style>
  <w:style w:type="paragraph" w:styleId="47">
    <w:name w:val="List Paragraph"/>
    <w:basedOn w:val="1"/>
    <w:qFormat/>
    <w:uiPriority w:val="34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table" w:customStyle="1" w:styleId="48">
    <w:name w:val="Einfache Tabelle 11"/>
    <w:basedOn w:val="21"/>
    <w:uiPriority w:val="41"/>
    <w:rPr>
      <w:lang w:eastAsia="ja-JP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49">
    <w:name w:val="B2 Char"/>
    <w:link w:val="45"/>
    <w:qFormat/>
    <w:uiPriority w:val="0"/>
    <w:rPr>
      <w:rFonts w:eastAsia="Times New Roman" w:cs="Vrinda"/>
      <w:lang w:val="en-GB" w:eastAsia="en-GB" w:bidi="bn-IN"/>
    </w:rPr>
  </w:style>
  <w:style w:type="paragraph" w:customStyle="1" w:styleId="50">
    <w:name w:val="NO"/>
    <w:basedOn w:val="1"/>
    <w:qFormat/>
    <w:uiPriority w:val="0"/>
    <w:pPr>
      <w:keepLines/>
      <w:widowControl/>
      <w:overflowPunct/>
      <w:autoSpaceDE/>
      <w:autoSpaceDN/>
      <w:adjustRightInd/>
      <w:spacing w:after="180"/>
      <w:ind w:left="1135" w:hanging="851"/>
      <w:textAlignment w:val="auto"/>
    </w:pPr>
    <w:rPr>
      <w:rFonts w:eastAsia="Malgun Gothic"/>
      <w:lang w:eastAsia="en-US"/>
    </w:rPr>
  </w:style>
  <w:style w:type="paragraph" w:customStyle="1" w:styleId="51">
    <w:name w:val="Revision"/>
    <w:hidden/>
    <w:unhideWhenUsed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98811-B1EC-43D2-8DDD-2A0C3D0341A9}">
  <ds:schemaRefs/>
</ds:datastoreItem>
</file>

<file path=customXml/itemProps2.xml><?xml version="1.0" encoding="utf-8"?>
<ds:datastoreItem xmlns:ds="http://schemas.openxmlformats.org/officeDocument/2006/customXml" ds:itemID="{514B4F8E-B649-4CAB-9CEF-48E811EEBE50}">
  <ds:schemaRefs/>
</ds:datastoreItem>
</file>

<file path=customXml/itemProps3.xml><?xml version="1.0" encoding="utf-8"?>
<ds:datastoreItem xmlns:ds="http://schemas.openxmlformats.org/officeDocument/2006/customXml" ds:itemID="{74720302-0966-4957-AC65-BE159547E3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1479</Words>
  <Characters>9320</Characters>
  <Lines>77</Lines>
  <Paragraphs>21</Paragraphs>
  <TotalTime>1</TotalTime>
  <ScaleCrop>false</ScaleCrop>
  <LinksUpToDate>false</LinksUpToDate>
  <CharactersWithSpaces>10778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2025-04-16T14:47:00Z</dcterms:created>
  <dcterms:modified xsi:type="dcterms:W3CDTF">2025-04-17T15:46:23Z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  <property fmtid="{D5CDD505-2E9C-101B-9397-08002B2CF9AE}" pid="10" name="MediaServiceImageTags">
    <vt:lpwstr/>
  </property>
  <property fmtid="{D5CDD505-2E9C-101B-9397-08002B2CF9AE}" pid="11" name="KSOProductBuildVer">
    <vt:lpwstr>2052-12.8.2.18205</vt:lpwstr>
  </property>
  <property fmtid="{D5CDD505-2E9C-101B-9397-08002B2CF9AE}" pid="12" name="ICV">
    <vt:lpwstr>88203E5FC0D94E9E935ADCA640DBB304_12</vt:lpwstr>
  </property>
</Properties>
</file>