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867EC" w14:textId="4F8A54B2"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6E1539">
        <w:rPr>
          <w:rFonts w:ascii="Arial" w:hAnsi="Arial" w:cs="Arial"/>
          <w:szCs w:val="24"/>
          <w:lang w:val="en-US" w:eastAsia="ja-JP"/>
        </w:rPr>
        <w:t>8</w:t>
      </w:r>
      <w:r w:rsidR="00BE6034">
        <w:rPr>
          <w:rFonts w:ascii="Arial" w:hAnsi="Arial" w:cs="Arial"/>
          <w:szCs w:val="24"/>
          <w:lang w:val="en-US" w:eastAsia="ja-JP"/>
        </w:rPr>
        <w:t>.</w:t>
      </w:r>
      <w:r w:rsidR="006E1539">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15C7F64C"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w:t>
      </w:r>
      <w:proofErr w:type="gramStart"/>
      <w:r w:rsidR="005918ED">
        <w:rPr>
          <w:rFonts w:ascii="Arial" w:hAnsi="Arial" w:cs="Arial"/>
          <w:b/>
          <w:szCs w:val="24"/>
          <w:lang w:val="en-US" w:eastAsia="ja-JP"/>
        </w:rPr>
        <w:t>AMD</w:t>
      </w:r>
      <w:r w:rsidR="00DF7631">
        <w:rPr>
          <w:rFonts w:ascii="Arial" w:hAnsi="Arial" w:cs="Arial"/>
          <w:b/>
          <w:szCs w:val="24"/>
          <w:lang w:val="en-US" w:eastAsia="ja-JP"/>
        </w:rPr>
        <w:t>]</w:t>
      </w:r>
      <w:r w:rsidR="005918ED">
        <w:rPr>
          <w:rFonts w:ascii="Arial" w:hAnsi="Arial" w:cs="Arial"/>
          <w:b/>
          <w:szCs w:val="24"/>
          <w:lang w:val="en-US" w:eastAsia="ja-JP"/>
        </w:rPr>
        <w:t xml:space="preserve"> </w:t>
      </w:r>
      <w:r w:rsidR="00BE6034">
        <w:rPr>
          <w:rFonts w:ascii="Arial" w:hAnsi="Arial" w:cs="Arial"/>
          <w:b/>
          <w:szCs w:val="24"/>
          <w:lang w:val="en-US" w:eastAsia="ja-JP"/>
        </w:rPr>
        <w:t xml:space="preserve"> </w:t>
      </w:r>
      <w:r w:rsidR="000B0888">
        <w:rPr>
          <w:rFonts w:ascii="Arial" w:hAnsi="Arial" w:cs="Arial"/>
          <w:b/>
          <w:szCs w:val="24"/>
          <w:lang w:val="en-US" w:eastAsia="ja-JP"/>
        </w:rPr>
        <w:t>L</w:t>
      </w:r>
      <w:proofErr w:type="gramEnd"/>
      <w:r w:rsidR="000B0888">
        <w:rPr>
          <w:rFonts w:ascii="Arial" w:hAnsi="Arial" w:cs="Arial"/>
          <w:b/>
          <w:szCs w:val="24"/>
          <w:lang w:val="en-US" w:eastAsia="ja-JP"/>
        </w:rPr>
        <w:t>4S for 5G Media Delivery</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462BD6F1" w:rsidR="00B20D7B" w:rsidRPr="00AB234E" w:rsidRDefault="0083671E" w:rsidP="00AB234E">
      <w:pPr>
        <w:rPr>
          <w:lang w:val="en-US"/>
        </w:rPr>
      </w:pPr>
      <w:r>
        <w:rPr>
          <w:lang w:val="en-US"/>
        </w:rPr>
        <w:t>In this contribution, we propose</w:t>
      </w:r>
      <w:r w:rsidR="0096507E">
        <w:rPr>
          <w:lang w:val="en-US"/>
        </w:rPr>
        <w:t xml:space="preserve"> an introduction to L4S and discuss the usage of L4S in the context of advanced media delivery</w:t>
      </w:r>
      <w:r w:rsidR="00B20D7B">
        <w:rPr>
          <w:lang w:val="en-US"/>
        </w:rPr>
        <w:t>.</w:t>
      </w:r>
    </w:p>
    <w:p w14:paraId="3551B604" w14:textId="730D3F27" w:rsidR="00F108B7" w:rsidRDefault="0096507E" w:rsidP="00F108B7">
      <w:pPr>
        <w:pStyle w:val="Heading1"/>
        <w:numPr>
          <w:ilvl w:val="0"/>
          <w:numId w:val="3"/>
        </w:numPr>
      </w:pPr>
      <w:r>
        <w:t>L4S</w:t>
      </w:r>
    </w:p>
    <w:p w14:paraId="76038B56" w14:textId="77777777" w:rsidR="0096507E" w:rsidRDefault="0096507E" w:rsidP="0096507E">
      <w:r>
        <w:t xml:space="preserve">L4S stands for Low Latency, Low Loss, Scalable Throughput. L4S is based on the idea that delay is mainly caused by the classic congestion control algorithms introduced with TCP. L4S replaces these traditional congestion control algorithms with a class of scalable congestion control algorithms. </w:t>
      </w:r>
    </w:p>
    <w:p w14:paraId="2C6D1347" w14:textId="77777777" w:rsidR="008D5BC4" w:rsidRDefault="008D5BC4" w:rsidP="0096507E">
      <w:r>
        <w:t>The L4S architecture relies on 3 components to operate:</w:t>
      </w:r>
    </w:p>
    <w:p w14:paraId="16585789" w14:textId="0D708A76" w:rsidR="007740CD" w:rsidRDefault="00434452" w:rsidP="008D5BC4">
      <w:pPr>
        <w:pStyle w:val="ListParagraph"/>
        <w:numPr>
          <w:ilvl w:val="0"/>
          <w:numId w:val="27"/>
        </w:numPr>
      </w:pPr>
      <w:r>
        <w:t>A scalable congestion control algorithm,</w:t>
      </w:r>
    </w:p>
    <w:p w14:paraId="39B25998" w14:textId="624C3016" w:rsidR="00434452" w:rsidRDefault="00434452" w:rsidP="008D5BC4">
      <w:pPr>
        <w:pStyle w:val="ListParagraph"/>
        <w:numPr>
          <w:ilvl w:val="0"/>
          <w:numId w:val="27"/>
        </w:numPr>
      </w:pPr>
      <w:r>
        <w:t>A modified ECN marking behavior,</w:t>
      </w:r>
    </w:p>
    <w:p w14:paraId="0CBA243C" w14:textId="3BB9CBB3" w:rsidR="00434452" w:rsidRDefault="00434452" w:rsidP="008D5BC4">
      <w:pPr>
        <w:pStyle w:val="ListParagraph"/>
        <w:numPr>
          <w:ilvl w:val="0"/>
          <w:numId w:val="27"/>
        </w:numPr>
      </w:pPr>
      <w:r>
        <w:t>An active queue management algorithm that isolates L4S traffic</w:t>
      </w:r>
    </w:p>
    <w:p w14:paraId="30574382" w14:textId="77777777" w:rsidR="00434452" w:rsidRDefault="00434452" w:rsidP="00434452"/>
    <w:p w14:paraId="1AA7AEFA" w14:textId="1ABF3904" w:rsidR="00434452" w:rsidRDefault="00434452" w:rsidP="00434452">
      <w:r>
        <w:t xml:space="preserve">An example of a scalable congestion control algorithm that is widely deployed today is TCP Prague. In TCP Prague the congestion window is adjusted proportionally to the probability of receiving an ECN mark. </w:t>
      </w:r>
    </w:p>
    <w:p w14:paraId="37E8EE0A" w14:textId="379D5D33" w:rsidR="00434452" w:rsidRDefault="00434452" w:rsidP="00434452">
      <m:oMath>
        <m:r>
          <w:rPr>
            <w:rFonts w:ascii="Cambria Math" w:hAnsi="Cambria Math"/>
          </w:rPr>
          <m:t xml:space="preserve">cwnd= </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p</m:t>
                </m:r>
              </m:e>
              <m:sup>
                <m:r>
                  <w:rPr>
                    <w:rFonts w:ascii="Cambria Math" w:hAnsi="Cambria Math"/>
                  </w:rPr>
                  <m:t>α</m:t>
                </m:r>
              </m:sup>
            </m:sSup>
          </m:den>
        </m:f>
      </m:oMath>
      <w:r>
        <w:t xml:space="preserve">, where p is the probability of receiving an ECN mark, and </w:t>
      </w:r>
      <m:oMath>
        <m:r>
          <w:rPr>
            <w:rFonts w:ascii="Cambria Math" w:hAnsi="Cambria Math"/>
          </w:rPr>
          <m:t>α</m:t>
        </m:r>
      </m:oMath>
      <w:r>
        <w:t xml:space="preserve"> is a constant</w:t>
      </w:r>
    </w:p>
    <w:p w14:paraId="04825C77" w14:textId="6BA486A2" w:rsidR="00434452" w:rsidRDefault="004F30A9" w:rsidP="00434452">
      <w:r>
        <w:t>TCP Prague further adjust the congestion window to implement an RTT independence, which is crucial to not overly react to RTT variations. The additive increase part of the algorithm is also adjusted to ensure that flows with short RTT are not penalized by a slow increase.</w:t>
      </w:r>
    </w:p>
    <w:p w14:paraId="0E1CB2A0" w14:textId="5EA2CE77" w:rsidR="004F30A9" w:rsidRDefault="004F30A9" w:rsidP="00434452">
      <w:r>
        <w:t>Another popular scalable congestion control algorithm is BBRv2, which stands for Bottleneck Bandwidth and Round-trip propagation time. BBRv2 continuously estimates the bottleneck bandwidth of the connection and the RTT. It then uses the 2 parameters to adjust its congestion window as follows:</w:t>
      </w:r>
    </w:p>
    <w:p w14:paraId="71AD8D00" w14:textId="05B9D462" w:rsidR="004F30A9" w:rsidRDefault="004F30A9" w:rsidP="00434452">
      <m:oMath>
        <m:r>
          <w:rPr>
            <w:rFonts w:ascii="Cambria Math" w:hAnsi="Cambria Math"/>
          </w:rPr>
          <m:t>cwnd=BtlBW*RTprop</m:t>
        </m:r>
      </m:oMath>
      <w:r>
        <w:t>, where BtlBW is the estimated bottleneck bandwidth and RTprop is the estimated minimum round-trip propagation time. The algorithm’s reaction to packet loss and ECN marks is also modified to be less aggressive, compared to classic congestion control algorithms.</w:t>
      </w:r>
      <w:r w:rsidR="008334D0">
        <w:t xml:space="preserve"> To accurately estimate the bottleneck bandwidth, BBRv2 periodically sends data at a high rate (thank the estimated bottleneck bandwidth) to probe the network for the maximum throughput. BBRv2 also tracks the data that is sent and received during a RTT cycle. </w:t>
      </w:r>
    </w:p>
    <w:p w14:paraId="048A9F04" w14:textId="2F3869C0" w:rsidR="008334D0" w:rsidRDefault="008334D0" w:rsidP="00434452">
      <w:r>
        <w:lastRenderedPageBreak/>
        <w:t xml:space="preserve">The </w:t>
      </w:r>
      <w:r w:rsidR="0096182B">
        <w:t xml:space="preserve">ECN mechanism is also modified in L4S. The default reaction to an ECN mark is to treat it as an equivalent to a packet loss. This is no more the case in L4S, which allows the network to signal the start of congestion more frequently without the risk of messing up the connection’s bandwidth. This change requires the identification of L4S connections by the network. The ECT code point is used for this purpose. When set to 1, the network identifies </w:t>
      </w:r>
      <w:r w:rsidR="00A51C10">
        <w:t>the sender as L4S capable and deploys the fine-tuned congestion notification mechanism.</w:t>
      </w:r>
    </w:p>
    <w:p w14:paraId="7F802511" w14:textId="49B021FB" w:rsidR="00A51C10" w:rsidRDefault="00A51C10" w:rsidP="00434452">
      <w:r>
        <w:t>Finally, the queue management approach closes the loop for L4S. RFC9332</w:t>
      </w:r>
      <w:r w:rsidR="00735E18">
        <w:t xml:space="preserve"> [3]</w:t>
      </w:r>
      <w:r>
        <w:t xml:space="preserve"> defines one such management approach, the Dual Queue Coupled Active Queue Management, which in essence separates the L4S and non-L4S traffic into two separate queues for differentiated latency treatment and ECN marking. The available bandwidth is still shared among both queues though through the coupling mechanism.</w:t>
      </w:r>
    </w:p>
    <w:p w14:paraId="3ED479F1" w14:textId="3F31A293" w:rsidR="00A51C10" w:rsidRDefault="00A51C10" w:rsidP="00A51C10">
      <w:pPr>
        <w:pStyle w:val="Heading1"/>
        <w:numPr>
          <w:ilvl w:val="0"/>
          <w:numId w:val="3"/>
        </w:numPr>
      </w:pPr>
      <w:r>
        <w:t>L4S for Advanced Media Delivery</w:t>
      </w:r>
    </w:p>
    <w:p w14:paraId="488676C8" w14:textId="004E5901" w:rsidR="004F30A9" w:rsidRDefault="00A51C10" w:rsidP="00434452">
      <w:r>
        <w:t xml:space="preserve">L4S was introduced in Rel-18 as part of 5G Advanced to 3GPP. TS29.514 </w:t>
      </w:r>
      <w:r w:rsidR="00735E18">
        <w:t xml:space="preserve">[4] </w:t>
      </w:r>
      <w:r>
        <w:t xml:space="preserve">enhanced the </w:t>
      </w:r>
      <w:proofErr w:type="spellStart"/>
      <w:r>
        <w:t>Npcf_PolicyAuthorization</w:t>
      </w:r>
      <w:proofErr w:type="spellEnd"/>
      <w:r>
        <w:t xml:space="preserve"> service with the tools to indicate the support </w:t>
      </w:r>
      <w:r w:rsidR="004D13E0">
        <w:t>of ECN marking for</w:t>
      </w:r>
      <w:r>
        <w:t xml:space="preserve"> L4S</w:t>
      </w:r>
      <w:r w:rsidR="004D13E0">
        <w:t>.</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6"/>
        <w:gridCol w:w="1807"/>
        <w:gridCol w:w="362"/>
        <w:gridCol w:w="1174"/>
        <w:gridCol w:w="3283"/>
        <w:gridCol w:w="1413"/>
      </w:tblGrid>
      <w:tr w:rsidR="004D13E0" w:rsidRPr="008D3189" w14:paraId="79E66D9F" w14:textId="77777777" w:rsidTr="0096026A">
        <w:trPr>
          <w:cantSplit/>
          <w:jc w:val="center"/>
        </w:trPr>
        <w:tc>
          <w:tcPr>
            <w:tcW w:w="1609" w:type="dxa"/>
          </w:tcPr>
          <w:p w14:paraId="79B0CFBF" w14:textId="77777777" w:rsidR="004D13E0" w:rsidRDefault="004D13E0" w:rsidP="0096026A">
            <w:pPr>
              <w:pStyle w:val="TAL"/>
            </w:pPr>
            <w:r>
              <w:rPr>
                <w:lang w:eastAsia="zh-CN"/>
              </w:rPr>
              <w:t>l4sInd</w:t>
            </w:r>
          </w:p>
        </w:tc>
        <w:tc>
          <w:tcPr>
            <w:tcW w:w="1800" w:type="dxa"/>
          </w:tcPr>
          <w:p w14:paraId="0F1EC3E8" w14:textId="77777777" w:rsidR="004D13E0" w:rsidRDefault="004D13E0" w:rsidP="0096026A">
            <w:pPr>
              <w:pStyle w:val="TAL"/>
              <w:rPr>
                <w:lang w:eastAsia="zh-CN"/>
              </w:rPr>
            </w:pPr>
            <w:proofErr w:type="spellStart"/>
            <w:r>
              <w:t>UplinkDownlinkSupport</w:t>
            </w:r>
            <w:proofErr w:type="spellEnd"/>
          </w:p>
        </w:tc>
        <w:tc>
          <w:tcPr>
            <w:tcW w:w="361" w:type="dxa"/>
          </w:tcPr>
          <w:p w14:paraId="2A4E55F4" w14:textId="77777777" w:rsidR="004D13E0" w:rsidRDefault="004D13E0" w:rsidP="0096026A">
            <w:pPr>
              <w:pStyle w:val="TAC"/>
              <w:rPr>
                <w:lang w:eastAsia="zh-CN"/>
              </w:rPr>
            </w:pPr>
            <w:r>
              <w:rPr>
                <w:lang w:eastAsia="zh-CN"/>
              </w:rPr>
              <w:t>O</w:t>
            </w:r>
          </w:p>
        </w:tc>
        <w:tc>
          <w:tcPr>
            <w:tcW w:w="1170" w:type="dxa"/>
          </w:tcPr>
          <w:p w14:paraId="1A442DBC" w14:textId="77777777" w:rsidR="004D13E0" w:rsidRDefault="004D13E0" w:rsidP="0096026A">
            <w:pPr>
              <w:pStyle w:val="TAC"/>
              <w:rPr>
                <w:lang w:eastAsia="zh-CN"/>
              </w:rPr>
            </w:pPr>
            <w:r>
              <w:rPr>
                <w:lang w:eastAsia="zh-CN"/>
              </w:rPr>
              <w:t>0..1</w:t>
            </w:r>
          </w:p>
        </w:tc>
        <w:tc>
          <w:tcPr>
            <w:tcW w:w="3271" w:type="dxa"/>
          </w:tcPr>
          <w:p w14:paraId="449B52B3" w14:textId="77777777" w:rsidR="004D13E0" w:rsidRDefault="004D13E0" w:rsidP="0096026A">
            <w:pPr>
              <w:pStyle w:val="TAL"/>
            </w:pPr>
            <w:r>
              <w:t>Indicates whether ECN marking for L4S support is supported for the UL, the DL or both, UL and DL.</w:t>
            </w:r>
          </w:p>
          <w:p w14:paraId="15C068DC" w14:textId="77777777" w:rsidR="004D13E0" w:rsidRDefault="004D13E0" w:rsidP="0096026A">
            <w:pPr>
              <w:pStyle w:val="TAL"/>
            </w:pPr>
            <w:r>
              <w:t>(</w:t>
            </w:r>
            <w:r w:rsidRPr="000A0A5F">
              <w:t>NOTE</w:t>
            </w:r>
            <w:r>
              <w:t> 3)</w:t>
            </w:r>
          </w:p>
        </w:tc>
        <w:tc>
          <w:tcPr>
            <w:tcW w:w="1408" w:type="dxa"/>
          </w:tcPr>
          <w:p w14:paraId="11836C82" w14:textId="77777777" w:rsidR="004D13E0" w:rsidRPr="008D3189" w:rsidRDefault="004D13E0" w:rsidP="0096026A">
            <w:pPr>
              <w:pStyle w:val="TAL"/>
              <w:rPr>
                <w:lang w:val="en-US"/>
              </w:rPr>
            </w:pPr>
            <w:r>
              <w:rPr>
                <w:lang w:val="en-US"/>
              </w:rPr>
              <w:t>L4S</w:t>
            </w:r>
          </w:p>
        </w:tc>
      </w:tr>
    </w:tbl>
    <w:p w14:paraId="23716B52" w14:textId="77777777" w:rsidR="004D13E0" w:rsidRDefault="004D13E0" w:rsidP="00434452"/>
    <w:p w14:paraId="2327D0F2" w14:textId="3AE6FD50" w:rsidR="004D13E0" w:rsidRDefault="004D13E0" w:rsidP="00434452">
      <w:r>
        <w:t xml:space="preserve">The indication is supported at </w:t>
      </w:r>
      <w:proofErr w:type="spellStart"/>
      <w:r>
        <w:t>MediaComponent</w:t>
      </w:r>
      <w:proofErr w:type="spellEnd"/>
      <w:r>
        <w:t xml:space="preserve"> and </w:t>
      </w:r>
      <w:proofErr w:type="spellStart"/>
      <w:r>
        <w:t>MediaSubComponent</w:t>
      </w:r>
      <w:proofErr w:type="spellEnd"/>
      <w:r>
        <w:t xml:space="preserve"> levels, which provides high flexibility on its usage.</w:t>
      </w:r>
    </w:p>
    <w:p w14:paraId="17DC01E9" w14:textId="179D390F" w:rsidR="004D13E0" w:rsidRDefault="004D13E0" w:rsidP="00434452">
      <w:r>
        <w:t>Media delivery applications in the 5G Media Delivery architecture may then leverage L4S by appropriately implementing the L4S ECN handling and congestion control mechanisms.</w:t>
      </w:r>
    </w:p>
    <w:p w14:paraId="748718AB" w14:textId="23EC70EA" w:rsidR="004D13E0" w:rsidRPr="007740CD" w:rsidRDefault="004D13E0" w:rsidP="00434452">
      <w:r>
        <w:t>This feature should be beneficial to all types of media delivery, real-time and streaming and should be enabled consistently as part of 5G Media Delivery.</w:t>
      </w:r>
    </w:p>
    <w:p w14:paraId="613FE5E7" w14:textId="779255CF" w:rsidR="00090904" w:rsidRDefault="00090904" w:rsidP="00090904">
      <w:pPr>
        <w:pStyle w:val="Heading1"/>
        <w:numPr>
          <w:ilvl w:val="0"/>
          <w:numId w:val="3"/>
        </w:numPr>
      </w:pPr>
      <w:r>
        <w:t>Proposal</w:t>
      </w:r>
    </w:p>
    <w:p w14:paraId="43F2D1A6" w14:textId="37179370" w:rsidR="00090904" w:rsidRDefault="00090904" w:rsidP="007F6DA5">
      <w:pPr>
        <w:rPr>
          <w:lang w:val="en-US"/>
        </w:rPr>
      </w:pPr>
      <w:r>
        <w:rPr>
          <w:lang w:val="en-US"/>
        </w:rPr>
        <w:t>We propose</w:t>
      </w:r>
      <w:bookmarkEnd w:id="0"/>
      <w:r w:rsidR="00B03ACC">
        <w:rPr>
          <w:lang w:val="en-US"/>
        </w:rPr>
        <w:t xml:space="preserve"> to </w:t>
      </w:r>
      <w:r w:rsidR="004D13E0">
        <w:rPr>
          <w:lang w:val="en-US"/>
        </w:rPr>
        <w:t>document the content of section 2 and work based on the information in section 3 on adding L4S support to 5G Media Delivery</w:t>
      </w:r>
      <w:r w:rsidR="00B03ACC">
        <w:rPr>
          <w:lang w:val="en-US"/>
        </w:rPr>
        <w:t>.</w:t>
      </w:r>
    </w:p>
    <w:p w14:paraId="1526C20B" w14:textId="522E3E67" w:rsidR="004D13E0" w:rsidRDefault="004D13E0" w:rsidP="004D13E0">
      <w:pPr>
        <w:pStyle w:val="Heading1"/>
        <w:numPr>
          <w:ilvl w:val="0"/>
          <w:numId w:val="3"/>
        </w:numPr>
      </w:pPr>
      <w:r>
        <w:t>References</w:t>
      </w:r>
    </w:p>
    <w:p w14:paraId="0567EE64" w14:textId="60384560" w:rsidR="004D13E0" w:rsidRPr="0016542A" w:rsidRDefault="004D13E0" w:rsidP="0016542A">
      <w:r>
        <w:rPr>
          <w:lang w:val="en-US"/>
        </w:rPr>
        <w:t>[1]</w:t>
      </w:r>
      <w:r>
        <w:rPr>
          <w:lang w:val="en-US"/>
        </w:rPr>
        <w:tab/>
      </w:r>
      <w:r>
        <w:rPr>
          <w:lang w:val="en-US"/>
        </w:rPr>
        <w:tab/>
        <w:t>IETF RFC 9330</w:t>
      </w:r>
      <w:r w:rsidR="0016542A">
        <w:rPr>
          <w:lang w:val="en-US"/>
        </w:rPr>
        <w:t xml:space="preserve">, </w:t>
      </w:r>
      <w:r w:rsidR="0016542A" w:rsidRPr="0016542A">
        <w:rPr>
          <w:lang w:val="en-US"/>
        </w:rPr>
        <w:t>Low Latency, Low Loss, and Scalable Throughput (L4S) Internet Service: Architecture</w:t>
      </w:r>
    </w:p>
    <w:p w14:paraId="7A15D9AD" w14:textId="05575EF5" w:rsidR="004D13E0" w:rsidRDefault="004D13E0" w:rsidP="004D13E0">
      <w:pPr>
        <w:rPr>
          <w:lang w:val="en-US"/>
        </w:rPr>
      </w:pPr>
      <w:r>
        <w:rPr>
          <w:lang w:val="en-US"/>
        </w:rPr>
        <w:t>[2]</w:t>
      </w:r>
      <w:r>
        <w:rPr>
          <w:lang w:val="en-US"/>
        </w:rPr>
        <w:tab/>
      </w:r>
      <w:r>
        <w:rPr>
          <w:lang w:val="en-US"/>
        </w:rPr>
        <w:tab/>
        <w:t>IETF RFC 9331</w:t>
      </w:r>
      <w:r w:rsidR="0016542A">
        <w:rPr>
          <w:lang w:val="en-US"/>
        </w:rPr>
        <w:t xml:space="preserve">, </w:t>
      </w:r>
      <w:r w:rsidR="0016542A" w:rsidRPr="0016542A">
        <w:rPr>
          <w:lang w:val="en-US"/>
        </w:rPr>
        <w:t>The Explicit Congestion Notification (ECN) Protocol for Low Latency, Low Loss, and Scalable Throughput (L4S)</w:t>
      </w:r>
    </w:p>
    <w:p w14:paraId="4C143CFF" w14:textId="1FD95886" w:rsidR="0016542A" w:rsidRDefault="0016542A" w:rsidP="004D13E0">
      <w:pPr>
        <w:rPr>
          <w:lang w:val="en-US"/>
        </w:rPr>
      </w:pPr>
      <w:r>
        <w:rPr>
          <w:lang w:val="en-US"/>
        </w:rPr>
        <w:t>[3]</w:t>
      </w:r>
      <w:r>
        <w:rPr>
          <w:lang w:val="en-US"/>
        </w:rPr>
        <w:tab/>
      </w:r>
      <w:r>
        <w:rPr>
          <w:lang w:val="en-US"/>
        </w:rPr>
        <w:tab/>
        <w:t xml:space="preserve">IETF RFC 9332, </w:t>
      </w:r>
      <w:r w:rsidRPr="0016542A">
        <w:rPr>
          <w:lang w:val="en-US"/>
        </w:rPr>
        <w:t>Dual-Queue Coupled Active Queue Management (AQM) for Low Latency, Low Loss, and Scalable Throughput (L4S)</w:t>
      </w:r>
    </w:p>
    <w:p w14:paraId="422330CC" w14:textId="77777777" w:rsidR="0016542A" w:rsidRPr="0016542A" w:rsidRDefault="0016542A" w:rsidP="0016542A">
      <w:r>
        <w:rPr>
          <w:lang w:val="en-US"/>
        </w:rPr>
        <w:lastRenderedPageBreak/>
        <w:t>[4]</w:t>
      </w:r>
      <w:r>
        <w:rPr>
          <w:lang w:val="en-US"/>
        </w:rPr>
        <w:tab/>
      </w:r>
      <w:r>
        <w:rPr>
          <w:lang w:val="en-US"/>
        </w:rPr>
        <w:tab/>
        <w:t xml:space="preserve">3GPP TS 29.514, </w:t>
      </w:r>
      <w:r w:rsidRPr="0016542A">
        <w:rPr>
          <w:lang w:val="en-US"/>
        </w:rPr>
        <w:t>5G System; Policy Authorization Service;</w:t>
      </w:r>
      <w:r>
        <w:rPr>
          <w:lang w:val="en-US"/>
        </w:rPr>
        <w:t xml:space="preserve"> </w:t>
      </w:r>
      <w:r w:rsidRPr="0016542A">
        <w:rPr>
          <w:lang w:val="en-US"/>
        </w:rPr>
        <w:t>Stage 3</w:t>
      </w:r>
    </w:p>
    <w:p w14:paraId="193FE9A8" w14:textId="5B13EC82" w:rsidR="0016542A" w:rsidRPr="0016542A" w:rsidRDefault="0016542A" w:rsidP="004D13E0"/>
    <w:sectPr w:rsidR="0016542A" w:rsidRPr="0016542A"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9EF187" w14:textId="77777777" w:rsidR="00E234AC" w:rsidRDefault="00E234AC">
      <w:r>
        <w:separator/>
      </w:r>
    </w:p>
  </w:endnote>
  <w:endnote w:type="continuationSeparator" w:id="0">
    <w:p w14:paraId="540ECD5D" w14:textId="77777777" w:rsidR="00E234AC" w:rsidRDefault="00E23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84F74" w14:textId="77777777" w:rsidR="00E234AC" w:rsidRDefault="00E234AC">
      <w:r>
        <w:separator/>
      </w:r>
    </w:p>
  </w:footnote>
  <w:footnote w:type="continuationSeparator" w:id="0">
    <w:p w14:paraId="2EB0ED22" w14:textId="77777777" w:rsidR="00E234AC" w:rsidRDefault="00E23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D41D80" w14:textId="24BA6726" w:rsidR="002C0216" w:rsidRPr="007C550E" w:rsidRDefault="002C0216" w:rsidP="002C0216">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sidR="007964C0">
      <w:rPr>
        <w:b/>
        <w:noProof/>
        <w:sz w:val="24"/>
      </w:rPr>
      <w:t>9-2</w:t>
    </w:r>
    <w:r w:rsidRPr="007C550E">
      <w:rPr>
        <w:b/>
        <w:noProof/>
        <w:sz w:val="24"/>
      </w:rPr>
      <w:tab/>
    </w:r>
    <w:r>
      <w:rPr>
        <w:b/>
        <w:noProof/>
        <w:sz w:val="24"/>
      </w:rPr>
      <w:t>S4-24</w:t>
    </w:r>
    <w:r w:rsidR="00873CDC">
      <w:rPr>
        <w:b/>
        <w:noProof/>
        <w:sz w:val="24"/>
      </w:rPr>
      <w:t>1513</w:t>
    </w:r>
  </w:p>
  <w:p w14:paraId="3B56539F" w14:textId="05F0DAA9" w:rsidR="008075BF" w:rsidRPr="002D4668" w:rsidRDefault="007964C0" w:rsidP="002C0216">
    <w:pPr>
      <w:pStyle w:val="Header"/>
      <w:rPr>
        <w:sz w:val="24"/>
      </w:rPr>
    </w:pPr>
    <w:r>
      <w:rPr>
        <w:sz w:val="24"/>
      </w:rPr>
      <w:t>Online</w:t>
    </w:r>
    <w:r w:rsidR="002C0216">
      <w:rPr>
        <w:sz w:val="24"/>
      </w:rPr>
      <w:t xml:space="preserve">, </w:t>
    </w:r>
    <w:r w:rsidR="002C0216" w:rsidRPr="002D4668">
      <w:rPr>
        <w:sz w:val="24"/>
      </w:rPr>
      <w:fldChar w:fldCharType="begin"/>
    </w:r>
    <w:r w:rsidR="002C0216" w:rsidRPr="007C550E">
      <w:rPr>
        <w:sz w:val="24"/>
      </w:rPr>
      <w:instrText xml:space="preserve"> DOCPROPERTY  StartDate  \* MERGEFORMAT </w:instrText>
    </w:r>
    <w:r w:rsidR="002C0216" w:rsidRPr="002D4668">
      <w:rPr>
        <w:sz w:val="24"/>
      </w:rPr>
      <w:fldChar w:fldCharType="separate"/>
    </w:r>
    <w:r w:rsidR="002C0216" w:rsidRPr="00BA51D9">
      <w:rPr>
        <w:sz w:val="24"/>
      </w:rPr>
      <w:t xml:space="preserve"> </w:t>
    </w:r>
    <w:r w:rsidR="000B0888">
      <w:rPr>
        <w:sz w:val="24"/>
      </w:rPr>
      <w:t>August</w:t>
    </w:r>
    <w:r w:rsidR="002C0216" w:rsidRPr="002D4668">
      <w:rPr>
        <w:sz w:val="24"/>
      </w:rPr>
      <w:t xml:space="preserve"> </w:t>
    </w:r>
    <w:r w:rsidR="000B0888">
      <w:rPr>
        <w:sz w:val="24"/>
      </w:rPr>
      <w:t>19</w:t>
    </w:r>
    <w:r w:rsidR="002C0216" w:rsidRPr="000B0888">
      <w:rPr>
        <w:sz w:val="24"/>
        <w:vertAlign w:val="superscript"/>
      </w:rPr>
      <w:t>th</w:t>
    </w:r>
    <w:r w:rsidR="002C0216" w:rsidRPr="002D4668">
      <w:rPr>
        <w:sz w:val="24"/>
      </w:rPr>
      <w:t xml:space="preserve"> - 2</w:t>
    </w:r>
    <w:r w:rsidR="000B0888">
      <w:rPr>
        <w:sz w:val="24"/>
      </w:rPr>
      <w:t>3</w:t>
    </w:r>
    <w:r w:rsidR="002C0216" w:rsidRPr="000B0888">
      <w:rPr>
        <w:sz w:val="24"/>
        <w:vertAlign w:val="superscript"/>
      </w:rPr>
      <w:t>th</w:t>
    </w:r>
    <w:r w:rsidR="002C0216" w:rsidRPr="002D4668">
      <w:rPr>
        <w:sz w:val="24"/>
      </w:rPr>
      <w:t xml:space="preserve">, </w:t>
    </w:r>
    <w:r w:rsidR="002C0216">
      <w:rPr>
        <w:sz w:val="24"/>
      </w:rPr>
      <w:t>202</w:t>
    </w:r>
    <w:r w:rsidR="002C0216" w:rsidRPr="002D4668">
      <w:rPr>
        <w:sz w:val="24"/>
      </w:rPr>
      <w:fldChar w:fldCharType="end"/>
    </w:r>
    <w:r w:rsidR="002C0216">
      <w:rPr>
        <w:sz w:val="24"/>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0B81D2D"/>
    <w:multiLevelType w:val="hybridMultilevel"/>
    <w:tmpl w:val="D8C0E9F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6"/>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3"/>
  </w:num>
  <w:num w:numId="20" w16cid:durableId="69009680">
    <w:abstractNumId w:val="14"/>
  </w:num>
  <w:num w:numId="21" w16cid:durableId="1903441439">
    <w:abstractNumId w:val="14"/>
  </w:num>
  <w:num w:numId="22" w16cid:durableId="168373479">
    <w:abstractNumId w:val="14"/>
  </w:num>
  <w:num w:numId="23" w16cid:durableId="1493834802">
    <w:abstractNumId w:val="14"/>
  </w:num>
  <w:num w:numId="24" w16cid:durableId="1755974918">
    <w:abstractNumId w:val="14"/>
  </w:num>
  <w:num w:numId="25" w16cid:durableId="829950102">
    <w:abstractNumId w:val="5"/>
  </w:num>
  <w:num w:numId="26" w16cid:durableId="406459072">
    <w:abstractNumId w:val="17"/>
  </w:num>
  <w:num w:numId="27" w16cid:durableId="486097489">
    <w:abstractNumId w:val="15"/>
  </w:num>
  <w:num w:numId="28" w16cid:durableId="363756156">
    <w:abstractNumId w:val="14"/>
  </w:num>
  <w:num w:numId="29" w16cid:durableId="149441795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0888"/>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42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3313"/>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452"/>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3E0"/>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0A9"/>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18ED"/>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1F17"/>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539"/>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35E18"/>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4C0"/>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4D0"/>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3CDC"/>
    <w:rsid w:val="008754FA"/>
    <w:rsid w:val="00880FF9"/>
    <w:rsid w:val="00883B8D"/>
    <w:rsid w:val="00885239"/>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5BC4"/>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82B"/>
    <w:rsid w:val="00961D1A"/>
    <w:rsid w:val="009623C9"/>
    <w:rsid w:val="00963825"/>
    <w:rsid w:val="0096507E"/>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1C1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34AC"/>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87A"/>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03AD46D1-6070-4323-9D95-FE471B10C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styleId="PlaceholderText">
    <w:name w:val="Placeholder Text"/>
    <w:basedOn w:val="DefaultParagraphFont"/>
    <w:uiPriority w:val="99"/>
    <w:unhideWhenUsed/>
    <w:rsid w:val="00434452"/>
    <w:rPr>
      <w:color w:val="666666"/>
    </w:rPr>
  </w:style>
  <w:style w:type="character" w:customStyle="1" w:styleId="TALChar">
    <w:name w:val="TAL Char"/>
    <w:qFormat/>
    <w:rsid w:val="004D13E0"/>
    <w:rPr>
      <w:rFonts w:ascii="Arial" w:hAnsi="Arial"/>
      <w:sz w:val="18"/>
      <w:lang w:eastAsia="en-US"/>
    </w:rPr>
  </w:style>
  <w:style w:type="character" w:customStyle="1" w:styleId="TACChar">
    <w:name w:val="TAC Char"/>
    <w:link w:val="TAC"/>
    <w:qFormat/>
    <w:rsid w:val="004D13E0"/>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148</TotalTime>
  <Pages>3</Pages>
  <Words>675</Words>
  <Characters>3849</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7</cp:revision>
  <dcterms:created xsi:type="dcterms:W3CDTF">2022-11-08T17:11:00Z</dcterms:created>
  <dcterms:modified xsi:type="dcterms:W3CDTF">2024-08-13T21:29:00Z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