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07CA9412"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BE6034">
        <w:rPr>
          <w:rFonts w:ascii="Arial" w:hAnsi="Arial" w:cs="Arial"/>
          <w:szCs w:val="24"/>
          <w:lang w:val="en-US" w:eastAsia="ja-JP"/>
        </w:rPr>
        <w:t>9.1</w:t>
      </w:r>
      <w:r w:rsidR="0033324B">
        <w:rPr>
          <w:rFonts w:ascii="Arial" w:hAnsi="Arial" w:cs="Arial"/>
          <w:szCs w:val="24"/>
          <w:lang w:val="en-US" w:eastAsia="ja-JP"/>
        </w:rPr>
        <w:t>0</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100219B9"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BE6034">
        <w:rPr>
          <w:rFonts w:ascii="Arial" w:hAnsi="Arial" w:cs="Arial"/>
          <w:b/>
          <w:szCs w:val="24"/>
          <w:lang w:val="en-US" w:eastAsia="ja-JP"/>
        </w:rPr>
        <w:t>FS_AVATAR</w:t>
      </w:r>
      <w:r w:rsidR="00DF7631">
        <w:rPr>
          <w:rFonts w:ascii="Arial" w:hAnsi="Arial" w:cs="Arial"/>
          <w:b/>
          <w:szCs w:val="24"/>
          <w:lang w:val="en-US" w:eastAsia="ja-JP"/>
        </w:rPr>
        <w:t>]</w:t>
      </w:r>
      <w:r w:rsidR="00BE6034">
        <w:rPr>
          <w:rFonts w:ascii="Arial" w:hAnsi="Arial" w:cs="Arial"/>
          <w:b/>
          <w:szCs w:val="24"/>
          <w:lang w:val="en-US" w:eastAsia="ja-JP"/>
        </w:rPr>
        <w:t xml:space="preserve"> </w:t>
      </w:r>
      <w:r w:rsidR="001A2158">
        <w:rPr>
          <w:rFonts w:ascii="Arial" w:hAnsi="Arial" w:cs="Arial"/>
          <w:b/>
          <w:szCs w:val="24"/>
          <w:lang w:val="en-US" w:eastAsia="ja-JP"/>
        </w:rPr>
        <w:t>Facial and Body Animation</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5091747F" w:rsidR="00B20D7B" w:rsidRPr="00AB234E" w:rsidRDefault="0083671E" w:rsidP="00AB234E">
      <w:pPr>
        <w:rPr>
          <w:lang w:val="en-US"/>
        </w:rPr>
      </w:pPr>
      <w:r>
        <w:rPr>
          <w:lang w:val="en-US"/>
        </w:rPr>
        <w:t xml:space="preserve">In this contribution, we </w:t>
      </w:r>
      <w:r w:rsidR="001A2158">
        <w:rPr>
          <w:lang w:val="en-US"/>
        </w:rPr>
        <w:t>describe classical approaches for facial and body animation for Avatars</w:t>
      </w:r>
      <w:r w:rsidR="00B20D7B">
        <w:rPr>
          <w:lang w:val="en-US"/>
        </w:rPr>
        <w:t>.</w:t>
      </w:r>
    </w:p>
    <w:p w14:paraId="3551B604" w14:textId="017CCDFB" w:rsidR="00F108B7" w:rsidRDefault="001A2158" w:rsidP="00F108B7">
      <w:pPr>
        <w:pStyle w:val="Heading1"/>
        <w:numPr>
          <w:ilvl w:val="0"/>
          <w:numId w:val="3"/>
        </w:numPr>
      </w:pPr>
      <w:r>
        <w:t>Facial Animation</w:t>
      </w:r>
    </w:p>
    <w:p w14:paraId="16585789" w14:textId="0BF8100F" w:rsidR="007740CD" w:rsidRDefault="001A2158" w:rsidP="001A2158">
      <w:r>
        <w:t>Humans are very sensitive to details of human faces as changes in facial form and motion are used as social cues. Facial expressions are affected by human emotions and convey a meaning. The facial anatomy is a complex structure that contains several layers of materials such as skin, muscles, and bones.</w:t>
      </w:r>
    </w:p>
    <w:p w14:paraId="32A18EA3" w14:textId="4B44E56B" w:rsidR="00A64483" w:rsidRDefault="001A2158" w:rsidP="001A2158">
      <w:r>
        <w:t xml:space="preserve">The first 3D parametric facial model that enables facial animation using a few parameters was designed in the 70s. </w:t>
      </w:r>
      <w:r w:rsidR="00A64483">
        <w:t xml:space="preserve">The Facial Action Coding System (FACS), which was developed in 1978, established a description of the movements of the facial muscles, jaw, and tongue that is derived from an analysis of the facial anatomy. FACS includes 44 independent base actions, which can then be combined to generate the desired facial expression. </w:t>
      </w:r>
    </w:p>
    <w:p w14:paraId="47ABE41E" w14:textId="66992803" w:rsidR="00A64483" w:rsidRDefault="00A64483" w:rsidP="00A64483">
      <w:pPr>
        <w:tabs>
          <w:tab w:val="left" w:pos="6153"/>
        </w:tabs>
      </w:pPr>
      <w:r>
        <w:t>The following table depicts a subset of these action units:</w:t>
      </w:r>
      <w:r>
        <w:tab/>
      </w:r>
    </w:p>
    <w:p w14:paraId="1CB2AB6A" w14:textId="17FAD9B8" w:rsidR="00A64483" w:rsidRDefault="00A64483" w:rsidP="00A64483">
      <w:pPr>
        <w:tabs>
          <w:tab w:val="left" w:pos="6153"/>
        </w:tabs>
      </w:pPr>
      <w:r w:rsidRPr="00A64483">
        <w:drawing>
          <wp:inline distT="0" distB="0" distL="0" distR="0" wp14:anchorId="0D7F3672" wp14:editId="572AD193">
            <wp:extent cx="6153785" cy="1457960"/>
            <wp:effectExtent l="0" t="0" r="0" b="8890"/>
            <wp:docPr id="5" name="Picture 4" descr="A list of different types of facial featu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list of different types of facial features&#10;&#10;Description automatically generated"/>
                    <pic:cNvPicPr>
                      <a:picLocks noChangeAspect="1"/>
                    </pic:cNvPicPr>
                  </pic:nvPicPr>
                  <pic:blipFill>
                    <a:blip r:embed="rId11"/>
                    <a:stretch>
                      <a:fillRect/>
                    </a:stretch>
                  </pic:blipFill>
                  <pic:spPr>
                    <a:xfrm>
                      <a:off x="0" y="0"/>
                      <a:ext cx="6153785" cy="1457960"/>
                    </a:xfrm>
                    <a:prstGeom prst="rect">
                      <a:avLst/>
                    </a:prstGeom>
                  </pic:spPr>
                </pic:pic>
              </a:graphicData>
            </a:graphic>
          </wp:inline>
        </w:drawing>
      </w:r>
    </w:p>
    <w:p w14:paraId="6C180626" w14:textId="0F927A84" w:rsidR="001A2158" w:rsidRDefault="00A64483" w:rsidP="001A2158">
      <w:r>
        <w:t>The following table shows how a specific expression can be generated through combining some action units:</w:t>
      </w:r>
    </w:p>
    <w:p w14:paraId="6E73AFBD" w14:textId="0255F851" w:rsidR="00A64483" w:rsidRDefault="00A64483" w:rsidP="001A2158">
      <w:r w:rsidRPr="00A64483">
        <w:lastRenderedPageBreak/>
        <w:drawing>
          <wp:inline distT="0" distB="0" distL="0" distR="0" wp14:anchorId="3723DB6C" wp14:editId="2FE643CC">
            <wp:extent cx="6153785" cy="2383790"/>
            <wp:effectExtent l="0" t="0" r="0" b="0"/>
            <wp:docPr id="7" name="Picture 6" descr="A table with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table with text and numbers&#10;&#10;Description automatically generated"/>
                    <pic:cNvPicPr>
                      <a:picLocks noChangeAspect="1"/>
                    </pic:cNvPicPr>
                  </pic:nvPicPr>
                  <pic:blipFill>
                    <a:blip r:embed="rId12"/>
                    <a:stretch>
                      <a:fillRect/>
                    </a:stretch>
                  </pic:blipFill>
                  <pic:spPr>
                    <a:xfrm>
                      <a:off x="0" y="0"/>
                      <a:ext cx="6153785" cy="2383790"/>
                    </a:xfrm>
                    <a:prstGeom prst="rect">
                      <a:avLst/>
                    </a:prstGeom>
                  </pic:spPr>
                </pic:pic>
              </a:graphicData>
            </a:graphic>
          </wp:inline>
        </w:drawing>
      </w:r>
    </w:p>
    <w:p w14:paraId="23E9FB9D" w14:textId="3753B8E3" w:rsidR="00A64483" w:rsidRDefault="001E4180" w:rsidP="001A2158">
      <w:r>
        <w:t xml:space="preserve">This system is still widely used for muscle-based facial animations. However, it suffers from the fact that it can only describe localized actions, contrary to real facial expressions which follow global patterns. It also lacks support for temporal description of the actions. </w:t>
      </w:r>
    </w:p>
    <w:p w14:paraId="446B75AE" w14:textId="39005355" w:rsidR="001E4180" w:rsidRDefault="001E4180" w:rsidP="001A2158">
      <w:r>
        <w:t>Blend shapes were introduced to mitigate some of these shortcomings. Blend shapes are a set of geometrical models, which can be used to create the desired facial expression through interpolation of the blend shapes. The following figure shows the interpolation equation for blend shapes:</w:t>
      </w:r>
    </w:p>
    <w:p w14:paraId="67DEC8BD" w14:textId="5452A368" w:rsidR="001E4180" w:rsidRDefault="001E4180" w:rsidP="001A2158">
      <w:r w:rsidRPr="001E4180">
        <w:rPr>
          <w:lang w:val="en-US"/>
        </w:rPr>
        <w:object w:dxaOrig="4155" w:dyaOrig="1980" w14:anchorId="487A6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9pt;height:76.9pt" o:ole="">
            <v:imagedata r:id="rId13" o:title=""/>
          </v:shape>
          <o:OLEObject Type="Embed" ProgID="Unknown" ShapeID="_x0000_i1025" DrawAspect="Content" ObjectID="_1767509752" r:id="rId14"/>
        </w:object>
      </w:r>
    </w:p>
    <w:p w14:paraId="17FCCB13" w14:textId="493ED32C" w:rsidR="001E4180" w:rsidRDefault="001E4180" w:rsidP="001A2158">
      <w:r>
        <w:t xml:space="preserve">B_kj is a matrix that provides the position of vertex j of blend shape k and w_k provides the weight assigned to that blend shape. The result of this interpolation is the actual position of that vertex </w:t>
      </w:r>
      <w:r w:rsidR="00C752AB">
        <w:t>v</w:t>
      </w:r>
      <w:r>
        <w:t>_j</w:t>
      </w:r>
      <w:r w:rsidR="00C752AB">
        <w:t>.</w:t>
      </w:r>
    </w:p>
    <w:p w14:paraId="40F2F9B5" w14:textId="36A2C1D4" w:rsidR="00C752AB" w:rsidRDefault="00C752AB" w:rsidP="001A2158">
      <w:r>
        <w:t>The following figure shows an example of a face in the neutral expression (left) and the face after applying the interpolation for desired facial expressions (right two).</w:t>
      </w:r>
    </w:p>
    <w:p w14:paraId="666346A1" w14:textId="7E6C6ECE" w:rsidR="00C752AB" w:rsidRDefault="00C752AB" w:rsidP="001A2158">
      <w:r>
        <w:rPr>
          <w:noProof/>
        </w:rPr>
        <w:drawing>
          <wp:inline distT="0" distB="0" distL="0" distR="0" wp14:anchorId="39B5392E" wp14:editId="51A45316">
            <wp:extent cx="4395470" cy="1835150"/>
            <wp:effectExtent l="133350" t="133350" r="119380" b="165100"/>
            <wp:docPr id="1536764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alphaModFix/>
                      <a:extLst>
                        <a:ext uri="{28A0092B-C50C-407E-A947-70E740481C1C}">
                          <a14:useLocalDpi xmlns:a14="http://schemas.microsoft.com/office/drawing/2010/main" val="0"/>
                        </a:ext>
                      </a:extLst>
                    </a:blip>
                    <a:srcRect/>
                    <a:stretch>
                      <a:fillRect/>
                    </a:stretch>
                  </pic:blipFill>
                  <pic:spPr bwMode="auto">
                    <a:xfrm>
                      <a:off x="0" y="0"/>
                      <a:ext cx="4395470" cy="183515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338AD7F0" w14:textId="384F6EE7" w:rsidR="005B236B" w:rsidRDefault="005B236B" w:rsidP="001A2158">
      <w:r>
        <w:lastRenderedPageBreak/>
        <w:t>An optimization operation is performed to design the blend shapes and the associated weight ranges to mimic human facial expressions as closely as possible.</w:t>
      </w:r>
    </w:p>
    <w:p w14:paraId="2D080741" w14:textId="20D30C03" w:rsidR="005B236B" w:rsidRDefault="005B236B" w:rsidP="001A2158">
      <w:r>
        <w:t>More advanced usages of the blend shape approach introduce non-linear blending (e.g. using 2</w:t>
      </w:r>
      <w:r w:rsidRPr="005B236B">
        <w:rPr>
          <w:vertAlign w:val="superscript"/>
        </w:rPr>
        <w:t>nd</w:t>
      </w:r>
      <w:r>
        <w:t xml:space="preserve"> or 3</w:t>
      </w:r>
      <w:r w:rsidRPr="005B236B">
        <w:rPr>
          <w:vertAlign w:val="superscript"/>
        </w:rPr>
        <w:t>rd</w:t>
      </w:r>
      <w:r>
        <w:t xml:space="preserve"> order polynomials) rather than the linear interpolation approach to add support for natural animations that follow a curve pattern.</w:t>
      </w:r>
    </w:p>
    <w:p w14:paraId="0C4B0FD1" w14:textId="64936CBB" w:rsidR="00171DD4" w:rsidRDefault="00171DD4" w:rsidP="001A2158">
      <w:r>
        <w:t>R</w:t>
      </w:r>
      <w:r w:rsidR="005B236B">
        <w:t xml:space="preserve">ecent developments in this field rely heavily on the usage of </w:t>
      </w:r>
      <w:r>
        <w:t xml:space="preserve">deep learning approaches to generate the facial expressions. FLAME </w:t>
      </w:r>
      <w:r w:rsidR="00262DD6">
        <w:t xml:space="preserve">(Faces Learned from Articulated Model and Expressions) </w:t>
      </w:r>
      <w:r>
        <w:t xml:space="preserve">is one such approach that </w:t>
      </w:r>
      <w:r w:rsidR="00262DD6">
        <w:t>learns face modelling from a data set of 4D facial and head scans. FLAME is based on blend shapes for the animation but with learned weights. It also attempts to learn the based model from a single capture/image, which simplified the registration process for new users.</w:t>
      </w:r>
    </w:p>
    <w:p w14:paraId="13C444A4" w14:textId="793301D8" w:rsidR="005B236B" w:rsidRDefault="00171DD4" w:rsidP="001A2158">
      <w:r>
        <w:t xml:space="preserve">Gaussian Avatars being the most recent trend </w:t>
      </w:r>
      <w:r w:rsidR="00262DD6">
        <w:t xml:space="preserve">build on approaches like FLAME and aim at producing rendered views for a given pose and capture. </w:t>
      </w:r>
    </w:p>
    <w:p w14:paraId="3BA52641" w14:textId="13E51FA0" w:rsidR="00CB0773" w:rsidRDefault="00CB0773" w:rsidP="00CB0773">
      <w:pPr>
        <w:pStyle w:val="Heading1"/>
        <w:numPr>
          <w:ilvl w:val="0"/>
          <w:numId w:val="3"/>
        </w:numPr>
      </w:pPr>
      <w:r>
        <w:t>Body Animation</w:t>
      </w:r>
    </w:p>
    <w:p w14:paraId="545EA357" w14:textId="2EF64DFF" w:rsidR="00CB0773" w:rsidRDefault="00891B52" w:rsidP="00CB0773">
      <w:pPr>
        <w:rPr>
          <w:lang w:val="en-US"/>
        </w:rPr>
      </w:pPr>
      <w:r>
        <w:rPr>
          <w:lang w:val="en-US"/>
        </w:rPr>
        <w:t xml:space="preserve">Body animation attempts to reproduce the body pose and motion in a natural manner. The movements of the animated Avatar must appear to be natural to the human observer, so for example, an elbow that bends in the wrong direction would appear very strange to the viewer. </w:t>
      </w:r>
    </w:p>
    <w:p w14:paraId="2203A5A3" w14:textId="64C60C44" w:rsidR="007120A5" w:rsidRDefault="007120A5" w:rsidP="00CB0773">
      <w:pPr>
        <w:rPr>
          <w:lang w:val="en-US"/>
        </w:rPr>
      </w:pPr>
      <w:r>
        <w:rPr>
          <w:lang w:val="en-US"/>
        </w:rPr>
        <w:t>Most approaches rely on the skinning of the Avatar as trying to determine the position of each verte</w:t>
      </w:r>
      <w:r w:rsidR="00B62603">
        <w:rPr>
          <w:lang w:val="en-US"/>
        </w:rPr>
        <w:t>x</w:t>
      </w:r>
      <w:r>
        <w:rPr>
          <w:lang w:val="en-US"/>
        </w:rPr>
        <w:t xml:space="preserve"> of the body mesh independently would be impractical. Skinning relies on the presence of an internal/invisible articulated skeleton and a rigging approach that establishes a mapping between a vertex in the mesh and the associated joint in the skeleton. </w:t>
      </w:r>
      <w:r w:rsidR="00B62603">
        <w:rPr>
          <w:lang w:val="en-US"/>
        </w:rPr>
        <w:t>An articulated skeleton is a collection of links connected by joints in a hierarchical structure. The joint angles define the pose of the skeleton. So to animate the body, the joint angles are changed and applied hierarchically as a cascaded set of transforms to determine the position of each vertex on the rigged mesh.</w:t>
      </w:r>
    </w:p>
    <w:p w14:paraId="76C6D23E" w14:textId="14C03E0A" w:rsidR="00B62603" w:rsidRDefault="00B62603" w:rsidP="00CB0773">
      <w:pPr>
        <w:rPr>
          <w:lang w:val="en-US"/>
        </w:rPr>
      </w:pPr>
      <w:r>
        <w:rPr>
          <w:lang w:val="en-US"/>
        </w:rPr>
        <w:t>The following figure depicts such a mesh and skeleton of the Avatar:</w:t>
      </w:r>
    </w:p>
    <w:p w14:paraId="31F1FB59" w14:textId="0FA8B36A" w:rsidR="00B62603" w:rsidRDefault="00B62603" w:rsidP="00CB0773">
      <w:pPr>
        <w:rPr>
          <w:lang w:val="en-US"/>
        </w:rPr>
      </w:pPr>
      <w:r w:rsidRPr="00B62603">
        <w:rPr>
          <w:lang w:val="en-US"/>
        </w:rPr>
        <w:lastRenderedPageBreak/>
        <w:drawing>
          <wp:inline distT="0" distB="0" distL="0" distR="0" wp14:anchorId="55F790C5" wp14:editId="574AEF3A">
            <wp:extent cx="2585651" cy="3174299"/>
            <wp:effectExtent l="0" t="0" r="5715" b="7620"/>
            <wp:docPr id="2109243411" name="Picture 1" descr="A wireframe of a person with arms spread ou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243411" name="Picture 1" descr="A wireframe of a person with arms spread out&#10;&#10;Description automatically generated"/>
                    <pic:cNvPicPr/>
                  </pic:nvPicPr>
                  <pic:blipFill>
                    <a:blip r:embed="rId16"/>
                    <a:stretch>
                      <a:fillRect/>
                    </a:stretch>
                  </pic:blipFill>
                  <pic:spPr>
                    <a:xfrm>
                      <a:off x="0" y="0"/>
                      <a:ext cx="2599046" cy="3190743"/>
                    </a:xfrm>
                    <a:prstGeom prst="rect">
                      <a:avLst/>
                    </a:prstGeom>
                  </pic:spPr>
                </pic:pic>
              </a:graphicData>
            </a:graphic>
          </wp:inline>
        </w:drawing>
      </w:r>
    </w:p>
    <w:p w14:paraId="25F5A8CF" w14:textId="74DBDE3D" w:rsidR="00B62603" w:rsidRDefault="00B62603" w:rsidP="00CB0773">
      <w:pPr>
        <w:rPr>
          <w:lang w:val="en-US"/>
        </w:rPr>
      </w:pPr>
      <w:r>
        <w:rPr>
          <w:lang w:val="en-US"/>
        </w:rPr>
        <w:t>The following figure depicts an example of the rigging process with hierarchical links and transformations to the associated vertices.</w:t>
      </w:r>
    </w:p>
    <w:p w14:paraId="2646148E" w14:textId="2AB3BAE4" w:rsidR="00B62603" w:rsidRPr="00CB0773" w:rsidRDefault="00B62603" w:rsidP="00CB0773">
      <w:pPr>
        <w:rPr>
          <w:lang w:val="en-US"/>
        </w:rPr>
      </w:pPr>
      <w:r w:rsidRPr="00B62603">
        <w:rPr>
          <w:lang w:val="en-US"/>
        </w:rPr>
        <w:drawing>
          <wp:inline distT="0" distB="0" distL="0" distR="0" wp14:anchorId="4C15994A" wp14:editId="08708F39">
            <wp:extent cx="6153785" cy="2684145"/>
            <wp:effectExtent l="0" t="0" r="0" b="1905"/>
            <wp:docPr id="2100399991" name="Picture 1" descr="A diagram of a child and par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399991" name="Picture 1" descr="A diagram of a child and parent&#10;&#10;Description automatically generated"/>
                    <pic:cNvPicPr/>
                  </pic:nvPicPr>
                  <pic:blipFill>
                    <a:blip r:embed="rId17"/>
                    <a:stretch>
                      <a:fillRect/>
                    </a:stretch>
                  </pic:blipFill>
                  <pic:spPr>
                    <a:xfrm>
                      <a:off x="0" y="0"/>
                      <a:ext cx="6153785" cy="2684145"/>
                    </a:xfrm>
                    <a:prstGeom prst="rect">
                      <a:avLst/>
                    </a:prstGeom>
                  </pic:spPr>
                </pic:pic>
              </a:graphicData>
            </a:graphic>
          </wp:inline>
        </w:drawing>
      </w:r>
    </w:p>
    <w:p w14:paraId="613FE5E7" w14:textId="779255CF" w:rsidR="00090904" w:rsidRDefault="00090904" w:rsidP="00090904">
      <w:pPr>
        <w:pStyle w:val="Heading1"/>
        <w:numPr>
          <w:ilvl w:val="0"/>
          <w:numId w:val="3"/>
        </w:numPr>
      </w:pPr>
      <w:r>
        <w:t>Proposal</w:t>
      </w:r>
    </w:p>
    <w:p w14:paraId="43F2D1A6" w14:textId="1FDDFEFE" w:rsidR="00090904" w:rsidRDefault="00090904" w:rsidP="007F6DA5">
      <w:pPr>
        <w:rPr>
          <w:lang w:val="en-US"/>
        </w:rPr>
      </w:pPr>
      <w:r>
        <w:rPr>
          <w:lang w:val="en-US"/>
        </w:rPr>
        <w:t>We propose</w:t>
      </w:r>
      <w:bookmarkEnd w:id="0"/>
      <w:r w:rsidR="00B03ACC">
        <w:rPr>
          <w:lang w:val="en-US"/>
        </w:rPr>
        <w:t xml:space="preserve"> to </w:t>
      </w:r>
      <w:r w:rsidR="00B62603">
        <w:rPr>
          <w:lang w:val="en-US"/>
        </w:rPr>
        <w:t>document the content of sections 2 and 3 in the Avatar TR26.813.</w:t>
      </w:r>
    </w:p>
    <w:sectPr w:rsidR="00090904" w:rsidSect="00AB76ED">
      <w:headerReference w:type="even" r:id="rId18"/>
      <w:headerReference w:type="default" r:id="rId19"/>
      <w:footerReference w:type="default" r:id="rId2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D3864" w14:textId="77777777" w:rsidR="00AB76ED" w:rsidRDefault="00AB76ED">
      <w:r>
        <w:separator/>
      </w:r>
    </w:p>
  </w:endnote>
  <w:endnote w:type="continuationSeparator" w:id="0">
    <w:p w14:paraId="5C25E9C6" w14:textId="77777777" w:rsidR="00AB76ED" w:rsidRDefault="00AB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335BF" w14:textId="77777777" w:rsidR="00AB76ED" w:rsidRDefault="00AB76ED">
      <w:r>
        <w:separator/>
      </w:r>
    </w:p>
  </w:footnote>
  <w:footnote w:type="continuationSeparator" w:id="0">
    <w:p w14:paraId="435FB767" w14:textId="77777777" w:rsidR="00AB76ED" w:rsidRDefault="00AB7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D7E88" w14:textId="546ECE81" w:rsidR="001A2158" w:rsidRPr="001A2158" w:rsidRDefault="00DA292D"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8"/>
        <w:szCs w:val="28"/>
        <w:lang w:val="en-US"/>
      </w:rPr>
    </w:pPr>
    <w:r w:rsidRPr="009A3DA7">
      <w:rPr>
        <w:rFonts w:ascii="Arial" w:eastAsia="SimSun" w:hAnsi="Arial" w:cs="Arial"/>
        <w:sz w:val="22"/>
        <w:lang w:val="en-US"/>
      </w:rPr>
      <w:t xml:space="preserve">TSG SA4 </w:t>
    </w:r>
    <w:r w:rsidR="00DF7631" w:rsidRPr="009A3DA7">
      <w:rPr>
        <w:rFonts w:ascii="Arial" w:eastAsia="SimSun" w:hAnsi="Arial" w:cs="Arial"/>
        <w:sz w:val="22"/>
        <w:lang w:val="en-US"/>
      </w:rPr>
      <w:t>SWG #12</w:t>
    </w:r>
    <w:r w:rsidR="00402997">
      <w:rPr>
        <w:rFonts w:ascii="Arial" w:eastAsia="SimSun" w:hAnsi="Arial" w:cs="Arial"/>
        <w:sz w:val="22"/>
        <w:lang w:val="en-US"/>
      </w:rPr>
      <w:t>7</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Pr="009A3DA7">
      <w:rPr>
        <w:rFonts w:ascii="Arial" w:eastAsia="SimSun" w:hAnsi="Arial" w:cs="Arial"/>
        <w:b/>
        <w:i/>
        <w:sz w:val="22"/>
        <w:lang w:val="en-US"/>
      </w:rPr>
      <w:tab/>
    </w:r>
    <w:r w:rsidRPr="009A3DA7">
      <w:rPr>
        <w:rFonts w:ascii="Arial" w:eastAsia="SimSun" w:hAnsi="Arial" w:cs="Arial"/>
        <w:b/>
        <w:i/>
        <w:sz w:val="28"/>
        <w:szCs w:val="28"/>
        <w:lang w:val="en-US"/>
      </w:rPr>
      <w:t>Tdoc S4</w:t>
    </w:r>
    <w:r w:rsidR="009A3DA7">
      <w:rPr>
        <w:rFonts w:ascii="Arial" w:eastAsia="SimSun" w:hAnsi="Arial" w:cs="Arial"/>
        <w:b/>
        <w:i/>
        <w:sz w:val="28"/>
        <w:szCs w:val="28"/>
        <w:lang w:val="en-US"/>
      </w:rPr>
      <w:t>-</w:t>
    </w:r>
    <w:r w:rsidR="00B955C1">
      <w:rPr>
        <w:rFonts w:ascii="Arial" w:eastAsia="SimSun" w:hAnsi="Arial" w:cs="Arial"/>
        <w:b/>
        <w:i/>
        <w:sz w:val="28"/>
        <w:szCs w:val="28"/>
        <w:lang w:val="en-US"/>
      </w:rPr>
      <w:t>2</w:t>
    </w:r>
    <w:r w:rsidR="00402997">
      <w:rPr>
        <w:rFonts w:ascii="Arial" w:eastAsia="SimSun" w:hAnsi="Arial" w:cs="Arial"/>
        <w:b/>
        <w:i/>
        <w:sz w:val="28"/>
        <w:szCs w:val="28"/>
        <w:lang w:val="en-US"/>
      </w:rPr>
      <w:t>400</w:t>
    </w:r>
    <w:r w:rsidR="001A2158">
      <w:rPr>
        <w:rFonts w:ascii="Arial" w:eastAsia="SimSun" w:hAnsi="Arial" w:cs="Arial"/>
        <w:b/>
        <w:i/>
        <w:sz w:val="28"/>
        <w:szCs w:val="28"/>
        <w:lang w:val="en-US"/>
      </w:rPr>
      <w:t>68</w:t>
    </w:r>
  </w:p>
  <w:p w14:paraId="3B56539F" w14:textId="109BE885" w:rsidR="008075BF" w:rsidRPr="00DA292D" w:rsidRDefault="00402997"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val="en-US" w:eastAsia="zh-CN"/>
      </w:rPr>
      <w:t>29</w:t>
    </w:r>
    <w:r w:rsidR="0033324B" w:rsidRPr="0033324B">
      <w:rPr>
        <w:rFonts w:ascii="Arial" w:eastAsia="SimSun" w:hAnsi="Arial" w:cs="Arial"/>
        <w:sz w:val="22"/>
        <w:vertAlign w:val="superscript"/>
        <w:lang w:eastAsia="zh-CN"/>
      </w:rPr>
      <w:t>th</w:t>
    </w:r>
    <w:r w:rsidR="0033324B">
      <w:rPr>
        <w:rFonts w:ascii="Arial" w:eastAsia="SimSun" w:hAnsi="Arial" w:cs="Arial"/>
        <w:sz w:val="22"/>
        <w:lang w:eastAsia="zh-CN"/>
      </w:rPr>
      <w:t xml:space="preserve"> </w:t>
    </w:r>
    <w:r>
      <w:rPr>
        <w:rFonts w:ascii="Arial" w:eastAsia="SimSun" w:hAnsi="Arial" w:cs="Arial"/>
        <w:sz w:val="22"/>
        <w:lang w:eastAsia="zh-CN"/>
      </w:rPr>
      <w:t xml:space="preserve">January </w:t>
    </w:r>
    <w:r w:rsidR="0033324B">
      <w:rPr>
        <w:rFonts w:ascii="Arial" w:eastAsia="SimSun" w:hAnsi="Arial" w:cs="Arial"/>
        <w:sz w:val="22"/>
        <w:lang w:eastAsia="zh-CN"/>
      </w:rPr>
      <w:t xml:space="preserve">– </w:t>
    </w:r>
    <w:r>
      <w:rPr>
        <w:rFonts w:ascii="Arial" w:eastAsia="SimSun" w:hAnsi="Arial" w:cs="Arial"/>
        <w:sz w:val="22"/>
        <w:lang w:eastAsia="zh-CN"/>
      </w:rPr>
      <w:t>2</w:t>
    </w:r>
    <w:r>
      <w:rPr>
        <w:rFonts w:ascii="Arial" w:eastAsia="SimSun" w:hAnsi="Arial" w:cs="Arial"/>
        <w:sz w:val="22"/>
        <w:vertAlign w:val="superscript"/>
        <w:lang w:eastAsia="zh-CN"/>
      </w:rPr>
      <w:t>nd</w:t>
    </w:r>
    <w:r w:rsidR="0033324B">
      <w:rPr>
        <w:rFonts w:ascii="Arial" w:eastAsia="SimSun" w:hAnsi="Arial" w:cs="Arial"/>
        <w:sz w:val="22"/>
        <w:lang w:eastAsia="zh-CN"/>
      </w:rPr>
      <w:t xml:space="preserve"> </w:t>
    </w:r>
    <w:r>
      <w:rPr>
        <w:rFonts w:ascii="Arial" w:eastAsia="SimSun" w:hAnsi="Arial" w:cs="Arial"/>
        <w:sz w:val="22"/>
        <w:lang w:eastAsia="zh-CN"/>
      </w:rPr>
      <w:t>February</w:t>
    </w:r>
    <w:r w:rsidR="009A3DA7">
      <w:rPr>
        <w:rFonts w:ascii="Arial" w:eastAsia="SimSun" w:hAnsi="Arial" w:cs="Arial"/>
        <w:sz w:val="22"/>
        <w:lang w:eastAsia="zh-CN"/>
      </w:rPr>
      <w:t xml:space="preserve">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Pr>
        <w:rFonts w:ascii="Arial" w:eastAsia="SimSun" w:hAnsi="Arial" w:cs="Arial"/>
        <w:sz w:val="22"/>
        <w:lang w:eastAsia="zh-CN"/>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4"/>
  </w:num>
  <w:num w:numId="2" w16cid:durableId="281032281">
    <w:abstractNumId w:val="10"/>
  </w:num>
  <w:num w:numId="3" w16cid:durableId="1751778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7"/>
  </w:num>
  <w:num w:numId="5" w16cid:durableId="1446458188">
    <w:abstractNumId w:val="2"/>
  </w:num>
  <w:num w:numId="6" w16cid:durableId="735123984">
    <w:abstractNumId w:val="4"/>
  </w:num>
  <w:num w:numId="7" w16cid:durableId="788552162">
    <w:abstractNumId w:val="6"/>
  </w:num>
  <w:num w:numId="8" w16cid:durableId="283195772">
    <w:abstractNumId w:val="0"/>
  </w:num>
  <w:num w:numId="9" w16cid:durableId="1031805320">
    <w:abstractNumId w:val="1"/>
  </w:num>
  <w:num w:numId="10" w16cid:durableId="169148494">
    <w:abstractNumId w:val="14"/>
  </w:num>
  <w:num w:numId="11" w16cid:durableId="1525971380">
    <w:abstractNumId w:val="12"/>
  </w:num>
  <w:num w:numId="12" w16cid:durableId="1511218414">
    <w:abstractNumId w:val="13"/>
  </w:num>
  <w:num w:numId="13" w16cid:durableId="815728443">
    <w:abstractNumId w:val="14"/>
  </w:num>
  <w:num w:numId="14" w16cid:durableId="910039807">
    <w:abstractNumId w:val="15"/>
  </w:num>
  <w:num w:numId="15" w16cid:durableId="1975134722">
    <w:abstractNumId w:val="11"/>
  </w:num>
  <w:num w:numId="16" w16cid:durableId="1712026302">
    <w:abstractNumId w:val="8"/>
  </w:num>
  <w:num w:numId="17" w16cid:durableId="2046057848">
    <w:abstractNumId w:val="14"/>
  </w:num>
  <w:num w:numId="18" w16cid:durableId="989986992">
    <w:abstractNumId w:val="14"/>
  </w:num>
  <w:num w:numId="19" w16cid:durableId="1419518851">
    <w:abstractNumId w:val="3"/>
  </w:num>
  <w:num w:numId="20" w16cid:durableId="69009680">
    <w:abstractNumId w:val="14"/>
  </w:num>
  <w:num w:numId="21" w16cid:durableId="1903441439">
    <w:abstractNumId w:val="14"/>
  </w:num>
  <w:num w:numId="22" w16cid:durableId="168373479">
    <w:abstractNumId w:val="14"/>
  </w:num>
  <w:num w:numId="23" w16cid:durableId="1493834802">
    <w:abstractNumId w:val="14"/>
  </w:num>
  <w:num w:numId="24" w16cid:durableId="1755974918">
    <w:abstractNumId w:val="14"/>
  </w:num>
  <w:num w:numId="25" w16cid:durableId="829950102">
    <w:abstractNumId w:val="5"/>
  </w:num>
  <w:num w:numId="26" w16cid:durableId="406459072">
    <w:abstractNumId w:val="16"/>
  </w:num>
  <w:num w:numId="27" w16cid:durableId="290015744">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1DD4"/>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2158"/>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18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2DD6"/>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236B"/>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0A5"/>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1B52"/>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4483"/>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B76ED"/>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603"/>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2AB"/>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A84"/>
    <w:rsid w:val="00CA696E"/>
    <w:rsid w:val="00CA7478"/>
    <w:rsid w:val="00CB0473"/>
    <w:rsid w:val="00CB07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1FCC"/>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657</Words>
  <Characters>3747</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2024-01-23T16:07:00Z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