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584D" w14:textId="7E78905E" w:rsidR="00EE71C7" w:rsidRDefault="00EE71C7" w:rsidP="00EE71C7">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S4-240</w:t>
      </w:r>
      <w:r w:rsidR="00EC5BBD">
        <w:rPr>
          <w:b/>
          <w:noProof/>
          <w:sz w:val="24"/>
        </w:rPr>
        <w:t>426</w:t>
      </w:r>
    </w:p>
    <w:p w14:paraId="3A70791C" w14:textId="77777777" w:rsidR="00EE71C7" w:rsidRPr="00320792" w:rsidRDefault="00EE71C7" w:rsidP="00EE71C7">
      <w:pPr>
        <w:pStyle w:val="CRCoverPage"/>
        <w:outlineLvl w:val="0"/>
        <w:rPr>
          <w:b/>
          <w:noProof/>
          <w:sz w:val="24"/>
        </w:rPr>
      </w:pPr>
      <w:r>
        <w:rPr>
          <w:b/>
          <w:noProof/>
          <w:sz w:val="24"/>
        </w:rPr>
        <w:t>Sophia-Antipolis, France, 29 January - 2 February 2024</w:t>
      </w:r>
    </w:p>
    <w:p w14:paraId="51F76ED1" w14:textId="77777777" w:rsidR="00595B52" w:rsidRPr="00684CA1" w:rsidRDefault="00595B52" w:rsidP="00595B52">
      <w:pPr>
        <w:pStyle w:val="Header"/>
        <w:tabs>
          <w:tab w:val="right" w:pos="7088"/>
          <w:tab w:val="right" w:pos="9781"/>
        </w:tabs>
        <w:rPr>
          <w:rFonts w:cs="Arial"/>
          <w:b w:val="0"/>
          <w:bCs/>
          <w:sz w:val="22"/>
        </w:rPr>
      </w:pPr>
    </w:p>
    <w:p w14:paraId="1C631FBF"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Source:</w:t>
      </w:r>
      <w:r w:rsidRPr="00684CA1">
        <w:rPr>
          <w:rFonts w:ascii="Arial" w:hAnsi="Arial" w:cs="Arial"/>
          <w:b/>
          <w:bCs/>
        </w:rPr>
        <w:tab/>
      </w:r>
    </w:p>
    <w:p w14:paraId="21C5915E" w14:textId="31D8B150" w:rsidR="00595B52" w:rsidRPr="00684CA1" w:rsidRDefault="00595B52" w:rsidP="00595B52">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t>Rel-</w:t>
      </w:r>
      <w:r w:rsidR="00EE71C7">
        <w:rPr>
          <w:rFonts w:ascii="Arial" w:hAnsi="Arial" w:cs="Arial"/>
          <w:b/>
          <w:bCs/>
        </w:rPr>
        <w:t>18</w:t>
      </w:r>
      <w:r w:rsidR="00520A9C" w:rsidRPr="00684CA1">
        <w:rPr>
          <w:rFonts w:ascii="Arial" w:hAnsi="Arial" w:cs="Arial"/>
          <w:b/>
          <w:bCs/>
        </w:rPr>
        <w:t xml:space="preserve"> </w:t>
      </w:r>
      <w:r w:rsidRPr="00684CA1">
        <w:rPr>
          <w:rFonts w:ascii="Arial" w:hAnsi="Arial" w:cs="Arial"/>
          <w:b/>
          <w:bCs/>
        </w:rPr>
        <w:t>Work Item Exception</w:t>
      </w:r>
      <w:r w:rsidR="00363594">
        <w:rPr>
          <w:rFonts w:ascii="Arial" w:hAnsi="Arial" w:cs="Arial"/>
          <w:b/>
          <w:bCs/>
        </w:rPr>
        <w:t xml:space="preserve"> for</w:t>
      </w:r>
      <w:r w:rsidRPr="00684CA1">
        <w:rPr>
          <w:rFonts w:ascii="Arial" w:hAnsi="Arial" w:cs="Arial"/>
          <w:b/>
          <w:bCs/>
        </w:rPr>
        <w:t xml:space="preserve"> </w:t>
      </w:r>
      <w:r w:rsidR="00EE71C7">
        <w:rPr>
          <w:rFonts w:ascii="Arial" w:hAnsi="Arial" w:cs="Arial"/>
          <w:b/>
          <w:bCs/>
        </w:rPr>
        <w:t>ISAR</w:t>
      </w:r>
    </w:p>
    <w:p w14:paraId="336698B8" w14:textId="77777777" w:rsidR="00595B52" w:rsidRPr="00684CA1" w:rsidRDefault="00595B52" w:rsidP="00595B52">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sidR="00B066D2" w:rsidRPr="00684CA1">
        <w:rPr>
          <w:rFonts w:ascii="Arial" w:hAnsi="Arial" w:cs="Arial"/>
          <w:b/>
          <w:bCs/>
        </w:rPr>
        <w:t>Approval</w:t>
      </w:r>
    </w:p>
    <w:p w14:paraId="01FD8EF5" w14:textId="26C2A848" w:rsidR="00595B52" w:rsidRPr="00684CA1" w:rsidRDefault="00595B52" w:rsidP="00595B52">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r w:rsidR="00524238">
        <w:rPr>
          <w:rFonts w:ascii="Arial" w:hAnsi="Arial"/>
          <w:b/>
        </w:rPr>
        <w:t>14.10</w:t>
      </w:r>
    </w:p>
    <w:p w14:paraId="776204BF" w14:textId="77777777" w:rsidR="008A76FD" w:rsidRPr="00684CA1" w:rsidRDefault="001C5C86" w:rsidP="00BC642A">
      <w:pPr>
        <w:jc w:val="center"/>
        <w:rPr>
          <w:rFonts w:ascii="Arial" w:hAnsi="Arial" w:cs="Arial"/>
          <w:sz w:val="36"/>
          <w:szCs w:val="36"/>
        </w:rPr>
      </w:pPr>
      <w:r w:rsidRPr="00684CA1">
        <w:rPr>
          <w:rFonts w:ascii="Arial" w:hAnsi="Arial" w:cs="Arial"/>
          <w:sz w:val="36"/>
          <w:szCs w:val="36"/>
        </w:rPr>
        <w:t xml:space="preserve">3GPP™ </w:t>
      </w:r>
      <w:r w:rsidR="008A76FD" w:rsidRPr="00684CA1">
        <w:rPr>
          <w:rFonts w:ascii="Arial" w:hAnsi="Arial" w:cs="Arial"/>
          <w:sz w:val="36"/>
          <w:szCs w:val="36"/>
        </w:rPr>
        <w:t xml:space="preserve">Work Item </w:t>
      </w:r>
      <w:r w:rsidR="00E72B61" w:rsidRPr="00684CA1">
        <w:rPr>
          <w:rFonts w:ascii="Arial" w:hAnsi="Arial" w:cs="Arial"/>
          <w:sz w:val="36"/>
          <w:szCs w:val="36"/>
        </w:rPr>
        <w:t>Exception</w:t>
      </w:r>
    </w:p>
    <w:p w14:paraId="065D18FD" w14:textId="1EBE87BB" w:rsidR="003F268E" w:rsidRPr="000A4E67" w:rsidRDefault="008A76FD" w:rsidP="00DA709D">
      <w:pPr>
        <w:pStyle w:val="Heading1"/>
        <w:tabs>
          <w:tab w:val="left" w:pos="2268"/>
          <w:tab w:val="left" w:pos="3686"/>
        </w:tabs>
        <w:ind w:right="-99"/>
        <w:rPr>
          <w:sz w:val="24"/>
          <w:szCs w:val="24"/>
        </w:rPr>
      </w:pPr>
      <w:proofErr w:type="gramStart"/>
      <w:r w:rsidRPr="000A4E67">
        <w:rPr>
          <w:sz w:val="24"/>
          <w:szCs w:val="24"/>
        </w:rPr>
        <w:t>Title</w:t>
      </w:r>
      <w:r w:rsidR="00985B73" w:rsidRPr="000A4E67">
        <w:rPr>
          <w:sz w:val="24"/>
          <w:szCs w:val="24"/>
        </w:rPr>
        <w:t xml:space="preserve"> :</w:t>
      </w:r>
      <w:proofErr w:type="gramEnd"/>
      <w:r w:rsidR="00B078D6" w:rsidRPr="000A4E67">
        <w:rPr>
          <w:sz w:val="24"/>
          <w:szCs w:val="24"/>
        </w:rPr>
        <w:t xml:space="preserve"> </w:t>
      </w:r>
      <w:r w:rsidR="0075141A" w:rsidRPr="000A4E67">
        <w:rPr>
          <w:sz w:val="24"/>
          <w:szCs w:val="24"/>
        </w:rPr>
        <w:tab/>
      </w:r>
      <w:r w:rsidR="00DA709D">
        <w:rPr>
          <w:sz w:val="24"/>
          <w:szCs w:val="24"/>
        </w:rPr>
        <w:tab/>
      </w:r>
      <w:r w:rsidR="00EE71C7" w:rsidRPr="00EE71C7">
        <w:rPr>
          <w:sz w:val="24"/>
          <w:szCs w:val="24"/>
        </w:rPr>
        <w:t>ISAR WI exception</w:t>
      </w:r>
    </w:p>
    <w:p w14:paraId="3C946738" w14:textId="6ECF8A8B" w:rsidR="00B078D6" w:rsidRPr="000A4E67" w:rsidRDefault="00E13CB2" w:rsidP="00DA709D">
      <w:pPr>
        <w:pStyle w:val="Heading2"/>
        <w:tabs>
          <w:tab w:val="left" w:pos="2268"/>
        </w:tabs>
        <w:rPr>
          <w:sz w:val="24"/>
          <w:szCs w:val="24"/>
        </w:rPr>
      </w:pPr>
      <w:proofErr w:type="gramStart"/>
      <w:r w:rsidRPr="000A4E67">
        <w:rPr>
          <w:sz w:val="24"/>
          <w:szCs w:val="24"/>
        </w:rPr>
        <w:t>A</w:t>
      </w:r>
      <w:r w:rsidR="00B078D6" w:rsidRPr="000A4E67">
        <w:rPr>
          <w:sz w:val="24"/>
          <w:szCs w:val="24"/>
        </w:rPr>
        <w:t>cronym  :</w:t>
      </w:r>
      <w:proofErr w:type="gramEnd"/>
      <w:r w:rsidR="00B078D6" w:rsidRPr="000A4E67">
        <w:rPr>
          <w:sz w:val="24"/>
          <w:szCs w:val="24"/>
        </w:rPr>
        <w:t xml:space="preserve"> </w:t>
      </w:r>
      <w:r w:rsidR="0075141A" w:rsidRPr="000A4E67">
        <w:rPr>
          <w:sz w:val="24"/>
          <w:szCs w:val="24"/>
        </w:rPr>
        <w:tab/>
      </w:r>
      <w:r w:rsidR="00EE71C7">
        <w:rPr>
          <w:sz w:val="24"/>
          <w:szCs w:val="24"/>
        </w:rPr>
        <w:t>ISAR</w:t>
      </w:r>
    </w:p>
    <w:p w14:paraId="2448A9DC" w14:textId="1D5AD94A" w:rsidR="00B078D6" w:rsidRPr="000A4E67" w:rsidRDefault="00B47DAF" w:rsidP="00DA709D">
      <w:pPr>
        <w:pStyle w:val="Heading2"/>
        <w:tabs>
          <w:tab w:val="left" w:pos="2268"/>
        </w:tabs>
        <w:rPr>
          <w:sz w:val="24"/>
          <w:szCs w:val="24"/>
        </w:rPr>
      </w:pPr>
      <w:r>
        <w:rPr>
          <w:sz w:val="24"/>
          <w:szCs w:val="24"/>
        </w:rPr>
        <w:t xml:space="preserve">Unique </w:t>
      </w:r>
      <w:proofErr w:type="gramStart"/>
      <w:r>
        <w:rPr>
          <w:sz w:val="24"/>
          <w:szCs w:val="24"/>
        </w:rPr>
        <w:t>I</w:t>
      </w:r>
      <w:r w:rsidR="00B078D6" w:rsidRPr="000A4E67">
        <w:rPr>
          <w:sz w:val="24"/>
          <w:szCs w:val="24"/>
        </w:rPr>
        <w:t xml:space="preserve">dentifier </w:t>
      </w:r>
      <w:r w:rsidR="00520A9C">
        <w:rPr>
          <w:sz w:val="24"/>
          <w:szCs w:val="24"/>
        </w:rPr>
        <w:t>:</w:t>
      </w:r>
      <w:proofErr w:type="gramEnd"/>
      <w:r w:rsidR="0075141A" w:rsidRPr="000A4E67">
        <w:rPr>
          <w:sz w:val="24"/>
          <w:szCs w:val="24"/>
        </w:rPr>
        <w:tab/>
      </w:r>
      <w:r w:rsidR="00EE71C7" w:rsidRPr="00EE71C7">
        <w:rPr>
          <w:sz w:val="24"/>
          <w:szCs w:val="24"/>
        </w:rPr>
        <w:t>990025</w:t>
      </w:r>
    </w:p>
    <w:p w14:paraId="12A92096" w14:textId="2850262E" w:rsidR="00E72B61" w:rsidRPr="00684CA1" w:rsidRDefault="00E72B61" w:rsidP="00E72B61">
      <w:pPr>
        <w:ind w:right="-99"/>
        <w:jc w:val="center"/>
        <w:rPr>
          <w:b/>
          <w:sz w:val="32"/>
          <w:szCs w:val="32"/>
        </w:rPr>
      </w:pPr>
      <w:r w:rsidRPr="00684CA1">
        <w:rPr>
          <w:b/>
          <w:sz w:val="32"/>
          <w:szCs w:val="32"/>
        </w:rPr>
        <w:t xml:space="preserve">Release </w:t>
      </w:r>
      <w:r w:rsidR="00AA7D13">
        <w:rPr>
          <w:b/>
          <w:sz w:val="32"/>
          <w:szCs w:val="32"/>
        </w:rPr>
        <w:t>18</w:t>
      </w:r>
      <w:r w:rsidR="00520A9C" w:rsidRPr="00684CA1">
        <w:rPr>
          <w:b/>
          <w:sz w:val="32"/>
          <w:szCs w:val="32"/>
        </w:rPr>
        <w:t xml:space="preserve"> </w:t>
      </w:r>
      <w:r w:rsidRPr="00684CA1">
        <w:rPr>
          <w:b/>
          <w:sz w:val="32"/>
          <w:szCs w:val="32"/>
        </w:rPr>
        <w:t>Submission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gridCol w:w="1282"/>
        <w:gridCol w:w="848"/>
        <w:gridCol w:w="1277"/>
        <w:gridCol w:w="1275"/>
        <w:gridCol w:w="1521"/>
      </w:tblGrid>
      <w:tr w:rsidR="00E72B61" w:rsidRPr="00684CA1" w14:paraId="5CBFE977" w14:textId="77777777" w:rsidTr="00AA7D13">
        <w:trPr>
          <w:cantSplit/>
          <w:jc w:val="center"/>
        </w:trPr>
        <w:tc>
          <w:tcPr>
            <w:tcW w:w="2023" w:type="pct"/>
            <w:vAlign w:val="center"/>
          </w:tcPr>
          <w:p w14:paraId="7D53CECA" w14:textId="77777777" w:rsidR="00E72B61" w:rsidRPr="00684CA1" w:rsidRDefault="00E72B61" w:rsidP="00B066D2">
            <w:pPr>
              <w:spacing w:after="0"/>
              <w:rPr>
                <w:b/>
              </w:rPr>
            </w:pPr>
            <w:r w:rsidRPr="00684CA1">
              <w:rPr>
                <w:b/>
              </w:rPr>
              <w:t>Feature / Item:</w:t>
            </w:r>
          </w:p>
        </w:tc>
        <w:tc>
          <w:tcPr>
            <w:tcW w:w="2977" w:type="pct"/>
            <w:gridSpan w:val="5"/>
            <w:shd w:val="clear" w:color="auto" w:fill="FFFF99"/>
            <w:vAlign w:val="center"/>
          </w:tcPr>
          <w:p w14:paraId="13311359" w14:textId="77777777" w:rsidR="00E72B61" w:rsidRPr="00684CA1" w:rsidRDefault="00E72B61" w:rsidP="00B066D2">
            <w:pPr>
              <w:spacing w:after="0"/>
              <w:rPr>
                <w:b/>
                <w:lang w:eastAsia="zh-CN"/>
              </w:rPr>
            </w:pPr>
          </w:p>
        </w:tc>
      </w:tr>
      <w:tr w:rsidR="00DA709D" w:rsidRPr="00684CA1" w14:paraId="779436BA" w14:textId="77777777" w:rsidTr="00AA7D13">
        <w:trPr>
          <w:cantSplit/>
          <w:jc w:val="center"/>
        </w:trPr>
        <w:tc>
          <w:tcPr>
            <w:tcW w:w="2023" w:type="pct"/>
            <w:vAlign w:val="center"/>
          </w:tcPr>
          <w:p w14:paraId="496C538B" w14:textId="77777777" w:rsidR="00187B47" w:rsidRPr="00684CA1" w:rsidRDefault="00187B47" w:rsidP="00B066D2">
            <w:pPr>
              <w:spacing w:after="0"/>
              <w:rPr>
                <w:b/>
              </w:rPr>
            </w:pPr>
            <w:r w:rsidRPr="00684CA1">
              <w:rPr>
                <w:b/>
              </w:rPr>
              <w:t>Affects:</w:t>
            </w:r>
          </w:p>
        </w:tc>
        <w:tc>
          <w:tcPr>
            <w:tcW w:w="615" w:type="pct"/>
            <w:shd w:val="clear" w:color="auto" w:fill="FFFF99"/>
            <w:vAlign w:val="center"/>
          </w:tcPr>
          <w:p w14:paraId="5BCDE91D" w14:textId="77777777" w:rsidR="00187B47" w:rsidRPr="00DA709D" w:rsidRDefault="002C5575" w:rsidP="00B066D2">
            <w:pPr>
              <w:spacing w:after="0"/>
              <w:jc w:val="center"/>
              <w:rPr>
                <w:b/>
                <w:sz w:val="24"/>
                <w:szCs w:val="24"/>
              </w:rPr>
            </w:pPr>
            <w:r>
              <w:rPr>
                <w:b/>
                <w:sz w:val="24"/>
                <w:szCs w:val="24"/>
              </w:rPr>
              <w:t>UICC apps:</w:t>
            </w:r>
          </w:p>
          <w:p w14:paraId="0574F3C7" w14:textId="5B374C07" w:rsidR="00187B47" w:rsidRPr="00DA709D" w:rsidRDefault="00AA7D13" w:rsidP="00B066D2">
            <w:pPr>
              <w:spacing w:after="0"/>
              <w:jc w:val="center"/>
              <w:rPr>
                <w:b/>
                <w:sz w:val="24"/>
                <w:szCs w:val="24"/>
              </w:rPr>
            </w:pPr>
            <w:r>
              <w:rPr>
                <w:b/>
                <w:sz w:val="24"/>
                <w:szCs w:val="24"/>
              </w:rPr>
              <w:t>No</w:t>
            </w:r>
          </w:p>
        </w:tc>
        <w:tc>
          <w:tcPr>
            <w:tcW w:w="407" w:type="pct"/>
            <w:shd w:val="clear" w:color="auto" w:fill="FFFF99"/>
            <w:vAlign w:val="center"/>
          </w:tcPr>
          <w:p w14:paraId="72B8BE88" w14:textId="77777777" w:rsidR="00187B47" w:rsidRPr="00DA709D" w:rsidRDefault="002C5575" w:rsidP="00B066D2">
            <w:pPr>
              <w:spacing w:after="0"/>
              <w:jc w:val="center"/>
              <w:rPr>
                <w:b/>
                <w:sz w:val="24"/>
                <w:szCs w:val="24"/>
              </w:rPr>
            </w:pPr>
            <w:r>
              <w:rPr>
                <w:b/>
                <w:sz w:val="24"/>
                <w:szCs w:val="24"/>
              </w:rPr>
              <w:t>ME</w:t>
            </w:r>
            <w:r w:rsidR="00187B47" w:rsidRPr="00DA709D">
              <w:rPr>
                <w:b/>
                <w:sz w:val="24"/>
                <w:szCs w:val="24"/>
              </w:rPr>
              <w:t>:</w:t>
            </w:r>
          </w:p>
          <w:p w14:paraId="039C98BF" w14:textId="77777777" w:rsidR="008723D7" w:rsidRDefault="008723D7" w:rsidP="00B066D2">
            <w:pPr>
              <w:spacing w:after="0"/>
              <w:jc w:val="center"/>
              <w:rPr>
                <w:b/>
                <w:sz w:val="24"/>
                <w:szCs w:val="24"/>
              </w:rPr>
            </w:pPr>
          </w:p>
          <w:p w14:paraId="34724BD0" w14:textId="74DDFF6B" w:rsidR="00187B47" w:rsidRPr="00DA709D" w:rsidRDefault="00AA7D13" w:rsidP="00B066D2">
            <w:pPr>
              <w:spacing w:after="0"/>
              <w:jc w:val="center"/>
              <w:rPr>
                <w:b/>
                <w:sz w:val="24"/>
                <w:szCs w:val="24"/>
              </w:rPr>
            </w:pPr>
            <w:r>
              <w:rPr>
                <w:b/>
                <w:sz w:val="24"/>
                <w:szCs w:val="24"/>
              </w:rPr>
              <w:t>Yes</w:t>
            </w:r>
          </w:p>
        </w:tc>
        <w:tc>
          <w:tcPr>
            <w:tcW w:w="613" w:type="pct"/>
            <w:shd w:val="clear" w:color="auto" w:fill="FFFF99"/>
            <w:vAlign w:val="center"/>
          </w:tcPr>
          <w:p w14:paraId="1FD32D53" w14:textId="77777777" w:rsidR="00187B47" w:rsidRPr="00DA709D" w:rsidRDefault="002C5575" w:rsidP="00B066D2">
            <w:pPr>
              <w:spacing w:after="0"/>
              <w:jc w:val="center"/>
              <w:rPr>
                <w:b/>
                <w:sz w:val="24"/>
                <w:szCs w:val="24"/>
              </w:rPr>
            </w:pPr>
            <w:r>
              <w:rPr>
                <w:b/>
                <w:sz w:val="24"/>
                <w:szCs w:val="24"/>
              </w:rPr>
              <w:t>A</w:t>
            </w:r>
            <w:r w:rsidRPr="00DA709D">
              <w:rPr>
                <w:b/>
                <w:sz w:val="24"/>
                <w:szCs w:val="24"/>
              </w:rPr>
              <w:t>N</w:t>
            </w:r>
            <w:r w:rsidR="00187B47" w:rsidRPr="00DA709D">
              <w:rPr>
                <w:b/>
                <w:sz w:val="24"/>
                <w:szCs w:val="24"/>
              </w:rPr>
              <w:t>:</w:t>
            </w:r>
          </w:p>
          <w:p w14:paraId="751AD6DE" w14:textId="77777777" w:rsidR="008723D7" w:rsidRDefault="008723D7" w:rsidP="00B066D2">
            <w:pPr>
              <w:spacing w:after="0"/>
              <w:jc w:val="center"/>
              <w:rPr>
                <w:b/>
                <w:sz w:val="24"/>
                <w:szCs w:val="24"/>
              </w:rPr>
            </w:pPr>
          </w:p>
          <w:p w14:paraId="037E9CED" w14:textId="299C8804" w:rsidR="00187B47" w:rsidRPr="00DA709D" w:rsidRDefault="008723D7" w:rsidP="00B066D2">
            <w:pPr>
              <w:spacing w:after="0"/>
              <w:jc w:val="center"/>
              <w:rPr>
                <w:b/>
                <w:sz w:val="24"/>
                <w:szCs w:val="24"/>
              </w:rPr>
            </w:pPr>
            <w:r>
              <w:rPr>
                <w:b/>
                <w:sz w:val="24"/>
                <w:szCs w:val="24"/>
              </w:rPr>
              <w:t>No</w:t>
            </w:r>
          </w:p>
        </w:tc>
        <w:tc>
          <w:tcPr>
            <w:tcW w:w="612" w:type="pct"/>
            <w:shd w:val="clear" w:color="auto" w:fill="FFFF99"/>
            <w:vAlign w:val="center"/>
          </w:tcPr>
          <w:p w14:paraId="2B56E66C" w14:textId="77777777" w:rsidR="00187B47" w:rsidRPr="00DA709D" w:rsidRDefault="002C5575" w:rsidP="00B066D2">
            <w:pPr>
              <w:spacing w:after="0"/>
              <w:jc w:val="center"/>
              <w:rPr>
                <w:b/>
                <w:sz w:val="24"/>
                <w:szCs w:val="24"/>
              </w:rPr>
            </w:pPr>
            <w:r>
              <w:rPr>
                <w:b/>
                <w:sz w:val="24"/>
                <w:szCs w:val="24"/>
              </w:rPr>
              <w:t>C</w:t>
            </w:r>
            <w:r w:rsidR="00187B47" w:rsidRPr="00DA709D">
              <w:rPr>
                <w:b/>
                <w:sz w:val="24"/>
                <w:szCs w:val="24"/>
              </w:rPr>
              <w:t>N:</w:t>
            </w:r>
          </w:p>
          <w:p w14:paraId="458BB249" w14:textId="77777777" w:rsidR="008723D7" w:rsidRDefault="008723D7" w:rsidP="00B066D2">
            <w:pPr>
              <w:spacing w:after="0"/>
              <w:jc w:val="center"/>
              <w:rPr>
                <w:b/>
                <w:sz w:val="24"/>
                <w:szCs w:val="24"/>
              </w:rPr>
            </w:pPr>
          </w:p>
          <w:p w14:paraId="3FD28B29" w14:textId="21B2058D" w:rsidR="00187B47" w:rsidRPr="00DA709D" w:rsidRDefault="00AA7D13" w:rsidP="00B066D2">
            <w:pPr>
              <w:spacing w:after="0"/>
              <w:jc w:val="center"/>
              <w:rPr>
                <w:b/>
                <w:sz w:val="24"/>
                <w:szCs w:val="24"/>
              </w:rPr>
            </w:pPr>
            <w:r>
              <w:rPr>
                <w:b/>
                <w:sz w:val="24"/>
                <w:szCs w:val="24"/>
              </w:rPr>
              <w:t>Yes</w:t>
            </w:r>
          </w:p>
        </w:tc>
        <w:tc>
          <w:tcPr>
            <w:tcW w:w="731" w:type="pct"/>
            <w:shd w:val="clear" w:color="auto" w:fill="FFFF99"/>
            <w:vAlign w:val="center"/>
          </w:tcPr>
          <w:p w14:paraId="0B317A24" w14:textId="77777777" w:rsidR="00187B47" w:rsidRPr="00DA709D" w:rsidRDefault="002C5575" w:rsidP="00B066D2">
            <w:pPr>
              <w:spacing w:after="0"/>
              <w:jc w:val="center"/>
              <w:rPr>
                <w:b/>
                <w:sz w:val="24"/>
                <w:szCs w:val="24"/>
              </w:rPr>
            </w:pPr>
            <w:r>
              <w:rPr>
                <w:b/>
                <w:sz w:val="24"/>
                <w:szCs w:val="24"/>
              </w:rPr>
              <w:t>Others (specify):</w:t>
            </w:r>
          </w:p>
          <w:p w14:paraId="04276D2E" w14:textId="38FD5322" w:rsidR="00CE1F4D" w:rsidRPr="00DA709D" w:rsidRDefault="00EC5BBD" w:rsidP="00B066D2">
            <w:pPr>
              <w:spacing w:after="0"/>
              <w:jc w:val="center"/>
              <w:rPr>
                <w:b/>
                <w:sz w:val="24"/>
                <w:szCs w:val="24"/>
              </w:rPr>
            </w:pPr>
            <w:r>
              <w:rPr>
                <w:b/>
                <w:sz w:val="24"/>
                <w:szCs w:val="24"/>
              </w:rPr>
              <w:t>No</w:t>
            </w:r>
          </w:p>
        </w:tc>
      </w:tr>
      <w:tr w:rsidR="00AA7D13" w:rsidRPr="00684CA1" w14:paraId="311EE08B" w14:textId="77777777" w:rsidTr="00AA7D13">
        <w:trPr>
          <w:cantSplit/>
          <w:jc w:val="center"/>
        </w:trPr>
        <w:tc>
          <w:tcPr>
            <w:tcW w:w="2023" w:type="pct"/>
            <w:vAlign w:val="center"/>
          </w:tcPr>
          <w:p w14:paraId="0C04868B" w14:textId="77777777" w:rsidR="00AA7D13" w:rsidRPr="00684CA1" w:rsidRDefault="00AA7D13" w:rsidP="00AA7D13">
            <w:pPr>
              <w:spacing w:after="0"/>
              <w:rPr>
                <w:b/>
              </w:rPr>
            </w:pPr>
            <w:r w:rsidRPr="00684CA1">
              <w:rPr>
                <w:b/>
              </w:rPr>
              <w:t>Expected Completion Date:</w:t>
            </w:r>
          </w:p>
        </w:tc>
        <w:tc>
          <w:tcPr>
            <w:tcW w:w="2977" w:type="pct"/>
            <w:gridSpan w:val="5"/>
            <w:shd w:val="clear" w:color="auto" w:fill="FFFF99"/>
            <w:vAlign w:val="center"/>
          </w:tcPr>
          <w:p w14:paraId="24AA3779" w14:textId="1C75992D" w:rsidR="00AA7D13" w:rsidRPr="00684CA1" w:rsidRDefault="00AA7D13" w:rsidP="00AA7D13">
            <w:pPr>
              <w:spacing w:after="0"/>
            </w:pPr>
            <w:r>
              <w:t>SA4#128 - May 2024 (SA#104 June 2024)</w:t>
            </w:r>
          </w:p>
        </w:tc>
      </w:tr>
      <w:tr w:rsidR="00AA7D13" w:rsidRPr="00684CA1" w14:paraId="2332615D" w14:textId="77777777" w:rsidTr="00AA7D13">
        <w:trPr>
          <w:cantSplit/>
          <w:jc w:val="center"/>
        </w:trPr>
        <w:tc>
          <w:tcPr>
            <w:tcW w:w="2023" w:type="pct"/>
            <w:vAlign w:val="center"/>
          </w:tcPr>
          <w:p w14:paraId="08990832" w14:textId="77777777" w:rsidR="00AA7D13" w:rsidRPr="00684CA1" w:rsidRDefault="00AA7D13" w:rsidP="00AA7D13">
            <w:pPr>
              <w:spacing w:after="0"/>
              <w:rPr>
                <w:b/>
              </w:rPr>
            </w:pPr>
            <w:r w:rsidRPr="00684CA1">
              <w:rPr>
                <w:b/>
              </w:rPr>
              <w:t>Service(s) impacted:</w:t>
            </w:r>
          </w:p>
        </w:tc>
        <w:tc>
          <w:tcPr>
            <w:tcW w:w="2977" w:type="pct"/>
            <w:gridSpan w:val="5"/>
            <w:shd w:val="clear" w:color="auto" w:fill="FFFF99"/>
            <w:vAlign w:val="center"/>
          </w:tcPr>
          <w:p w14:paraId="71DC1584" w14:textId="67E5DF2B" w:rsidR="00AA7D13" w:rsidRPr="00684CA1" w:rsidRDefault="007D2B4B" w:rsidP="00AA7D13">
            <w:pPr>
              <w:pStyle w:val="Index1"/>
            </w:pPr>
            <w:r w:rsidRPr="007D2B4B">
              <w:t>Real-time Communication in Rel-18</w:t>
            </w:r>
            <w:r w:rsidR="00EC5BBD">
              <w:t xml:space="preserve"> relying on IVAS codec</w:t>
            </w:r>
            <w:r>
              <w:t xml:space="preserve">, </w:t>
            </w:r>
            <w:r w:rsidRPr="007D2B4B">
              <w:t xml:space="preserve">5G Media Streaming </w:t>
            </w:r>
          </w:p>
        </w:tc>
      </w:tr>
      <w:tr w:rsidR="00AA7D13" w:rsidRPr="00684CA1" w14:paraId="0B8E5E30" w14:textId="77777777" w:rsidTr="00AA7D13">
        <w:trPr>
          <w:cantSplit/>
          <w:jc w:val="center"/>
        </w:trPr>
        <w:tc>
          <w:tcPr>
            <w:tcW w:w="2023" w:type="pct"/>
            <w:vAlign w:val="center"/>
          </w:tcPr>
          <w:p w14:paraId="5ECE02BA" w14:textId="77777777" w:rsidR="00AA7D13" w:rsidRPr="00684CA1" w:rsidRDefault="00AA7D13" w:rsidP="00AA7D13">
            <w:pPr>
              <w:spacing w:after="0"/>
              <w:rPr>
                <w:b/>
              </w:rPr>
            </w:pPr>
            <w:r w:rsidRPr="00684CA1">
              <w:rPr>
                <w:b/>
              </w:rPr>
              <w:t>Specification(s) affected:</w:t>
            </w:r>
          </w:p>
        </w:tc>
        <w:tc>
          <w:tcPr>
            <w:tcW w:w="2977" w:type="pct"/>
            <w:gridSpan w:val="5"/>
            <w:shd w:val="clear" w:color="auto" w:fill="FFFF99"/>
            <w:vAlign w:val="center"/>
          </w:tcPr>
          <w:p w14:paraId="204B8086" w14:textId="2DA7BC23" w:rsidR="00AA7D13" w:rsidRPr="00684CA1" w:rsidRDefault="00AA7D13" w:rsidP="00AA7D13">
            <w:pPr>
              <w:spacing w:after="0"/>
              <w:rPr>
                <w:lang w:eastAsia="zh-CN"/>
              </w:rPr>
            </w:pPr>
            <w:r>
              <w:rPr>
                <w:lang w:eastAsia="zh-CN"/>
              </w:rPr>
              <w:t xml:space="preserve">TS 26.249, TR 26.996, TS 26.250, TS 26.251, TS 26.252, TS 26.253, TS 26.254, TS 26.255, TS 26.256, TS 26.258, </w:t>
            </w:r>
            <w:r w:rsidR="007D2B4B">
              <w:rPr>
                <w:lang w:eastAsia="zh-CN"/>
              </w:rPr>
              <w:t>TS 26.114, TS 26.117, TS 26.119</w:t>
            </w:r>
          </w:p>
        </w:tc>
      </w:tr>
      <w:tr w:rsidR="00AA7D13" w:rsidRPr="00684CA1" w14:paraId="5AF00011" w14:textId="77777777" w:rsidTr="00AA7D13">
        <w:trPr>
          <w:cantSplit/>
          <w:jc w:val="center"/>
        </w:trPr>
        <w:tc>
          <w:tcPr>
            <w:tcW w:w="2023" w:type="pct"/>
            <w:vAlign w:val="center"/>
          </w:tcPr>
          <w:p w14:paraId="6FC0122E" w14:textId="77777777" w:rsidR="00AA7D13" w:rsidRPr="00684CA1" w:rsidRDefault="00AA7D13" w:rsidP="00AA7D13">
            <w:pPr>
              <w:spacing w:after="0"/>
              <w:rPr>
                <w:b/>
              </w:rPr>
            </w:pPr>
            <w:r w:rsidRPr="00684CA1">
              <w:rPr>
                <w:b/>
              </w:rPr>
              <w:t>Task(s) within work which are not complete:</w:t>
            </w:r>
          </w:p>
        </w:tc>
        <w:tc>
          <w:tcPr>
            <w:tcW w:w="2977" w:type="pct"/>
            <w:gridSpan w:val="5"/>
            <w:shd w:val="clear" w:color="auto" w:fill="FFFF99"/>
            <w:vAlign w:val="center"/>
          </w:tcPr>
          <w:p w14:paraId="36865823" w14:textId="486EF0D3" w:rsidR="00AA7D13" w:rsidRPr="00684CA1" w:rsidRDefault="008723D7" w:rsidP="00AA7D13">
            <w:pPr>
              <w:pStyle w:val="Index1"/>
              <w:rPr>
                <w:bCs/>
              </w:rPr>
            </w:pPr>
            <w:r>
              <w:rPr>
                <w:bCs/>
              </w:rPr>
              <w:t>Introduction</w:t>
            </w:r>
            <w:r w:rsidR="007D2B4B">
              <w:rPr>
                <w:bCs/>
              </w:rPr>
              <w:t xml:space="preserve"> of </w:t>
            </w:r>
            <w:r>
              <w:rPr>
                <w:bCs/>
              </w:rPr>
              <w:t>ISAR feature (</w:t>
            </w:r>
            <w:r w:rsidR="007D2B4B">
              <w:rPr>
                <w:bCs/>
              </w:rPr>
              <w:t xml:space="preserve">immersive audio </w:t>
            </w:r>
            <w:r>
              <w:rPr>
                <w:bCs/>
              </w:rPr>
              <w:t xml:space="preserve">split </w:t>
            </w:r>
            <w:r w:rsidR="007D2B4B">
              <w:rPr>
                <w:bCs/>
              </w:rPr>
              <w:t>rendering</w:t>
            </w:r>
            <w:r>
              <w:rPr>
                <w:bCs/>
              </w:rPr>
              <w:t>)</w:t>
            </w:r>
            <w:r w:rsidR="007D2B4B">
              <w:rPr>
                <w:bCs/>
              </w:rPr>
              <w:t xml:space="preserve"> to IVAS codec</w:t>
            </w:r>
            <w:r>
              <w:rPr>
                <w:bCs/>
              </w:rPr>
              <w:t>. I</w:t>
            </w:r>
            <w:r w:rsidR="00AA7D13">
              <w:rPr>
                <w:bCs/>
              </w:rPr>
              <w:t xml:space="preserve">ntroduction of </w:t>
            </w:r>
            <w:r>
              <w:rPr>
                <w:bCs/>
              </w:rPr>
              <w:t xml:space="preserve">IVAS specific </w:t>
            </w:r>
            <w:r w:rsidR="00AA7D13">
              <w:rPr>
                <w:bCs/>
              </w:rPr>
              <w:t>I</w:t>
            </w:r>
            <w:r w:rsidR="007D2B4B">
              <w:rPr>
                <w:bCs/>
              </w:rPr>
              <w:t>SAR solutions</w:t>
            </w:r>
            <w:r w:rsidR="00AA7D13">
              <w:rPr>
                <w:bCs/>
              </w:rPr>
              <w:t xml:space="preserve"> into </w:t>
            </w:r>
            <w:r>
              <w:rPr>
                <w:bCs/>
              </w:rPr>
              <w:t xml:space="preserve">other </w:t>
            </w:r>
            <w:r w:rsidR="00AA7D13">
              <w:rPr>
                <w:bCs/>
              </w:rPr>
              <w:t>relevant spec</w:t>
            </w:r>
            <w:r>
              <w:rPr>
                <w:bCs/>
              </w:rPr>
              <w:t>ifications</w:t>
            </w:r>
            <w:r w:rsidR="00AA7D13">
              <w:rPr>
                <w:bCs/>
              </w:rPr>
              <w:t xml:space="preserve"> in the 26 series.</w:t>
            </w:r>
            <w:r>
              <w:rPr>
                <w:bCs/>
              </w:rPr>
              <w:t xml:space="preserve"> Completion of ISAR main specification (TS 26.249) and Performance Characterization (TR 26.996) </w:t>
            </w:r>
          </w:p>
        </w:tc>
      </w:tr>
      <w:tr w:rsidR="00AA7D13" w:rsidRPr="00684CA1" w14:paraId="214191C4" w14:textId="77777777" w:rsidTr="00AA7D13">
        <w:trPr>
          <w:cantSplit/>
          <w:jc w:val="center"/>
        </w:trPr>
        <w:tc>
          <w:tcPr>
            <w:tcW w:w="2023" w:type="pct"/>
            <w:vAlign w:val="center"/>
          </w:tcPr>
          <w:p w14:paraId="443F85B6" w14:textId="30339851" w:rsidR="00AA7D13" w:rsidRPr="00684CA1" w:rsidRDefault="00AA7D13" w:rsidP="00AA7D13">
            <w:pPr>
              <w:spacing w:after="0"/>
              <w:rPr>
                <w:b/>
              </w:rPr>
            </w:pPr>
            <w:r w:rsidRPr="00684CA1">
              <w:rPr>
                <w:b/>
              </w:rPr>
              <w:t xml:space="preserve">Consequences if not included in Release </w:t>
            </w:r>
            <w:r w:rsidR="00EC66A1">
              <w:rPr>
                <w:b/>
              </w:rPr>
              <w:t>18</w:t>
            </w:r>
            <w:r w:rsidRPr="00684CA1">
              <w:rPr>
                <w:b/>
              </w:rPr>
              <w:t>:</w:t>
            </w:r>
          </w:p>
        </w:tc>
        <w:tc>
          <w:tcPr>
            <w:tcW w:w="2977" w:type="pct"/>
            <w:gridSpan w:val="5"/>
            <w:shd w:val="clear" w:color="auto" w:fill="FFFF99"/>
            <w:vAlign w:val="center"/>
          </w:tcPr>
          <w:p w14:paraId="53F9626B" w14:textId="11CCF430" w:rsidR="00AA7D13" w:rsidRPr="00684CA1" w:rsidRDefault="00EC66A1" w:rsidP="00AA7D13">
            <w:pPr>
              <w:spacing w:after="0"/>
            </w:pPr>
            <w:r>
              <w:t>Lack of</w:t>
            </w:r>
            <w:r w:rsidR="00AA7D13">
              <w:t xml:space="preserve"> </w:t>
            </w:r>
            <w:r>
              <w:t xml:space="preserve">ISAR feature may make </w:t>
            </w:r>
            <w:r w:rsidR="008723D7">
              <w:rPr>
                <w:bCs/>
              </w:rPr>
              <w:t>immersive audio</w:t>
            </w:r>
            <w:r>
              <w:rPr>
                <w:bCs/>
              </w:rPr>
              <w:t xml:space="preserve"> as part of </w:t>
            </w:r>
            <w:r w:rsidR="005F413B">
              <w:rPr>
                <w:bCs/>
              </w:rPr>
              <w:t>impacted</w:t>
            </w:r>
            <w:r>
              <w:rPr>
                <w:bCs/>
              </w:rPr>
              <w:t xml:space="preserve"> services unavailable in constrained end devices</w:t>
            </w:r>
            <w:r w:rsidR="00AA7D13">
              <w:t xml:space="preserve">. </w:t>
            </w:r>
          </w:p>
        </w:tc>
      </w:tr>
    </w:tbl>
    <w:p w14:paraId="6B81DF72" w14:textId="77777777" w:rsidR="00E72B61" w:rsidRPr="00684CA1" w:rsidRDefault="00E72B61" w:rsidP="00E72B61">
      <w:pPr>
        <w:tabs>
          <w:tab w:val="left" w:pos="2127"/>
          <w:tab w:val="left" w:pos="5387"/>
        </w:tabs>
        <w:rPr>
          <w:b/>
        </w:rPr>
      </w:pPr>
    </w:p>
    <w:p w14:paraId="7066110C" w14:textId="7BAABA77" w:rsidR="00E72B61" w:rsidRDefault="00E72B61" w:rsidP="00E72B61">
      <w:pPr>
        <w:pBdr>
          <w:top w:val="single" w:sz="4" w:space="1" w:color="auto"/>
        </w:pBdr>
        <w:tabs>
          <w:tab w:val="left" w:pos="3119"/>
        </w:tabs>
        <w:rPr>
          <w:b/>
        </w:rPr>
      </w:pPr>
      <w:r w:rsidRPr="00684CA1">
        <w:rPr>
          <w:b/>
        </w:rPr>
        <w:t>Abstract of document:</w:t>
      </w:r>
    </w:p>
    <w:p w14:paraId="5BC3D379" w14:textId="5B88071E" w:rsidR="00EC66A1" w:rsidRDefault="00EC66A1" w:rsidP="00524238">
      <w:r>
        <w:t>The work item addresses the specification of solution</w:t>
      </w:r>
      <w:r w:rsidR="00524238">
        <w:t>(</w:t>
      </w:r>
      <w:r>
        <w:t>s</w:t>
      </w:r>
      <w:r w:rsidR="00524238">
        <w:t>)</w:t>
      </w:r>
      <w:r>
        <w:t xml:space="preserve"> for immersive binaural audio on head-tracked devices. The solution</w:t>
      </w:r>
      <w:r w:rsidR="00524238">
        <w:t>(</w:t>
      </w:r>
      <w:r>
        <w:t>s</w:t>
      </w:r>
      <w:r w:rsidR="00524238">
        <w:t>)</w:t>
      </w:r>
      <w:r>
        <w:t xml:space="preserve"> should consider low-complex and lightweight devices and demonstrate operational benefits over solutions with full decoding and rendering in the end device. </w:t>
      </w:r>
    </w:p>
    <w:p w14:paraId="468817DC" w14:textId="0F399065" w:rsidR="00524238" w:rsidRDefault="00524238" w:rsidP="00524238">
      <w:pPr>
        <w:rPr>
          <w:lang w:eastAsia="en-US"/>
        </w:rPr>
      </w:pPr>
      <w:r>
        <w:t xml:space="preserve">The developments under the work item shall lead to a new specification defining among others textual descriptions of the ISAR split rendering solution(s). The performance of the developed solution(s) in relation to ISAR split rendering requirements (see TR 26.865) will be documented in a second technical report. Solutions meeting the ISAR split rendering requirements may be added to the set of IVAS codec specifications (by means of CRs) if they are found suitable for IVAS.  The developed solutions should also be referenced in the </w:t>
      </w:r>
      <w:proofErr w:type="spellStart"/>
      <w:r>
        <w:t>MeCAR</w:t>
      </w:r>
      <w:proofErr w:type="spellEnd"/>
      <w:r>
        <w:t xml:space="preserve"> specification.</w:t>
      </w:r>
      <w:r>
        <w:rPr>
          <w:lang w:eastAsia="en-US"/>
        </w:rPr>
        <w:t xml:space="preserve"> </w:t>
      </w:r>
    </w:p>
    <w:p w14:paraId="07AD7B22" w14:textId="11E35489" w:rsidR="00753B8D" w:rsidRDefault="00524238" w:rsidP="00E72B61">
      <w:pPr>
        <w:rPr>
          <w:lang w:val="en-US"/>
        </w:rPr>
      </w:pPr>
      <w:bookmarkStart w:id="0" w:name="_Hlk147764221"/>
      <w:r>
        <w:rPr>
          <w:lang w:val="en-US"/>
        </w:rPr>
        <w:t xml:space="preserve">Specific split rendering solutions for IVAS should comprise a non-mandatory default split rendering encoder for the specified internal and stand-alone IVAS renderers. In addition, for a given specific solution there should be specified interfaces offering the possibility either to connect a given (proprietary) renderer for IVAS to the intermediate representation encoder or to use proprietary pre-renderers/intermediate encoders to produce compliant intermediate bitstreams. </w:t>
      </w:r>
      <w:bookmarkStart w:id="1" w:name="_Hlk147765014"/>
      <w:r>
        <w:rPr>
          <w:lang w:val="en-US"/>
        </w:rPr>
        <w:t>Such proprietary solutions shall be compliant with the relevant requirements documented in TR 26.865. ISAR end device implementations for IVAS claiming support of a specific solution shall be required to have at least a fully compliant split rendering decoder.</w:t>
      </w:r>
      <w:bookmarkEnd w:id="1"/>
      <w:r>
        <w:rPr>
          <w:lang w:val="en-US"/>
        </w:rPr>
        <w:t xml:space="preserve"> Other decoder/post-renderer implementations not claiming support of a specific ISAR solution for IVAS remain at the discretion of the implementor.</w:t>
      </w:r>
      <w:bookmarkEnd w:id="0"/>
    </w:p>
    <w:p w14:paraId="7376CE05" w14:textId="77777777" w:rsidR="00753B8D" w:rsidRDefault="00753B8D" w:rsidP="00E72B61">
      <w:pPr>
        <w:rPr>
          <w:lang w:val="en-US" w:eastAsia="ja-JP"/>
        </w:rPr>
      </w:pPr>
    </w:p>
    <w:p w14:paraId="75903FC3" w14:textId="455A798D" w:rsidR="00753B8D" w:rsidRDefault="00753B8D" w:rsidP="00E72B61">
      <w:pPr>
        <w:rPr>
          <w:lang w:val="en-US" w:eastAsia="ja-JP"/>
        </w:rPr>
      </w:pPr>
      <w:bookmarkStart w:id="2" w:name="_Hlk157694281"/>
      <w:r>
        <w:rPr>
          <w:lang w:val="en-US" w:eastAsia="ja-JP"/>
        </w:rPr>
        <w:t xml:space="preserve">The WI exception </w:t>
      </w:r>
      <w:r w:rsidRPr="00753B8D">
        <w:rPr>
          <w:lang w:val="en-US" w:eastAsia="ja-JP"/>
        </w:rPr>
        <w:t>is required to perform selection of the ISAR solution(s) based on the agreed terms of reference</w:t>
      </w:r>
      <w:r>
        <w:rPr>
          <w:lang w:val="en-US" w:eastAsia="ja-JP"/>
        </w:rPr>
        <w:t xml:space="preserve"> and to ensure that this/these solution(s) is/are available in the same Rel-18 timeframe as the impacted services</w:t>
      </w:r>
      <w:r w:rsidRPr="00753B8D">
        <w:rPr>
          <w:lang w:val="en-US" w:eastAsia="ja-JP"/>
        </w:rPr>
        <w:t>.</w:t>
      </w:r>
    </w:p>
    <w:bookmarkEnd w:id="2"/>
    <w:p w14:paraId="73159AC4" w14:textId="77777777" w:rsidR="00524238" w:rsidRPr="00524238" w:rsidRDefault="00524238" w:rsidP="00E72B61">
      <w:pPr>
        <w:rPr>
          <w:lang w:val="en-US" w:eastAsia="ja-JP"/>
        </w:rPr>
      </w:pPr>
    </w:p>
    <w:p w14:paraId="684A7FC9" w14:textId="77777777" w:rsidR="00E72B61" w:rsidRPr="00684CA1" w:rsidRDefault="00E72B61" w:rsidP="00E72B61">
      <w:pPr>
        <w:pBdr>
          <w:top w:val="single" w:sz="4" w:space="1" w:color="auto"/>
        </w:pBdr>
        <w:tabs>
          <w:tab w:val="left" w:pos="3119"/>
        </w:tabs>
        <w:rPr>
          <w:b/>
        </w:rPr>
      </w:pPr>
      <w:r w:rsidRPr="00684CA1">
        <w:rPr>
          <w:b/>
        </w:rPr>
        <w:lastRenderedPageBreak/>
        <w:t>Contentious Issues:</w:t>
      </w:r>
    </w:p>
    <w:p w14:paraId="0D1535DD" w14:textId="14096972" w:rsidR="00E72B61" w:rsidRPr="00684CA1" w:rsidRDefault="00524238" w:rsidP="00E72B61">
      <w:pPr>
        <w:rPr>
          <w:sz w:val="18"/>
          <w:szCs w:val="18"/>
          <w:lang w:eastAsia="zh-CN"/>
        </w:rPr>
      </w:pPr>
      <w:r>
        <w:rPr>
          <w:sz w:val="18"/>
          <w:szCs w:val="18"/>
          <w:lang w:eastAsia="zh-CN"/>
        </w:rPr>
        <w:t>None.</w:t>
      </w:r>
    </w:p>
    <w:sectPr w:rsidR="00E72B61" w:rsidRPr="00684CA1" w:rsidSect="001000A1">
      <w:pgSz w:w="11906" w:h="16838"/>
      <w:pgMar w:top="851" w:right="851" w:bottom="567" w:left="851"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3D63" w14:textId="77777777" w:rsidR="00CE50B8" w:rsidRDefault="00CE50B8">
      <w:r>
        <w:separator/>
      </w:r>
    </w:p>
  </w:endnote>
  <w:endnote w:type="continuationSeparator" w:id="0">
    <w:p w14:paraId="50D3DFF9" w14:textId="77777777" w:rsidR="00CE50B8" w:rsidRDefault="00CE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0D65" w14:textId="77777777" w:rsidR="00CE50B8" w:rsidRDefault="00CE50B8">
      <w:r>
        <w:separator/>
      </w:r>
    </w:p>
  </w:footnote>
  <w:footnote w:type="continuationSeparator" w:id="0">
    <w:p w14:paraId="6593C386" w14:textId="77777777" w:rsidR="00CE50B8" w:rsidRDefault="00CE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FE4D07"/>
    <w:multiLevelType w:val="hybridMultilevel"/>
    <w:tmpl w:val="405EC1A6"/>
    <w:lvl w:ilvl="0" w:tplc="56B857CA">
      <w:start w:val="4"/>
      <w:numFmt w:val="bullet"/>
      <w:lvlText w:val=""/>
      <w:lvlJc w:val="left"/>
      <w:pPr>
        <w:ind w:left="720" w:hanging="360"/>
      </w:pPr>
      <w:rPr>
        <w:rFonts w:ascii="Symbol" w:eastAsia="Times New Roman" w:hAnsi="Symbol"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0169281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05494788">
    <w:abstractNumId w:val="4"/>
  </w:num>
  <w:num w:numId="3" w16cid:durableId="355740942">
    <w:abstractNumId w:val="3"/>
  </w:num>
  <w:num w:numId="4" w16cid:durableId="1062411260">
    <w:abstractNumId w:val="2"/>
  </w:num>
  <w:num w:numId="5" w16cid:durableId="1064377808">
    <w:abstractNumId w:val="5"/>
  </w:num>
  <w:num w:numId="6" w16cid:durableId="2034303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38D"/>
    <w:rsid w:val="00006EF7"/>
    <w:rsid w:val="000205C5"/>
    <w:rsid w:val="00052BF8"/>
    <w:rsid w:val="00057116"/>
    <w:rsid w:val="00074015"/>
    <w:rsid w:val="000A4E67"/>
    <w:rsid w:val="000B0A2F"/>
    <w:rsid w:val="000B61FD"/>
    <w:rsid w:val="000E55AD"/>
    <w:rsid w:val="000F7795"/>
    <w:rsid w:val="001000A1"/>
    <w:rsid w:val="001357D9"/>
    <w:rsid w:val="00187B47"/>
    <w:rsid w:val="001958AD"/>
    <w:rsid w:val="001C5C86"/>
    <w:rsid w:val="002000C2"/>
    <w:rsid w:val="002018D8"/>
    <w:rsid w:val="00220888"/>
    <w:rsid w:val="00223AB7"/>
    <w:rsid w:val="0025646D"/>
    <w:rsid w:val="002676EC"/>
    <w:rsid w:val="002C5575"/>
    <w:rsid w:val="002E7A9E"/>
    <w:rsid w:val="003205AD"/>
    <w:rsid w:val="003225E2"/>
    <w:rsid w:val="00335FB2"/>
    <w:rsid w:val="00344158"/>
    <w:rsid w:val="00363594"/>
    <w:rsid w:val="003A1EB0"/>
    <w:rsid w:val="003C6DA6"/>
    <w:rsid w:val="003F268E"/>
    <w:rsid w:val="003F54E5"/>
    <w:rsid w:val="0043745F"/>
    <w:rsid w:val="0044029F"/>
    <w:rsid w:val="0048267C"/>
    <w:rsid w:val="004876B9"/>
    <w:rsid w:val="00493A79"/>
    <w:rsid w:val="004A6A60"/>
    <w:rsid w:val="00520A9C"/>
    <w:rsid w:val="00524238"/>
    <w:rsid w:val="005340C8"/>
    <w:rsid w:val="005573BB"/>
    <w:rsid w:val="00557B2E"/>
    <w:rsid w:val="00561267"/>
    <w:rsid w:val="005878A0"/>
    <w:rsid w:val="00590087"/>
    <w:rsid w:val="00595B52"/>
    <w:rsid w:val="005C1802"/>
    <w:rsid w:val="005C4F58"/>
    <w:rsid w:val="005D3FEC"/>
    <w:rsid w:val="005D44BE"/>
    <w:rsid w:val="005F413B"/>
    <w:rsid w:val="00611EC4"/>
    <w:rsid w:val="00620B3F"/>
    <w:rsid w:val="006418C6"/>
    <w:rsid w:val="00663FF2"/>
    <w:rsid w:val="00671BBB"/>
    <w:rsid w:val="00682237"/>
    <w:rsid w:val="00684CA1"/>
    <w:rsid w:val="006E6480"/>
    <w:rsid w:val="00716FE1"/>
    <w:rsid w:val="0075141A"/>
    <w:rsid w:val="0075252A"/>
    <w:rsid w:val="00753B8D"/>
    <w:rsid w:val="00764B84"/>
    <w:rsid w:val="0078034D"/>
    <w:rsid w:val="00790BCC"/>
    <w:rsid w:val="007955CD"/>
    <w:rsid w:val="007974F5"/>
    <w:rsid w:val="007B0F49"/>
    <w:rsid w:val="007C7E14"/>
    <w:rsid w:val="007D2B4B"/>
    <w:rsid w:val="007F7421"/>
    <w:rsid w:val="00833504"/>
    <w:rsid w:val="008723D7"/>
    <w:rsid w:val="0088222A"/>
    <w:rsid w:val="008A76FD"/>
    <w:rsid w:val="008C537F"/>
    <w:rsid w:val="008D658B"/>
    <w:rsid w:val="009437A2"/>
    <w:rsid w:val="00945471"/>
    <w:rsid w:val="009469BC"/>
    <w:rsid w:val="00985B73"/>
    <w:rsid w:val="009A3BC4"/>
    <w:rsid w:val="00A10539"/>
    <w:rsid w:val="00A3082C"/>
    <w:rsid w:val="00A36378"/>
    <w:rsid w:val="00A70E1E"/>
    <w:rsid w:val="00AA7D13"/>
    <w:rsid w:val="00B03C01"/>
    <w:rsid w:val="00B066D2"/>
    <w:rsid w:val="00B078D6"/>
    <w:rsid w:val="00B3015C"/>
    <w:rsid w:val="00B47DAF"/>
    <w:rsid w:val="00BA4095"/>
    <w:rsid w:val="00BC642A"/>
    <w:rsid w:val="00C43D1E"/>
    <w:rsid w:val="00C51766"/>
    <w:rsid w:val="00C57C50"/>
    <w:rsid w:val="00C715CA"/>
    <w:rsid w:val="00C83490"/>
    <w:rsid w:val="00C94020"/>
    <w:rsid w:val="00CE1F4D"/>
    <w:rsid w:val="00CE50B8"/>
    <w:rsid w:val="00D77416"/>
    <w:rsid w:val="00D9295E"/>
    <w:rsid w:val="00DA709D"/>
    <w:rsid w:val="00DA74F3"/>
    <w:rsid w:val="00E00C03"/>
    <w:rsid w:val="00E033E0"/>
    <w:rsid w:val="00E13CB2"/>
    <w:rsid w:val="00E72B61"/>
    <w:rsid w:val="00E90B85"/>
    <w:rsid w:val="00EC5BBD"/>
    <w:rsid w:val="00EC66A1"/>
    <w:rsid w:val="00EC7EB2"/>
    <w:rsid w:val="00EE71C7"/>
    <w:rsid w:val="00F40B2F"/>
    <w:rsid w:val="00F4338D"/>
    <w:rsid w:val="00F440D3"/>
    <w:rsid w:val="00F921F1"/>
    <w:rsid w:val="00FC0804"/>
    <w:rsid w:val="00FC3B6D"/>
    <w:rsid w:val="00FD3A4E"/>
    <w:rsid w:val="00FE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EE35"/>
  <w15:chartTrackingRefBased/>
  <w15:docId w15:val="{2485EC6D-F296-48D6-B3F5-BF2DC4F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FE1"/>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716F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716FE1"/>
    <w:pPr>
      <w:pBdr>
        <w:top w:val="none" w:sz="0" w:space="0" w:color="auto"/>
      </w:pBdr>
      <w:spacing w:before="180"/>
      <w:outlineLvl w:val="1"/>
    </w:pPr>
    <w:rPr>
      <w:sz w:val="32"/>
    </w:rPr>
  </w:style>
  <w:style w:type="paragraph" w:styleId="Heading3">
    <w:name w:val="heading 3"/>
    <w:basedOn w:val="Heading2"/>
    <w:next w:val="Normal"/>
    <w:qFormat/>
    <w:rsid w:val="00716FE1"/>
    <w:pPr>
      <w:spacing w:before="120"/>
      <w:outlineLvl w:val="2"/>
    </w:pPr>
    <w:rPr>
      <w:sz w:val="28"/>
    </w:rPr>
  </w:style>
  <w:style w:type="paragraph" w:styleId="Heading4">
    <w:name w:val="heading 4"/>
    <w:basedOn w:val="Heading3"/>
    <w:next w:val="Normal"/>
    <w:qFormat/>
    <w:rsid w:val="00716FE1"/>
    <w:pPr>
      <w:ind w:left="1418" w:hanging="1418"/>
      <w:outlineLvl w:val="3"/>
    </w:pPr>
    <w:rPr>
      <w:sz w:val="24"/>
    </w:rPr>
  </w:style>
  <w:style w:type="paragraph" w:styleId="Heading5">
    <w:name w:val="heading 5"/>
    <w:basedOn w:val="Heading4"/>
    <w:next w:val="Normal"/>
    <w:qFormat/>
    <w:rsid w:val="00716FE1"/>
    <w:pPr>
      <w:ind w:left="1701" w:hanging="1701"/>
      <w:outlineLvl w:val="4"/>
    </w:pPr>
    <w:rPr>
      <w:sz w:val="22"/>
    </w:rPr>
  </w:style>
  <w:style w:type="paragraph" w:styleId="Heading6">
    <w:name w:val="heading 6"/>
    <w:basedOn w:val="H6"/>
    <w:next w:val="Normal"/>
    <w:qFormat/>
    <w:rsid w:val="00716FE1"/>
    <w:pPr>
      <w:outlineLvl w:val="5"/>
    </w:pPr>
  </w:style>
  <w:style w:type="paragraph" w:styleId="Heading7">
    <w:name w:val="heading 7"/>
    <w:basedOn w:val="H6"/>
    <w:next w:val="Normal"/>
    <w:qFormat/>
    <w:rsid w:val="00716FE1"/>
    <w:pPr>
      <w:outlineLvl w:val="6"/>
    </w:pPr>
  </w:style>
  <w:style w:type="paragraph" w:styleId="Heading8">
    <w:name w:val="heading 8"/>
    <w:basedOn w:val="Heading1"/>
    <w:next w:val="Normal"/>
    <w:qFormat/>
    <w:rsid w:val="00716FE1"/>
    <w:pPr>
      <w:ind w:left="0" w:firstLine="0"/>
      <w:outlineLvl w:val="7"/>
    </w:pPr>
  </w:style>
  <w:style w:type="paragraph" w:styleId="Heading9">
    <w:name w:val="heading 9"/>
    <w:basedOn w:val="Heading8"/>
    <w:next w:val="Normal"/>
    <w:qFormat/>
    <w:rsid w:val="00716F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16FE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716FE1"/>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16FE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16FE1"/>
    <w:pPr>
      <w:spacing w:before="180"/>
      <w:ind w:left="2693" w:hanging="2693"/>
    </w:pPr>
    <w:rPr>
      <w:b/>
    </w:rPr>
  </w:style>
  <w:style w:type="paragraph" w:styleId="TOC1">
    <w:name w:val="toc 1"/>
    <w:semiHidden/>
    <w:rsid w:val="00716FE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716FE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716FE1"/>
    <w:pPr>
      <w:ind w:left="1701" w:hanging="1701"/>
    </w:pPr>
  </w:style>
  <w:style w:type="paragraph" w:styleId="TOC4">
    <w:name w:val="toc 4"/>
    <w:basedOn w:val="TOC3"/>
    <w:semiHidden/>
    <w:rsid w:val="00716FE1"/>
    <w:pPr>
      <w:ind w:left="1418" w:hanging="1418"/>
    </w:pPr>
  </w:style>
  <w:style w:type="paragraph" w:styleId="TOC3">
    <w:name w:val="toc 3"/>
    <w:basedOn w:val="TOC2"/>
    <w:semiHidden/>
    <w:rsid w:val="00716FE1"/>
    <w:pPr>
      <w:ind w:left="1134" w:hanging="1134"/>
    </w:pPr>
  </w:style>
  <w:style w:type="paragraph" w:styleId="TOC2">
    <w:name w:val="toc 2"/>
    <w:basedOn w:val="TOC1"/>
    <w:semiHidden/>
    <w:rsid w:val="00716FE1"/>
    <w:pPr>
      <w:keepNext w:val="0"/>
      <w:spacing w:before="0"/>
      <w:ind w:left="851" w:hanging="851"/>
    </w:pPr>
    <w:rPr>
      <w:sz w:val="20"/>
    </w:rPr>
  </w:style>
  <w:style w:type="paragraph" w:styleId="Index2">
    <w:name w:val="index 2"/>
    <w:basedOn w:val="Index1"/>
    <w:semiHidden/>
    <w:rsid w:val="00716FE1"/>
    <w:pPr>
      <w:ind w:left="284"/>
    </w:pPr>
  </w:style>
  <w:style w:type="paragraph" w:styleId="Index1">
    <w:name w:val="index 1"/>
    <w:basedOn w:val="Normal"/>
    <w:semiHidden/>
    <w:rsid w:val="00716FE1"/>
    <w:pPr>
      <w:keepLines/>
      <w:spacing w:after="0"/>
    </w:pPr>
  </w:style>
  <w:style w:type="paragraph" w:customStyle="1" w:styleId="ZH">
    <w:name w:val="ZH"/>
    <w:rsid w:val="00716FE1"/>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716FE1"/>
    <w:pPr>
      <w:outlineLvl w:val="9"/>
    </w:pPr>
  </w:style>
  <w:style w:type="paragraph" w:styleId="ListNumber2">
    <w:name w:val="List Number 2"/>
    <w:basedOn w:val="ListNumber"/>
    <w:rsid w:val="00716FE1"/>
    <w:pPr>
      <w:ind w:left="851"/>
    </w:pPr>
  </w:style>
  <w:style w:type="character" w:styleId="FootnoteReference">
    <w:name w:val="footnote reference"/>
    <w:semiHidden/>
    <w:rsid w:val="00716FE1"/>
    <w:rPr>
      <w:b/>
      <w:position w:val="6"/>
      <w:sz w:val="16"/>
    </w:rPr>
  </w:style>
  <w:style w:type="paragraph" w:styleId="FootnoteText">
    <w:name w:val="footnote text"/>
    <w:basedOn w:val="Normal"/>
    <w:semiHidden/>
    <w:rsid w:val="00716FE1"/>
    <w:pPr>
      <w:keepLines/>
      <w:spacing w:after="0"/>
      <w:ind w:left="454" w:hanging="454"/>
    </w:pPr>
    <w:rPr>
      <w:sz w:val="16"/>
    </w:rPr>
  </w:style>
  <w:style w:type="paragraph" w:customStyle="1" w:styleId="TAC">
    <w:name w:val="TAC"/>
    <w:basedOn w:val="TAL"/>
    <w:rsid w:val="00716FE1"/>
    <w:pPr>
      <w:jc w:val="center"/>
    </w:pPr>
  </w:style>
  <w:style w:type="paragraph" w:customStyle="1" w:styleId="TF">
    <w:name w:val="TF"/>
    <w:basedOn w:val="TH"/>
    <w:rsid w:val="00716FE1"/>
    <w:pPr>
      <w:keepNext w:val="0"/>
      <w:spacing w:before="0" w:after="240"/>
    </w:pPr>
  </w:style>
  <w:style w:type="paragraph" w:customStyle="1" w:styleId="NO">
    <w:name w:val="NO"/>
    <w:basedOn w:val="Normal"/>
    <w:rsid w:val="00716FE1"/>
    <w:pPr>
      <w:keepLines/>
      <w:ind w:left="1135" w:hanging="851"/>
    </w:pPr>
  </w:style>
  <w:style w:type="paragraph" w:styleId="TOC9">
    <w:name w:val="toc 9"/>
    <w:basedOn w:val="TOC8"/>
    <w:semiHidden/>
    <w:rsid w:val="00716FE1"/>
    <w:pPr>
      <w:ind w:left="1418" w:hanging="1418"/>
    </w:pPr>
  </w:style>
  <w:style w:type="paragraph" w:customStyle="1" w:styleId="EX">
    <w:name w:val="EX"/>
    <w:basedOn w:val="Normal"/>
    <w:rsid w:val="00716FE1"/>
    <w:pPr>
      <w:keepLines/>
      <w:ind w:left="1702" w:hanging="1418"/>
    </w:pPr>
  </w:style>
  <w:style w:type="paragraph" w:customStyle="1" w:styleId="FP">
    <w:name w:val="FP"/>
    <w:basedOn w:val="Normal"/>
    <w:rsid w:val="00716FE1"/>
    <w:pPr>
      <w:spacing w:after="0"/>
    </w:pPr>
  </w:style>
  <w:style w:type="paragraph" w:customStyle="1" w:styleId="LD">
    <w:name w:val="LD"/>
    <w:rsid w:val="00716FE1"/>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716FE1"/>
    <w:pPr>
      <w:spacing w:after="0"/>
    </w:pPr>
  </w:style>
  <w:style w:type="paragraph" w:customStyle="1" w:styleId="EW">
    <w:name w:val="EW"/>
    <w:basedOn w:val="EX"/>
    <w:rsid w:val="00716FE1"/>
    <w:pPr>
      <w:spacing w:after="0"/>
    </w:pPr>
  </w:style>
  <w:style w:type="paragraph" w:styleId="TOC6">
    <w:name w:val="toc 6"/>
    <w:basedOn w:val="TOC5"/>
    <w:next w:val="Normal"/>
    <w:semiHidden/>
    <w:rsid w:val="00716FE1"/>
    <w:pPr>
      <w:ind w:left="1985" w:hanging="1985"/>
    </w:pPr>
  </w:style>
  <w:style w:type="paragraph" w:styleId="TOC7">
    <w:name w:val="toc 7"/>
    <w:basedOn w:val="TOC6"/>
    <w:next w:val="Normal"/>
    <w:semiHidden/>
    <w:rsid w:val="00716FE1"/>
    <w:pPr>
      <w:ind w:left="2268" w:hanging="2268"/>
    </w:pPr>
  </w:style>
  <w:style w:type="paragraph" w:styleId="ListBullet2">
    <w:name w:val="List Bullet 2"/>
    <w:basedOn w:val="ListBullet"/>
    <w:rsid w:val="00716FE1"/>
    <w:pPr>
      <w:ind w:left="851"/>
    </w:pPr>
  </w:style>
  <w:style w:type="paragraph" w:styleId="ListBullet3">
    <w:name w:val="List Bullet 3"/>
    <w:basedOn w:val="ListBullet2"/>
    <w:rsid w:val="00716FE1"/>
    <w:pPr>
      <w:ind w:left="1135"/>
    </w:pPr>
  </w:style>
  <w:style w:type="paragraph" w:styleId="ListNumber">
    <w:name w:val="List Number"/>
    <w:basedOn w:val="List"/>
    <w:rsid w:val="00716FE1"/>
  </w:style>
  <w:style w:type="paragraph" w:customStyle="1" w:styleId="EQ">
    <w:name w:val="EQ"/>
    <w:basedOn w:val="Normal"/>
    <w:next w:val="Normal"/>
    <w:rsid w:val="00716FE1"/>
    <w:pPr>
      <w:keepLines/>
      <w:tabs>
        <w:tab w:val="center" w:pos="4536"/>
        <w:tab w:val="right" w:pos="9072"/>
      </w:tabs>
    </w:pPr>
    <w:rPr>
      <w:noProof/>
    </w:rPr>
  </w:style>
  <w:style w:type="paragraph" w:customStyle="1" w:styleId="TH">
    <w:name w:val="TH"/>
    <w:basedOn w:val="Normal"/>
    <w:rsid w:val="00716FE1"/>
    <w:pPr>
      <w:keepNext/>
      <w:keepLines/>
      <w:spacing w:before="60"/>
      <w:jc w:val="center"/>
    </w:pPr>
    <w:rPr>
      <w:rFonts w:ascii="Arial" w:hAnsi="Arial"/>
      <w:b/>
    </w:rPr>
  </w:style>
  <w:style w:type="paragraph" w:customStyle="1" w:styleId="NF">
    <w:name w:val="NF"/>
    <w:basedOn w:val="NO"/>
    <w:rsid w:val="00716FE1"/>
    <w:pPr>
      <w:keepNext/>
      <w:spacing w:after="0"/>
    </w:pPr>
    <w:rPr>
      <w:rFonts w:ascii="Arial" w:hAnsi="Arial"/>
      <w:sz w:val="18"/>
    </w:rPr>
  </w:style>
  <w:style w:type="paragraph" w:customStyle="1" w:styleId="PL">
    <w:name w:val="PL"/>
    <w:rsid w:val="00716F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716FE1"/>
    <w:pPr>
      <w:jc w:val="right"/>
    </w:pPr>
  </w:style>
  <w:style w:type="paragraph" w:customStyle="1" w:styleId="H6">
    <w:name w:val="H6"/>
    <w:basedOn w:val="Heading5"/>
    <w:next w:val="Normal"/>
    <w:rsid w:val="00716FE1"/>
    <w:pPr>
      <w:ind w:left="1985" w:hanging="1985"/>
      <w:outlineLvl w:val="9"/>
    </w:pPr>
    <w:rPr>
      <w:sz w:val="20"/>
    </w:rPr>
  </w:style>
  <w:style w:type="paragraph" w:customStyle="1" w:styleId="TAN">
    <w:name w:val="TAN"/>
    <w:basedOn w:val="TAL"/>
    <w:rsid w:val="00716FE1"/>
    <w:pPr>
      <w:ind w:left="851" w:hanging="851"/>
    </w:pPr>
  </w:style>
  <w:style w:type="paragraph" w:customStyle="1" w:styleId="ZA">
    <w:name w:val="ZA"/>
    <w:rsid w:val="00716FE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716FE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716FE1"/>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716FE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716FE1"/>
    <w:pPr>
      <w:framePr w:wrap="notBeside" w:y="16161"/>
    </w:pPr>
  </w:style>
  <w:style w:type="character" w:customStyle="1" w:styleId="ZGSM">
    <w:name w:val="ZGSM"/>
    <w:rsid w:val="00716FE1"/>
  </w:style>
  <w:style w:type="paragraph" w:styleId="List2">
    <w:name w:val="List 2"/>
    <w:basedOn w:val="List"/>
    <w:rsid w:val="00716FE1"/>
    <w:pPr>
      <w:ind w:left="851"/>
    </w:pPr>
  </w:style>
  <w:style w:type="paragraph" w:customStyle="1" w:styleId="ZG">
    <w:name w:val="ZG"/>
    <w:rsid w:val="00716FE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716FE1"/>
    <w:pPr>
      <w:ind w:left="1135"/>
    </w:pPr>
  </w:style>
  <w:style w:type="paragraph" w:styleId="List4">
    <w:name w:val="List 4"/>
    <w:basedOn w:val="List3"/>
    <w:rsid w:val="00716FE1"/>
    <w:pPr>
      <w:ind w:left="1418"/>
    </w:pPr>
  </w:style>
  <w:style w:type="paragraph" w:styleId="List5">
    <w:name w:val="List 5"/>
    <w:basedOn w:val="List4"/>
    <w:rsid w:val="00716FE1"/>
    <w:pPr>
      <w:ind w:left="1702"/>
    </w:pPr>
  </w:style>
  <w:style w:type="paragraph" w:customStyle="1" w:styleId="EditorsNote">
    <w:name w:val="Editor's Note"/>
    <w:basedOn w:val="NO"/>
    <w:rsid w:val="00716FE1"/>
    <w:rPr>
      <w:color w:val="FF0000"/>
    </w:rPr>
  </w:style>
  <w:style w:type="paragraph" w:styleId="List">
    <w:name w:val="List"/>
    <w:basedOn w:val="Normal"/>
    <w:rsid w:val="00716FE1"/>
    <w:pPr>
      <w:ind w:left="568" w:hanging="284"/>
    </w:pPr>
  </w:style>
  <w:style w:type="paragraph" w:styleId="ListBullet">
    <w:name w:val="List Bullet"/>
    <w:basedOn w:val="List"/>
    <w:rsid w:val="00716FE1"/>
  </w:style>
  <w:style w:type="paragraph" w:styleId="ListBullet4">
    <w:name w:val="List Bullet 4"/>
    <w:basedOn w:val="ListBullet3"/>
    <w:rsid w:val="00716FE1"/>
    <w:pPr>
      <w:ind w:left="1418"/>
    </w:pPr>
  </w:style>
  <w:style w:type="paragraph" w:styleId="ListBullet5">
    <w:name w:val="List Bullet 5"/>
    <w:basedOn w:val="ListBullet4"/>
    <w:rsid w:val="00716FE1"/>
    <w:pPr>
      <w:ind w:left="1702"/>
    </w:pPr>
  </w:style>
  <w:style w:type="paragraph" w:customStyle="1" w:styleId="B1">
    <w:name w:val="B1"/>
    <w:basedOn w:val="List"/>
    <w:rsid w:val="00716FE1"/>
  </w:style>
  <w:style w:type="paragraph" w:customStyle="1" w:styleId="B2">
    <w:name w:val="B2"/>
    <w:basedOn w:val="List2"/>
    <w:rsid w:val="00716FE1"/>
  </w:style>
  <w:style w:type="paragraph" w:customStyle="1" w:styleId="B3">
    <w:name w:val="B3"/>
    <w:basedOn w:val="List3"/>
    <w:rsid w:val="00716FE1"/>
  </w:style>
  <w:style w:type="paragraph" w:customStyle="1" w:styleId="B4">
    <w:name w:val="B4"/>
    <w:basedOn w:val="List4"/>
    <w:rsid w:val="00716FE1"/>
  </w:style>
  <w:style w:type="paragraph" w:customStyle="1" w:styleId="B5">
    <w:name w:val="B5"/>
    <w:basedOn w:val="List5"/>
    <w:rsid w:val="00716FE1"/>
  </w:style>
  <w:style w:type="paragraph" w:styleId="Footer">
    <w:name w:val="footer"/>
    <w:basedOn w:val="Header"/>
    <w:rsid w:val="00716FE1"/>
    <w:pPr>
      <w:jc w:val="center"/>
    </w:pPr>
    <w:rPr>
      <w:i/>
    </w:rPr>
  </w:style>
  <w:style w:type="paragraph" w:customStyle="1" w:styleId="ZTD">
    <w:name w:val="ZTD"/>
    <w:basedOn w:val="ZB"/>
    <w:rsid w:val="00716FE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EC66A1"/>
  </w:style>
  <w:style w:type="paragraph" w:styleId="ListParagraph">
    <w:name w:val="List Paragraph"/>
    <w:basedOn w:val="Normal"/>
    <w:uiPriority w:val="34"/>
    <w:qFormat/>
    <w:rsid w:val="00EC66A1"/>
    <w:pPr>
      <w:overflowPunct/>
      <w:autoSpaceDE/>
      <w:autoSpaceDN/>
      <w:adjustRightInd/>
      <w:spacing w:after="0"/>
      <w:ind w:left="720"/>
      <w:contextualSpacing/>
      <w:jc w:val="both"/>
      <w:textAlignment w:val="auto"/>
    </w:pPr>
    <w:rPr>
      <w:i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1356076349">
      <w:bodyDiv w:val="1"/>
      <w:marLeft w:val="0"/>
      <w:marRight w:val="0"/>
      <w:marTop w:val="0"/>
      <w:marBottom w:val="0"/>
      <w:divBdr>
        <w:top w:val="none" w:sz="0" w:space="0" w:color="auto"/>
        <w:left w:val="none" w:sz="0" w:space="0" w:color="auto"/>
        <w:bottom w:val="none" w:sz="0" w:space="0" w:color="auto"/>
        <w:right w:val="none" w:sz="0" w:space="0" w:color="auto"/>
      </w:divBdr>
    </w:div>
    <w:div w:id="1890453417">
      <w:bodyDiv w:val="1"/>
      <w:marLeft w:val="0"/>
      <w:marRight w:val="0"/>
      <w:marTop w:val="0"/>
      <w:marBottom w:val="0"/>
      <w:divBdr>
        <w:top w:val="none" w:sz="0" w:space="0" w:color="auto"/>
        <w:left w:val="none" w:sz="0" w:space="0" w:color="auto"/>
        <w:bottom w:val="none" w:sz="0" w:space="0" w:color="auto"/>
        <w:right w:val="none" w:sz="0" w:space="0" w:color="auto"/>
      </w:divBdr>
    </w:div>
    <w:div w:id="2076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BT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Roger Tarazi</dc:creator>
  <cp:keywords/>
  <cp:lastModifiedBy>Stefan Bruhn</cp:lastModifiedBy>
  <cp:revision>4</cp:revision>
  <cp:lastPrinted>2009-10-12T14:10:00Z</cp:lastPrinted>
  <dcterms:created xsi:type="dcterms:W3CDTF">2024-02-01T14:07:00Z</dcterms:created>
  <dcterms:modified xsi:type="dcterms:W3CDTF">2024-02-01T15:17:00Z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