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78E89D9A" w:rsidR="00D54E12" w:rsidRPr="006D5CB2" w:rsidRDefault="00D54E12" w:rsidP="008E64F2">
      <w:pPr>
        <w:tabs>
          <w:tab w:val="left" w:pos="2127"/>
          <w:tab w:val="left" w:pos="2835"/>
        </w:tabs>
        <w:spacing w:before="120" w:line="240" w:lineRule="auto"/>
        <w:ind w:left="2127" w:hanging="2127"/>
        <w:rPr>
          <w:b/>
          <w:sz w:val="24"/>
        </w:rPr>
      </w:pPr>
      <w:r w:rsidRPr="006D5CB2">
        <w:rPr>
          <w:b/>
          <w:sz w:val="24"/>
        </w:rPr>
        <w:t>Source:</w:t>
      </w:r>
      <w:r w:rsidRPr="006D5CB2">
        <w:rPr>
          <w:b/>
          <w:sz w:val="24"/>
        </w:rPr>
        <w:tab/>
      </w:r>
      <w:r w:rsidR="00831470">
        <w:rPr>
          <w:b/>
          <w:sz w:val="24"/>
        </w:rPr>
        <w:t>Xiaomi</w:t>
      </w:r>
    </w:p>
    <w:p w14:paraId="34B5CAF3" w14:textId="29C3D91D"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792C27" w:rsidRPr="00792C27">
        <w:rPr>
          <w:b/>
          <w:sz w:val="24"/>
        </w:rPr>
        <w:t>High brightness challenges for Augmented Reality glasses</w:t>
      </w:r>
    </w:p>
    <w:p w14:paraId="3D37A61E" w14:textId="77777777"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Pr="004B0D98">
        <w:rPr>
          <w:lang w:val="en-GB"/>
        </w:rPr>
        <w:t>Approval</w:t>
      </w:r>
    </w:p>
    <w:p w14:paraId="1AEC9E93" w14:textId="0CFD3043"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792C27">
        <w:rPr>
          <w:lang w:val="en-GB"/>
        </w:rPr>
        <w:t>9.5</w:t>
      </w:r>
    </w:p>
    <w:p w14:paraId="028C206F" w14:textId="77777777" w:rsidR="00D54E12" w:rsidRDefault="00D54E12" w:rsidP="0038551D">
      <w:pPr>
        <w:pBdr>
          <w:top w:val="single" w:sz="12" w:space="1" w:color="auto"/>
        </w:pBdr>
        <w:spacing w:after="0" w:line="240" w:lineRule="auto"/>
      </w:pPr>
    </w:p>
    <w:p w14:paraId="57A660CC" w14:textId="77777777" w:rsidR="00152F43" w:rsidRDefault="00152F43" w:rsidP="0038551D">
      <w:pPr>
        <w:pBdr>
          <w:top w:val="single" w:sz="12" w:space="1" w:color="auto"/>
        </w:pBdr>
        <w:spacing w:after="0" w:line="240" w:lineRule="auto"/>
      </w:pPr>
    </w:p>
    <w:p w14:paraId="31B6A252" w14:textId="34CE74F0" w:rsidR="00152F43" w:rsidRDefault="00D16439" w:rsidP="0043712A">
      <w:pPr>
        <w:pStyle w:val="Heading1"/>
        <w:tabs>
          <w:tab w:val="left" w:pos="2410"/>
        </w:tabs>
      </w:pPr>
      <w:r w:rsidRPr="003548F5">
        <w:t>1</w:t>
      </w:r>
      <w:r w:rsidR="0043712A">
        <w:tab/>
      </w:r>
      <w:r w:rsidR="00152F43" w:rsidRPr="003548F5">
        <w:t>Int</w:t>
      </w:r>
      <w:r w:rsidR="00100CAD" w:rsidRPr="003548F5">
        <w:t>roduction</w:t>
      </w:r>
    </w:p>
    <w:p w14:paraId="50A7BD6E" w14:textId="5192EFF5" w:rsidR="00116F0C" w:rsidRDefault="000D01B4" w:rsidP="00A359AF">
      <w:r>
        <w:rPr>
          <w:lang w:eastAsia="en-GB"/>
        </w:rPr>
        <w:t>T</w:t>
      </w:r>
      <w:r w:rsidR="00A359AF">
        <w:rPr>
          <w:lang w:eastAsia="en-GB"/>
        </w:rPr>
        <w:t xml:space="preserve">he </w:t>
      </w:r>
      <w:r>
        <w:rPr>
          <w:lang w:eastAsia="en-GB"/>
        </w:rPr>
        <w:t xml:space="preserve">goal of the </w:t>
      </w:r>
      <w:r w:rsidR="00A359AF">
        <w:rPr>
          <w:lang w:eastAsia="en-GB"/>
        </w:rPr>
        <w:t>MeCAR Work Item</w:t>
      </w:r>
      <w:r>
        <w:t xml:space="preserve"> is to define media capabilities of AR devices such as AR glasses. AR glasses </w:t>
      </w:r>
      <w:r w:rsidR="009F5533">
        <w:t>in contrast to the smartphones offering AR experiences are equipped with displays allowing the user to see through the screen mounted on the</w:t>
      </w:r>
      <w:r w:rsidR="00DF2982">
        <w:t xml:space="preserve"> glasses. As a result, ensuring a good user experience across various environment such as indoor</w:t>
      </w:r>
      <w:r w:rsidR="003D3434">
        <w:t>, outdoor, days and night is a challenge since the user should be able to see the surrounding world no matter those lighting conditions.</w:t>
      </w:r>
      <w:r w:rsidR="00F17354">
        <w:t xml:space="preserve"> At SA4 #121, </w:t>
      </w:r>
      <w:r w:rsidR="002C4042">
        <w:t>S4-</w:t>
      </w:r>
      <w:r w:rsidR="002C4042" w:rsidRPr="002C4042">
        <w:t>221576</w:t>
      </w:r>
      <w:r w:rsidR="00F17354">
        <w:t xml:space="preserve"> </w:t>
      </w:r>
      <w:r w:rsidR="00856CDA">
        <w:rPr>
          <w:color w:val="2B579A"/>
          <w:shd w:val="clear" w:color="auto" w:fill="E6E6E6"/>
        </w:rPr>
        <w:fldChar w:fldCharType="begin"/>
      </w:r>
      <w:r w:rsidR="00856CDA">
        <w:instrText xml:space="preserve"> REF _Ref127267574 \r \h </w:instrText>
      </w:r>
      <w:r w:rsidR="00856CDA">
        <w:rPr>
          <w:color w:val="2B579A"/>
          <w:shd w:val="clear" w:color="auto" w:fill="E6E6E6"/>
        </w:rPr>
      </w:r>
      <w:r w:rsidR="00856CDA">
        <w:rPr>
          <w:color w:val="2B579A"/>
          <w:shd w:val="clear" w:color="auto" w:fill="E6E6E6"/>
        </w:rPr>
        <w:fldChar w:fldCharType="separate"/>
      </w:r>
      <w:r w:rsidR="00856CDA">
        <w:t>[2]</w:t>
      </w:r>
      <w:r w:rsidR="00856CDA">
        <w:rPr>
          <w:color w:val="2B579A"/>
          <w:shd w:val="clear" w:color="auto" w:fill="E6E6E6"/>
        </w:rPr>
        <w:fldChar w:fldCharType="end"/>
      </w:r>
      <w:r w:rsidR="00856CDA">
        <w:t xml:space="preserve"> </w:t>
      </w:r>
      <w:r w:rsidR="00F17354">
        <w:t>provided a first study of those challenges.</w:t>
      </w:r>
    </w:p>
    <w:p w14:paraId="4B511F8C" w14:textId="6567F6B0" w:rsidR="00A30672" w:rsidRDefault="00A30672" w:rsidP="00A359AF">
      <w:r>
        <w:t xml:space="preserve">In this contribution, we provide </w:t>
      </w:r>
      <w:r w:rsidR="00F65590">
        <w:t>a further</w:t>
      </w:r>
      <w:r w:rsidR="00E30658">
        <w:t xml:space="preserve"> analysis o</w:t>
      </w:r>
      <w:r w:rsidR="007B1D68">
        <w:t>n</w:t>
      </w:r>
      <w:r w:rsidR="00E30658">
        <w:t xml:space="preserve"> the matter and provide </w:t>
      </w:r>
      <w:r w:rsidR="007B1D68">
        <w:t>some insight</w:t>
      </w:r>
      <w:r w:rsidR="00F65590">
        <w:t>s</w:t>
      </w:r>
      <w:r>
        <w:t xml:space="preserve"> about th</w:t>
      </w:r>
      <w:r w:rsidR="007B1D68">
        <w:t>ose</w:t>
      </w:r>
      <w:r>
        <w:t xml:space="preserve"> challenges </w:t>
      </w:r>
      <w:r w:rsidR="00F65590">
        <w:t xml:space="preserve"> based on the </w:t>
      </w:r>
      <w:r w:rsidR="00F17354">
        <w:t xml:space="preserve">device </w:t>
      </w:r>
      <w:r w:rsidR="00124AC8">
        <w:t>characteristics</w:t>
      </w:r>
      <w:r w:rsidR="00F17354">
        <w:t xml:space="preserve"> of the </w:t>
      </w:r>
      <w:r w:rsidR="00F41E04">
        <w:t>MIJIA</w:t>
      </w:r>
      <w:r w:rsidR="007F61DD" w:rsidRPr="007F61DD">
        <w:t xml:space="preserve"> Glasses Camera</w:t>
      </w:r>
      <w:r w:rsidR="00F17354">
        <w:t xml:space="preserve"> released in 2022</w:t>
      </w:r>
      <w:r w:rsidR="00FC63C8">
        <w:t xml:space="preserve"> </w:t>
      </w:r>
      <w:r w:rsidR="00F41E04">
        <w:rPr>
          <w:color w:val="2B579A"/>
          <w:shd w:val="clear" w:color="auto" w:fill="E6E6E6"/>
        </w:rPr>
        <w:fldChar w:fldCharType="begin"/>
      </w:r>
      <w:r w:rsidR="00F41E04">
        <w:instrText xml:space="preserve"> REF _Ref127265655 \r \h </w:instrText>
      </w:r>
      <w:r w:rsidR="00F41E04">
        <w:rPr>
          <w:color w:val="2B579A"/>
          <w:shd w:val="clear" w:color="auto" w:fill="E6E6E6"/>
        </w:rPr>
      </w:r>
      <w:r w:rsidR="00F41E04">
        <w:rPr>
          <w:color w:val="2B579A"/>
          <w:shd w:val="clear" w:color="auto" w:fill="E6E6E6"/>
        </w:rPr>
        <w:fldChar w:fldCharType="separate"/>
      </w:r>
      <w:r w:rsidR="00856CDA">
        <w:t>[1]</w:t>
      </w:r>
      <w:r w:rsidR="00F41E04">
        <w:rPr>
          <w:color w:val="2B579A"/>
          <w:shd w:val="clear" w:color="auto" w:fill="E6E6E6"/>
        </w:rPr>
        <w:fldChar w:fldCharType="end"/>
      </w:r>
      <w:r w:rsidR="00921034">
        <w:t xml:space="preserve">. Although not being a MeCAR device, </w:t>
      </w:r>
      <w:r w:rsidR="00D24DB3">
        <w:t>this device faced</w:t>
      </w:r>
      <w:r w:rsidR="00921034">
        <w:t xml:space="preserve"> the </w:t>
      </w:r>
      <w:r w:rsidR="00D24DB3">
        <w:t xml:space="preserve">same </w:t>
      </w:r>
      <w:r w:rsidR="00921034">
        <w:t xml:space="preserve">challenges for </w:t>
      </w:r>
      <w:r w:rsidR="00D24DB3">
        <w:t>high brightness</w:t>
      </w:r>
      <w:r w:rsidR="00921034">
        <w:t xml:space="preserve"> </w:t>
      </w:r>
      <w:r w:rsidR="00D24DB3">
        <w:t>as for future AR Glasses-type MeCAR devices.</w:t>
      </w:r>
    </w:p>
    <w:p w14:paraId="39469AD5" w14:textId="4F3C7BDF" w:rsidR="00F17354" w:rsidRDefault="00F17354" w:rsidP="00A359AF">
      <w:r>
        <w:t xml:space="preserve">Based on this analysis, we propose changes to the Permanent Document </w:t>
      </w:r>
      <w:r w:rsidR="00F41B5C">
        <w:t>to reflect our findings.</w:t>
      </w:r>
    </w:p>
    <w:p w14:paraId="5C837E5A" w14:textId="1B6ADFB4" w:rsidR="00984853" w:rsidRDefault="00984853" w:rsidP="00984853">
      <w:pPr>
        <w:pStyle w:val="Heading1"/>
        <w:tabs>
          <w:tab w:val="left" w:pos="2410"/>
        </w:tabs>
      </w:pPr>
      <w:r>
        <w:t>2</w:t>
      </w:r>
      <w:r>
        <w:tab/>
      </w:r>
      <w:r w:rsidR="009C6449">
        <w:t>Background on brightness challenges for Augmented Reality glasses</w:t>
      </w:r>
    </w:p>
    <w:p w14:paraId="3B931F4F" w14:textId="22D53DDF" w:rsidR="00984853" w:rsidRDefault="00984853" w:rsidP="00984853">
      <w:pPr>
        <w:keepNext/>
        <w:keepLines/>
        <w:overflowPunct w:val="0"/>
        <w:autoSpaceDE w:val="0"/>
        <w:autoSpaceDN w:val="0"/>
        <w:adjustRightInd w:val="0"/>
        <w:spacing w:before="240" w:after="180" w:line="240" w:lineRule="auto"/>
        <w:ind w:left="792" w:hanging="432"/>
        <w:textAlignment w:val="baseline"/>
        <w:outlineLvl w:val="0"/>
        <w:rPr>
          <w:rFonts w:eastAsia="Times New Roman"/>
          <w:sz w:val="28"/>
          <w:lang w:eastAsia="en-GB"/>
        </w:rPr>
      </w:pPr>
      <w:r>
        <w:rPr>
          <w:rFonts w:eastAsia="Times New Roman"/>
          <w:sz w:val="28"/>
          <w:lang w:eastAsia="en-GB"/>
        </w:rPr>
        <w:t>2</w:t>
      </w:r>
      <w:r w:rsidRPr="00FF27F7">
        <w:rPr>
          <w:rFonts w:eastAsia="Times New Roman"/>
          <w:sz w:val="28"/>
          <w:lang w:eastAsia="en-GB"/>
        </w:rPr>
        <w:t xml:space="preserve">.1 </w:t>
      </w:r>
      <w:r w:rsidR="007C7D0B">
        <w:rPr>
          <w:rFonts w:eastAsia="Times New Roman"/>
          <w:sz w:val="28"/>
          <w:lang w:eastAsia="en-GB"/>
        </w:rPr>
        <w:t>Problem description</w:t>
      </w:r>
    </w:p>
    <w:p w14:paraId="21902CA1" w14:textId="0E42E00E" w:rsidR="007C7D0B" w:rsidRDefault="00C906D0" w:rsidP="007C7D0B">
      <w:r>
        <w:t xml:space="preserve">In </w:t>
      </w:r>
      <w:r w:rsidR="007C7D0B">
        <w:t xml:space="preserve">AR, the user is able to see the </w:t>
      </w:r>
      <w:r w:rsidR="00AF598A">
        <w:t>surrounding environment augmented with virtual information</w:t>
      </w:r>
      <w:r>
        <w:t xml:space="preserve"> which is</w:t>
      </w:r>
      <w:r w:rsidR="00AF598A">
        <w:t xml:space="preserve"> </w:t>
      </w:r>
      <w:r w:rsidR="00AF0DB3">
        <w:t xml:space="preserve">overlaid </w:t>
      </w:r>
      <w:r w:rsidR="00AF598A">
        <w:t xml:space="preserve">on top of </w:t>
      </w:r>
      <w:r>
        <w:t>the surrounding</w:t>
      </w:r>
      <w:r w:rsidR="00AF598A">
        <w:t xml:space="preserve">. </w:t>
      </w:r>
      <w:r w:rsidR="00F824AD">
        <w:t xml:space="preserve">With smartphone-based AR, the real </w:t>
      </w:r>
      <w:r w:rsidR="007A77EF">
        <w:t xml:space="preserve">world </w:t>
      </w:r>
      <w:r w:rsidR="2EFB6107">
        <w:t>is</w:t>
      </w:r>
      <w:r w:rsidR="007A77EF">
        <w:t xml:space="preserve"> </w:t>
      </w:r>
      <w:r w:rsidR="00F40142">
        <w:t>captured</w:t>
      </w:r>
      <w:r w:rsidR="007A77EF">
        <w:t xml:space="preserve"> by the optical camera and then fed to the AR engine for processing and overlaying the AR content.</w:t>
      </w:r>
      <w:r w:rsidR="00F40142">
        <w:t xml:space="preserve"> </w:t>
      </w:r>
      <w:r w:rsidR="00072D8F">
        <w:t xml:space="preserve">With AR </w:t>
      </w:r>
      <w:r w:rsidR="009B448C">
        <w:t>g</w:t>
      </w:r>
      <w:r w:rsidR="00072D8F">
        <w:t>la</w:t>
      </w:r>
      <w:r w:rsidR="001D781E">
        <w:t>s</w:t>
      </w:r>
      <w:r w:rsidR="00072D8F">
        <w:t xml:space="preserve">ses-based AR (optical see-through), the user sees the surrounding environment through the glasses </w:t>
      </w:r>
      <w:r w:rsidR="001D781E">
        <w:t>on top of which the virtual information is overlaid.</w:t>
      </w:r>
    </w:p>
    <w:p w14:paraId="4EC81B84" w14:textId="601F3500" w:rsidR="00E94A0C" w:rsidRDefault="00E94A0C" w:rsidP="007C7D0B">
      <w:r>
        <w:t xml:space="preserve">In both cases, </w:t>
      </w:r>
      <w:r w:rsidR="008F0FCB">
        <w:t>i.e.,</w:t>
      </w:r>
      <w:r>
        <w:t xml:space="preserve"> smartphone-based AR and AR </w:t>
      </w:r>
      <w:r w:rsidR="009B448C">
        <w:t>g</w:t>
      </w:r>
      <w:r>
        <w:t>lasses</w:t>
      </w:r>
      <w:r w:rsidR="009B448C">
        <w:t>-based AR, it is important for the user to be able to see the virtual information overlaid on the surround.</w:t>
      </w:r>
      <w:r w:rsidR="001D0E35">
        <w:t xml:space="preserve"> In addition, it is also desirable</w:t>
      </w:r>
      <w:r w:rsidR="008F0FCB">
        <w:t xml:space="preserve"> for experience that</w:t>
      </w:r>
      <w:r w:rsidR="001D0E35">
        <w:t xml:space="preserve"> the user perceive</w:t>
      </w:r>
      <w:r w:rsidR="008F0FCB">
        <w:t>s</w:t>
      </w:r>
      <w:r w:rsidR="001D0E35">
        <w:t xml:space="preserve"> the virtual information as having similar </w:t>
      </w:r>
      <w:r w:rsidR="00C162AB">
        <w:t>range of luminance</w:t>
      </w:r>
      <w:r w:rsidR="001D0E35">
        <w:t xml:space="preserve"> </w:t>
      </w:r>
      <w:r w:rsidR="00C162AB">
        <w:t xml:space="preserve">as the </w:t>
      </w:r>
      <w:r w:rsidR="008F0FCB">
        <w:t>surrounding environment.</w:t>
      </w:r>
    </w:p>
    <w:p w14:paraId="25EBF734" w14:textId="55EA877C" w:rsidR="00FC2C9E" w:rsidRDefault="006845ED" w:rsidP="007C7D0B">
      <w:r>
        <w:t>As a reminder, here are some key definitions:</w:t>
      </w:r>
    </w:p>
    <w:p w14:paraId="051A8FEF" w14:textId="7AC442FB" w:rsidR="006845ED" w:rsidRDefault="006845ED" w:rsidP="006845ED">
      <w:pPr>
        <w:pStyle w:val="Quote"/>
        <w:jc w:val="left"/>
      </w:pPr>
      <w:r w:rsidRPr="00AD4409">
        <w:rPr>
          <w:b/>
          <w:bCs/>
        </w:rPr>
        <w:t>Luminance</w:t>
      </w:r>
      <w:r w:rsidRPr="006845ED">
        <w:t xml:space="preserve"> is a photometric measure of the luminous intensity per unit area of light travelling in a given direction.</w:t>
      </w:r>
      <w:r w:rsidR="00AD4409">
        <w:rPr>
          <w:color w:val="2B579A"/>
          <w:shd w:val="clear" w:color="auto" w:fill="E6E6E6"/>
        </w:rPr>
        <w:fldChar w:fldCharType="begin"/>
      </w:r>
      <w:r w:rsidR="00AD4409">
        <w:instrText xml:space="preserve"> REF _Ref127194297 \r \h </w:instrText>
      </w:r>
      <w:r w:rsidR="00AD4409">
        <w:rPr>
          <w:color w:val="2B579A"/>
          <w:shd w:val="clear" w:color="auto" w:fill="E6E6E6"/>
        </w:rPr>
      </w:r>
      <w:r w:rsidR="00AD4409">
        <w:rPr>
          <w:color w:val="2B579A"/>
          <w:shd w:val="clear" w:color="auto" w:fill="E6E6E6"/>
        </w:rPr>
        <w:fldChar w:fldCharType="separate"/>
      </w:r>
      <w:r w:rsidR="00856CDA">
        <w:t>[3]</w:t>
      </w:r>
      <w:r w:rsidR="00AD4409">
        <w:rPr>
          <w:color w:val="2B579A"/>
          <w:shd w:val="clear" w:color="auto" w:fill="E6E6E6"/>
        </w:rPr>
        <w:fldChar w:fldCharType="end"/>
      </w:r>
    </w:p>
    <w:p w14:paraId="3EABFF33" w14:textId="058A8F21" w:rsidR="00AD4409" w:rsidRPr="00AD4409" w:rsidRDefault="00463CC7" w:rsidP="00463CC7">
      <w:pPr>
        <w:pStyle w:val="Quote"/>
        <w:jc w:val="left"/>
      </w:pPr>
      <w:r w:rsidRPr="00463CC7">
        <w:rPr>
          <w:b/>
          <w:bCs/>
        </w:rPr>
        <w:t>Brightness</w:t>
      </w:r>
      <w:r w:rsidRPr="00463CC7">
        <w:t xml:space="preserve"> is an attribute of visual perception in which a source appears to be radiating or reflecting light. In other words, brightness is the perception elicited by the luminance of a visual target. The perception is not linear to luminance, and relies on the context of the viewing environment (for example, see White's illusion).</w:t>
      </w:r>
      <w:r w:rsidR="006A2685">
        <w:t xml:space="preserve"> </w:t>
      </w:r>
      <w:r w:rsidR="006A2685">
        <w:rPr>
          <w:color w:val="2B579A"/>
          <w:shd w:val="clear" w:color="auto" w:fill="E6E6E6"/>
        </w:rPr>
        <w:fldChar w:fldCharType="begin"/>
      </w:r>
      <w:r w:rsidR="006A2685">
        <w:instrText xml:space="preserve"> REF _Ref127194379 \r \h </w:instrText>
      </w:r>
      <w:r w:rsidR="006A2685">
        <w:rPr>
          <w:color w:val="2B579A"/>
          <w:shd w:val="clear" w:color="auto" w:fill="E6E6E6"/>
        </w:rPr>
      </w:r>
      <w:r w:rsidR="006A2685">
        <w:rPr>
          <w:color w:val="2B579A"/>
          <w:shd w:val="clear" w:color="auto" w:fill="E6E6E6"/>
        </w:rPr>
        <w:fldChar w:fldCharType="separate"/>
      </w:r>
      <w:r w:rsidR="00856CDA">
        <w:t>[4]</w:t>
      </w:r>
      <w:r w:rsidR="006A2685">
        <w:rPr>
          <w:color w:val="2B579A"/>
          <w:shd w:val="clear" w:color="auto" w:fill="E6E6E6"/>
        </w:rPr>
        <w:fldChar w:fldCharType="end"/>
      </w:r>
    </w:p>
    <w:p w14:paraId="74301A1B" w14:textId="206B4520" w:rsidR="00E85B56" w:rsidRDefault="00E85B56" w:rsidP="007C7D0B">
      <w:r>
        <w:t>This leads to two main questions:</w:t>
      </w:r>
    </w:p>
    <w:p w14:paraId="63331FD2" w14:textId="12991C3E" w:rsidR="001B1464" w:rsidRPr="00765F32" w:rsidRDefault="00780B84" w:rsidP="001B1464">
      <w:pPr>
        <w:pStyle w:val="ListParagraph"/>
        <w:numPr>
          <w:ilvl w:val="0"/>
          <w:numId w:val="10"/>
        </w:numPr>
        <w:rPr>
          <w:rFonts w:ascii="Arial" w:hAnsi="Arial"/>
          <w:sz w:val="20"/>
        </w:rPr>
      </w:pPr>
      <w:r>
        <w:rPr>
          <w:rFonts w:ascii="Arial" w:hAnsi="Arial"/>
          <w:sz w:val="20"/>
        </w:rPr>
        <w:t xml:space="preserve">(Brightness discrimination) </w:t>
      </w:r>
      <w:r w:rsidR="00E85B56" w:rsidRPr="00765F32">
        <w:rPr>
          <w:rFonts w:ascii="Arial" w:hAnsi="Arial"/>
          <w:sz w:val="20"/>
        </w:rPr>
        <w:t>How does the human</w:t>
      </w:r>
      <w:r w:rsidR="002852F9">
        <w:rPr>
          <w:rFonts w:ascii="Arial" w:hAnsi="Arial"/>
          <w:sz w:val="20"/>
        </w:rPr>
        <w:t xml:space="preserve"> vision system</w:t>
      </w:r>
      <w:r w:rsidR="00E85B56" w:rsidRPr="00765F32">
        <w:rPr>
          <w:rFonts w:ascii="Arial" w:hAnsi="Arial"/>
          <w:sz w:val="20"/>
        </w:rPr>
        <w:t xml:space="preserve"> perceive</w:t>
      </w:r>
      <w:r w:rsidR="00765F32">
        <w:rPr>
          <w:rFonts w:ascii="Arial" w:hAnsi="Arial"/>
          <w:sz w:val="20"/>
        </w:rPr>
        <w:t xml:space="preserve"> objects with</w:t>
      </w:r>
      <w:r w:rsidR="00E85B56" w:rsidRPr="00765F32">
        <w:rPr>
          <w:rFonts w:ascii="Arial" w:hAnsi="Arial"/>
          <w:sz w:val="20"/>
        </w:rPr>
        <w:t xml:space="preserve"> </w:t>
      </w:r>
      <w:r w:rsidR="001B1464" w:rsidRPr="00765F32">
        <w:rPr>
          <w:rFonts w:ascii="Arial" w:hAnsi="Arial"/>
          <w:sz w:val="20"/>
        </w:rPr>
        <w:t xml:space="preserve">different </w:t>
      </w:r>
      <w:r w:rsidR="00765F32" w:rsidRPr="00765F32">
        <w:rPr>
          <w:rFonts w:ascii="Arial" w:hAnsi="Arial"/>
          <w:sz w:val="20"/>
        </w:rPr>
        <w:t>luminance</w:t>
      </w:r>
      <w:r w:rsidR="00FE522B">
        <w:rPr>
          <w:rFonts w:ascii="Arial" w:hAnsi="Arial"/>
          <w:sz w:val="20"/>
        </w:rPr>
        <w:t xml:space="preserve"> levels</w:t>
      </w:r>
      <w:r w:rsidR="00952F5C">
        <w:rPr>
          <w:rFonts w:ascii="Arial" w:hAnsi="Arial"/>
          <w:sz w:val="20"/>
        </w:rPr>
        <w:t xml:space="preserve"> under different lighting conditions</w:t>
      </w:r>
      <w:r w:rsidR="001B1464" w:rsidRPr="00765F32">
        <w:rPr>
          <w:rFonts w:ascii="Arial" w:hAnsi="Arial"/>
          <w:sz w:val="20"/>
        </w:rPr>
        <w:t>?</w:t>
      </w:r>
    </w:p>
    <w:p w14:paraId="1B525E96" w14:textId="41793D14" w:rsidR="008F0FCB" w:rsidRPr="00AE7B59" w:rsidRDefault="00780B84" w:rsidP="007C7D0B">
      <w:pPr>
        <w:pStyle w:val="ListParagraph"/>
        <w:numPr>
          <w:ilvl w:val="0"/>
          <w:numId w:val="10"/>
        </w:numPr>
        <w:rPr>
          <w:rFonts w:ascii="Arial" w:hAnsi="Arial"/>
          <w:sz w:val="20"/>
        </w:rPr>
      </w:pPr>
      <w:r>
        <w:rPr>
          <w:rFonts w:ascii="Arial" w:hAnsi="Arial"/>
          <w:sz w:val="20"/>
        </w:rPr>
        <w:t xml:space="preserve">(Brightness adaptation) </w:t>
      </w:r>
      <w:r w:rsidR="00CF1818">
        <w:rPr>
          <w:rFonts w:ascii="Arial" w:hAnsi="Arial"/>
          <w:sz w:val="20"/>
        </w:rPr>
        <w:t>What ranges of luminance levels is</w:t>
      </w:r>
      <w:r w:rsidR="001B1464" w:rsidRPr="00765F32">
        <w:rPr>
          <w:rFonts w:ascii="Arial" w:hAnsi="Arial"/>
          <w:sz w:val="20"/>
        </w:rPr>
        <w:t xml:space="preserve"> the human </w:t>
      </w:r>
      <w:r w:rsidR="00CF1818">
        <w:rPr>
          <w:rFonts w:ascii="Arial" w:hAnsi="Arial"/>
          <w:sz w:val="20"/>
        </w:rPr>
        <w:t xml:space="preserve">vision system capable of </w:t>
      </w:r>
      <w:r w:rsidR="001B1464" w:rsidRPr="00765F32">
        <w:rPr>
          <w:rFonts w:ascii="Arial" w:hAnsi="Arial"/>
          <w:sz w:val="20"/>
        </w:rPr>
        <w:t>perceiv</w:t>
      </w:r>
      <w:r w:rsidR="00CF1818">
        <w:rPr>
          <w:rFonts w:ascii="Arial" w:hAnsi="Arial"/>
          <w:sz w:val="20"/>
        </w:rPr>
        <w:t>ing</w:t>
      </w:r>
      <w:r w:rsidR="00AE7B59">
        <w:rPr>
          <w:rFonts w:ascii="Arial" w:hAnsi="Arial"/>
          <w:sz w:val="20"/>
        </w:rPr>
        <w:t xml:space="preserve"> under a given </w:t>
      </w:r>
      <w:r w:rsidR="004717E5">
        <w:rPr>
          <w:rFonts w:ascii="Arial" w:hAnsi="Arial"/>
          <w:sz w:val="20"/>
        </w:rPr>
        <w:t xml:space="preserve">lighting </w:t>
      </w:r>
      <w:r w:rsidR="00AE7B59">
        <w:rPr>
          <w:rFonts w:ascii="Arial" w:hAnsi="Arial"/>
          <w:sz w:val="20"/>
        </w:rPr>
        <w:t>condition</w:t>
      </w:r>
      <w:r w:rsidR="001B1464" w:rsidRPr="00765F32">
        <w:rPr>
          <w:rFonts w:ascii="Arial" w:hAnsi="Arial"/>
          <w:sz w:val="20"/>
        </w:rPr>
        <w:t>?</w:t>
      </w:r>
    </w:p>
    <w:p w14:paraId="3CF5B271" w14:textId="55E8EC77" w:rsidR="008E64F2" w:rsidRDefault="008E64F2" w:rsidP="008E64F2">
      <w:pPr>
        <w:keepNext/>
        <w:keepLines/>
        <w:overflowPunct w:val="0"/>
        <w:autoSpaceDE w:val="0"/>
        <w:autoSpaceDN w:val="0"/>
        <w:adjustRightInd w:val="0"/>
        <w:spacing w:before="240" w:after="180" w:line="240" w:lineRule="auto"/>
        <w:ind w:left="792" w:hanging="432"/>
        <w:textAlignment w:val="baseline"/>
        <w:outlineLvl w:val="0"/>
        <w:rPr>
          <w:rFonts w:eastAsia="Times New Roman"/>
          <w:sz w:val="28"/>
          <w:lang w:eastAsia="en-GB"/>
        </w:rPr>
      </w:pPr>
      <w:r>
        <w:rPr>
          <w:rFonts w:eastAsia="Times New Roman"/>
          <w:sz w:val="28"/>
          <w:lang w:eastAsia="en-GB"/>
        </w:rPr>
        <w:lastRenderedPageBreak/>
        <w:t>2.2</w:t>
      </w:r>
      <w:r>
        <w:rPr>
          <w:rFonts w:eastAsia="Times New Roman"/>
          <w:sz w:val="28"/>
          <w:lang w:eastAsia="en-GB"/>
        </w:rPr>
        <w:tab/>
      </w:r>
      <w:r w:rsidRPr="008E64F2">
        <w:rPr>
          <w:rFonts w:eastAsia="Times New Roman"/>
          <w:sz w:val="28"/>
          <w:lang w:eastAsia="en-GB"/>
        </w:rPr>
        <w:t>Relevant literature</w:t>
      </w:r>
    </w:p>
    <w:p w14:paraId="31429CF9" w14:textId="263F9FA0" w:rsidR="00AE7B59" w:rsidRDefault="00FA030D" w:rsidP="00FA030D">
      <w:pPr>
        <w:keepNext/>
        <w:keepLines/>
        <w:overflowPunct w:val="0"/>
        <w:autoSpaceDE w:val="0"/>
        <w:autoSpaceDN w:val="0"/>
        <w:adjustRightInd w:val="0"/>
        <w:spacing w:before="240" w:after="180" w:line="240" w:lineRule="auto"/>
        <w:ind w:left="792" w:hanging="432"/>
        <w:textAlignment w:val="baseline"/>
        <w:outlineLvl w:val="0"/>
        <w:rPr>
          <w:rFonts w:eastAsia="Times New Roman"/>
          <w:sz w:val="24"/>
          <w:szCs w:val="18"/>
          <w:lang w:eastAsia="en-GB"/>
        </w:rPr>
      </w:pPr>
      <w:r w:rsidRPr="00FA030D">
        <w:rPr>
          <w:rFonts w:eastAsia="Times New Roman"/>
          <w:sz w:val="24"/>
          <w:szCs w:val="18"/>
          <w:lang w:eastAsia="en-GB"/>
        </w:rPr>
        <w:t>2.2.1</w:t>
      </w:r>
      <w:r w:rsidRPr="00FA030D">
        <w:rPr>
          <w:rFonts w:eastAsia="Times New Roman"/>
          <w:sz w:val="24"/>
          <w:szCs w:val="18"/>
          <w:lang w:eastAsia="en-GB"/>
        </w:rPr>
        <w:tab/>
      </w:r>
      <w:r w:rsidR="004717E5" w:rsidRPr="00FA030D">
        <w:rPr>
          <w:rFonts w:eastAsia="Times New Roman"/>
          <w:sz w:val="24"/>
          <w:szCs w:val="18"/>
          <w:lang w:eastAsia="en-GB"/>
        </w:rPr>
        <w:t xml:space="preserve">On Brightness </w:t>
      </w:r>
      <w:r>
        <w:rPr>
          <w:rFonts w:eastAsia="Times New Roman"/>
          <w:sz w:val="24"/>
          <w:szCs w:val="18"/>
          <w:lang w:eastAsia="en-GB"/>
        </w:rPr>
        <w:t>adaptation</w:t>
      </w:r>
    </w:p>
    <w:p w14:paraId="75383063" w14:textId="6828DEF5" w:rsidR="006C1BC4" w:rsidRDefault="006C1BC4" w:rsidP="006C1BC4">
      <w:pPr>
        <w:rPr>
          <w:lang w:eastAsia="en-GB"/>
        </w:rPr>
      </w:pPr>
      <w:r>
        <w:rPr>
          <w:lang w:eastAsia="en-GB"/>
        </w:rPr>
        <w:t xml:space="preserve">From </w:t>
      </w:r>
      <w:r w:rsidRPr="006C1BC4">
        <w:rPr>
          <w:lang w:eastAsia="en-GB"/>
        </w:rPr>
        <w:t>Digital image processing</w:t>
      </w:r>
      <w:r>
        <w:rPr>
          <w:lang w:eastAsia="en-GB"/>
        </w:rPr>
        <w:t xml:space="preserve">, </w:t>
      </w:r>
      <w:r w:rsidRPr="006C1BC4">
        <w:rPr>
          <w:lang w:eastAsia="en-GB"/>
        </w:rPr>
        <w:t xml:space="preserve">Gonzales, Rafael C., and Paul </w:t>
      </w:r>
      <w:proofErr w:type="spellStart"/>
      <w:r w:rsidRPr="006C1BC4">
        <w:rPr>
          <w:lang w:eastAsia="en-GB"/>
        </w:rPr>
        <w:t>Wintz</w:t>
      </w:r>
      <w:proofErr w:type="spellEnd"/>
      <w:r>
        <w:rPr>
          <w:lang w:eastAsia="en-GB"/>
        </w:rPr>
        <w:t xml:space="preserve"> </w:t>
      </w:r>
      <w:r>
        <w:rPr>
          <w:color w:val="2B579A"/>
          <w:shd w:val="clear" w:color="auto" w:fill="E6E6E6"/>
          <w:lang w:eastAsia="en-GB"/>
        </w:rPr>
        <w:fldChar w:fldCharType="begin"/>
      </w:r>
      <w:r>
        <w:rPr>
          <w:lang w:eastAsia="en-GB"/>
        </w:rPr>
        <w:instrText xml:space="preserve"> REF _Ref127263247 \r \h </w:instrText>
      </w:r>
      <w:r>
        <w:rPr>
          <w:color w:val="2B579A"/>
          <w:shd w:val="clear" w:color="auto" w:fill="E6E6E6"/>
          <w:lang w:eastAsia="en-GB"/>
        </w:rPr>
      </w:r>
      <w:r>
        <w:rPr>
          <w:color w:val="2B579A"/>
          <w:shd w:val="clear" w:color="auto" w:fill="E6E6E6"/>
          <w:lang w:eastAsia="en-GB"/>
        </w:rPr>
        <w:fldChar w:fldCharType="separate"/>
      </w:r>
      <w:r w:rsidR="00856CDA">
        <w:rPr>
          <w:lang w:eastAsia="en-GB"/>
        </w:rPr>
        <w:t>[5]</w:t>
      </w:r>
      <w:r>
        <w:rPr>
          <w:color w:val="2B579A"/>
          <w:shd w:val="clear" w:color="auto" w:fill="E6E6E6"/>
          <w:lang w:eastAsia="en-GB"/>
        </w:rPr>
        <w:fldChar w:fldCharType="end"/>
      </w:r>
      <w:r w:rsidRPr="006C1BC4">
        <w:rPr>
          <w:lang w:eastAsia="en-GB"/>
        </w:rPr>
        <w:t>.</w:t>
      </w:r>
    </w:p>
    <w:p w14:paraId="04423200" w14:textId="7F0725DE" w:rsidR="00734ECC" w:rsidRDefault="00435225" w:rsidP="00435225">
      <w:pPr>
        <w:pStyle w:val="Quote"/>
        <w:jc w:val="left"/>
        <w:rPr>
          <w:lang w:eastAsia="en-GB"/>
        </w:rPr>
      </w:pPr>
      <w:r w:rsidRPr="00435225">
        <w:rPr>
          <w:lang w:eastAsia="en-GB"/>
        </w:rPr>
        <w:t>The range of light intensity levels</w:t>
      </w:r>
      <w:r>
        <w:rPr>
          <w:lang w:eastAsia="en-GB"/>
        </w:rPr>
        <w:t xml:space="preserve"> </w:t>
      </w:r>
      <w:r w:rsidRPr="00435225">
        <w:rPr>
          <w:lang w:eastAsia="en-GB"/>
        </w:rPr>
        <w:t xml:space="preserve">to which </w:t>
      </w:r>
      <w:r w:rsidRPr="00FA03B0">
        <w:rPr>
          <w:b/>
          <w:bCs/>
          <w:lang w:eastAsia="en-GB"/>
        </w:rPr>
        <w:t>the human visual system can adapt is enormous</w:t>
      </w:r>
      <w:r w:rsidR="00BA54DE" w:rsidRPr="00FA03B0">
        <w:rPr>
          <w:b/>
          <w:bCs/>
          <w:lang w:eastAsia="en-GB"/>
        </w:rPr>
        <w:t xml:space="preserve"> </w:t>
      </w:r>
      <w:r w:rsidRPr="00FA03B0">
        <w:rPr>
          <w:b/>
          <w:bCs/>
          <w:lang w:eastAsia="en-GB"/>
        </w:rPr>
        <w:t>—</w:t>
      </w:r>
      <w:r w:rsidR="00BA54DE" w:rsidRPr="00FA03B0">
        <w:rPr>
          <w:b/>
          <w:bCs/>
          <w:lang w:eastAsia="en-GB"/>
        </w:rPr>
        <w:t xml:space="preserve"> </w:t>
      </w:r>
      <w:r w:rsidRPr="00FA03B0">
        <w:rPr>
          <w:b/>
          <w:bCs/>
          <w:lang w:eastAsia="en-GB"/>
        </w:rPr>
        <w:t>on the order of</w:t>
      </w:r>
      <w:r w:rsidR="00BA54DE" w:rsidRPr="00FA03B0">
        <w:rPr>
          <w:b/>
          <w:bCs/>
          <w:lang w:eastAsia="en-GB"/>
        </w:rPr>
        <w:t xml:space="preserve"> 10</w:t>
      </w:r>
      <w:r w:rsidR="00BA54DE" w:rsidRPr="00FA03B0">
        <w:rPr>
          <w:b/>
          <w:bCs/>
          <w:vertAlign w:val="superscript"/>
          <w:lang w:eastAsia="en-GB"/>
        </w:rPr>
        <w:t>10</w:t>
      </w:r>
      <w:r w:rsidRPr="00435225">
        <w:rPr>
          <w:lang w:eastAsia="en-GB"/>
        </w:rPr>
        <w:t xml:space="preserve"> —</w:t>
      </w:r>
      <w:r>
        <w:rPr>
          <w:lang w:eastAsia="en-GB"/>
        </w:rPr>
        <w:t xml:space="preserve"> </w:t>
      </w:r>
      <w:r w:rsidRPr="00435225">
        <w:rPr>
          <w:lang w:eastAsia="en-GB"/>
        </w:rPr>
        <w:t>from the scotopic threshold to the glare limit. Experimental evidence indicates</w:t>
      </w:r>
      <w:r>
        <w:rPr>
          <w:lang w:eastAsia="en-GB"/>
        </w:rPr>
        <w:t xml:space="preserve"> </w:t>
      </w:r>
      <w:r w:rsidRPr="00435225">
        <w:rPr>
          <w:lang w:eastAsia="en-GB"/>
        </w:rPr>
        <w:t>that subjective brightness (intensity as perceived by the human visual system) is a</w:t>
      </w:r>
      <w:r>
        <w:rPr>
          <w:lang w:eastAsia="en-GB"/>
        </w:rPr>
        <w:t xml:space="preserve"> </w:t>
      </w:r>
      <w:r w:rsidRPr="00435225">
        <w:rPr>
          <w:lang w:eastAsia="en-GB"/>
        </w:rPr>
        <w:t>logarithmic function of the light intensity incident on the eye.</w:t>
      </w:r>
    </w:p>
    <w:p w14:paraId="467B788C" w14:textId="060FC59B" w:rsidR="00A5403A" w:rsidRDefault="005058E4" w:rsidP="005058E4">
      <w:pPr>
        <w:jc w:val="center"/>
        <w:rPr>
          <w:lang w:eastAsia="en-GB"/>
        </w:rPr>
      </w:pPr>
      <w:r>
        <w:rPr>
          <w:noProof/>
          <w:color w:val="2B579A"/>
          <w:shd w:val="clear" w:color="auto" w:fill="E6E6E6"/>
        </w:rPr>
        <w:drawing>
          <wp:inline distT="0" distB="0" distL="0" distR="0" wp14:anchorId="261C769E" wp14:editId="1BE1D249">
            <wp:extent cx="5495925" cy="3312091"/>
            <wp:effectExtent l="0" t="0" r="0" b="317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rotWithShape="1">
                    <a:blip r:embed="rId11"/>
                    <a:srcRect l="7411" t="3064" b="6433"/>
                    <a:stretch/>
                  </pic:blipFill>
                  <pic:spPr bwMode="auto">
                    <a:xfrm>
                      <a:off x="0" y="0"/>
                      <a:ext cx="5496651" cy="3312529"/>
                    </a:xfrm>
                    <a:prstGeom prst="rect">
                      <a:avLst/>
                    </a:prstGeom>
                    <a:ln>
                      <a:noFill/>
                    </a:ln>
                    <a:extLst>
                      <a:ext uri="{53640926-AAD7-44D8-BBD7-CCE9431645EC}">
                        <a14:shadowObscured xmlns:a14="http://schemas.microsoft.com/office/drawing/2010/main"/>
                      </a:ext>
                    </a:extLst>
                  </pic:spPr>
                </pic:pic>
              </a:graphicData>
            </a:graphic>
          </wp:inline>
        </w:drawing>
      </w:r>
    </w:p>
    <w:p w14:paraId="520A9D3D" w14:textId="2DE3251D" w:rsidR="008008CD" w:rsidRDefault="006C1860" w:rsidP="00C92274">
      <w:pPr>
        <w:pStyle w:val="Quote"/>
        <w:jc w:val="left"/>
        <w:rPr>
          <w:lang w:eastAsia="en-GB"/>
        </w:rPr>
      </w:pPr>
      <w:r>
        <w:rPr>
          <w:lang w:eastAsia="en-GB"/>
        </w:rPr>
        <w:t>The long solid curve represents the range of intensities to which the visual system can adapt. In photopic vision alone, the range is about</w:t>
      </w:r>
      <w:r w:rsidR="00287FC9">
        <w:rPr>
          <w:lang w:eastAsia="en-GB"/>
        </w:rPr>
        <w:t xml:space="preserve"> 10</w:t>
      </w:r>
      <w:r w:rsidR="00287FC9">
        <w:rPr>
          <w:vertAlign w:val="superscript"/>
          <w:lang w:eastAsia="en-GB"/>
        </w:rPr>
        <w:t>6</w:t>
      </w:r>
      <w:r w:rsidR="00287FC9">
        <w:rPr>
          <w:lang w:eastAsia="en-GB"/>
        </w:rPr>
        <w:t>.</w:t>
      </w:r>
      <w:r>
        <w:rPr>
          <w:lang w:eastAsia="en-GB"/>
        </w:rPr>
        <w:t>The transition from scotopic to photopic vision is gradual over the approximate range from 0.001 to 0.1 millilambert (</w:t>
      </w:r>
      <w:r w:rsidR="00484AC5">
        <w:rPr>
          <w:lang w:eastAsia="en-GB"/>
        </w:rPr>
        <w:t xml:space="preserve"> -3 to -1</w:t>
      </w:r>
      <w:r w:rsidR="00570786">
        <w:rPr>
          <w:lang w:eastAsia="en-GB"/>
        </w:rPr>
        <w:t xml:space="preserve"> mL</w:t>
      </w:r>
      <w:r>
        <w:rPr>
          <w:lang w:eastAsia="en-GB"/>
        </w:rPr>
        <w:t xml:space="preserve"> in the log scale), as the double branches of the adaptation curve in this range show</w:t>
      </w:r>
      <w:r w:rsidR="00320BFF">
        <w:rPr>
          <w:lang w:eastAsia="en-GB"/>
        </w:rPr>
        <w:t>.</w:t>
      </w:r>
    </w:p>
    <w:p w14:paraId="7BBF3C35" w14:textId="7245DAD6" w:rsidR="00901E92" w:rsidRDefault="008008CD" w:rsidP="00901E92">
      <w:pPr>
        <w:pStyle w:val="Quote"/>
        <w:jc w:val="left"/>
      </w:pPr>
      <w:r w:rsidRPr="0FE15605">
        <w:rPr>
          <w:b/>
          <w:bCs/>
        </w:rPr>
        <w:t>The essential point</w:t>
      </w:r>
      <w:r>
        <w:t xml:space="preserve"> in interpreting the impressive dynamic range depicted in Fig. 2.4 </w:t>
      </w:r>
      <w:r w:rsidRPr="0FE15605">
        <w:rPr>
          <w:b/>
          <w:bCs/>
        </w:rPr>
        <w:t>is that the visual system cannot operate over such a range simultaneously</w:t>
      </w:r>
      <w:r>
        <w:t>. Rather, it accomplishes this large variation by changing its overall sensitivity, a phenomenon known as brightness adaptation. The total range of distinct intensity levels the eye can discriminate simultaneously is rather small when compared with the total adaptation range.</w:t>
      </w:r>
    </w:p>
    <w:p w14:paraId="2D32DE78" w14:textId="77777777" w:rsidR="006C1BC4" w:rsidRDefault="006C1BC4" w:rsidP="006C1BC4"/>
    <w:p w14:paraId="21E75086" w14:textId="547A2424" w:rsidR="006C1BC4" w:rsidRPr="006C1BC4" w:rsidRDefault="006C1BC4" w:rsidP="006C1BC4">
      <w:r>
        <w:t xml:space="preserve">From </w:t>
      </w:r>
      <w:r w:rsidRPr="006C1BC4">
        <w:t>"Brightness perception in complex fields."</w:t>
      </w:r>
      <w:r>
        <w:t xml:space="preserve"> by </w:t>
      </w:r>
      <w:proofErr w:type="spellStart"/>
      <w:r w:rsidRPr="006C1BC4">
        <w:t>Bartleson</w:t>
      </w:r>
      <w:proofErr w:type="spellEnd"/>
      <w:r w:rsidRPr="006C1BC4">
        <w:t>, C. James, and Edwin J. Breneman</w:t>
      </w:r>
      <w:r>
        <w:t xml:space="preserve"> </w:t>
      </w:r>
      <w:r>
        <w:rPr>
          <w:color w:val="2B579A"/>
          <w:shd w:val="clear" w:color="auto" w:fill="E6E6E6"/>
        </w:rPr>
        <w:fldChar w:fldCharType="begin"/>
      </w:r>
      <w:r>
        <w:instrText xml:space="preserve"> REF _Ref127263288 \r \h </w:instrText>
      </w:r>
      <w:r>
        <w:rPr>
          <w:color w:val="2B579A"/>
          <w:shd w:val="clear" w:color="auto" w:fill="E6E6E6"/>
        </w:rPr>
      </w:r>
      <w:r>
        <w:rPr>
          <w:color w:val="2B579A"/>
          <w:shd w:val="clear" w:color="auto" w:fill="E6E6E6"/>
        </w:rPr>
        <w:fldChar w:fldCharType="separate"/>
      </w:r>
      <w:r w:rsidR="00856CDA">
        <w:t>[6]</w:t>
      </w:r>
      <w:r>
        <w:rPr>
          <w:color w:val="2B579A"/>
          <w:shd w:val="clear" w:color="auto" w:fill="E6E6E6"/>
        </w:rPr>
        <w:fldChar w:fldCharType="end"/>
      </w:r>
      <w:r>
        <w:t>, adapted by</w:t>
      </w:r>
      <w:r w:rsidR="0077790A">
        <w:t xml:space="preserve"> </w:t>
      </w:r>
      <w:r w:rsidR="0077790A">
        <w:rPr>
          <w:color w:val="2B579A"/>
          <w:shd w:val="clear" w:color="auto" w:fill="E6E6E6"/>
        </w:rPr>
        <w:fldChar w:fldCharType="begin"/>
      </w:r>
      <w:r w:rsidR="0077790A">
        <w:instrText xml:space="preserve"> REF _Ref127263336 \r \h </w:instrText>
      </w:r>
      <w:r w:rsidR="0077790A">
        <w:rPr>
          <w:color w:val="2B579A"/>
          <w:shd w:val="clear" w:color="auto" w:fill="E6E6E6"/>
        </w:rPr>
      </w:r>
      <w:r w:rsidR="0077790A">
        <w:rPr>
          <w:color w:val="2B579A"/>
          <w:shd w:val="clear" w:color="auto" w:fill="E6E6E6"/>
        </w:rPr>
        <w:fldChar w:fldCharType="separate"/>
      </w:r>
      <w:r w:rsidR="00856CDA">
        <w:t>[7]</w:t>
      </w:r>
      <w:r w:rsidR="0077790A">
        <w:rPr>
          <w:color w:val="2B579A"/>
          <w:shd w:val="clear" w:color="auto" w:fill="E6E6E6"/>
        </w:rPr>
        <w:fldChar w:fldCharType="end"/>
      </w:r>
      <w:r w:rsidR="0077790A">
        <w:t>.</w:t>
      </w:r>
    </w:p>
    <w:p w14:paraId="1BA40F74" w14:textId="77777777" w:rsidR="00901E92" w:rsidRDefault="00901E92" w:rsidP="00901E92"/>
    <w:p w14:paraId="060884F8" w14:textId="77777777" w:rsidR="00901E92" w:rsidRDefault="00901E92" w:rsidP="00901E92">
      <w:pPr>
        <w:keepNext/>
        <w:keepLines/>
        <w:overflowPunct w:val="0"/>
        <w:autoSpaceDE w:val="0"/>
        <w:autoSpaceDN w:val="0"/>
        <w:adjustRightInd w:val="0"/>
        <w:spacing w:before="240" w:after="180" w:line="240" w:lineRule="auto"/>
        <w:ind w:left="792" w:hanging="432"/>
        <w:jc w:val="center"/>
        <w:textAlignment w:val="baseline"/>
        <w:outlineLvl w:val="0"/>
        <w:rPr>
          <w:rFonts w:eastAsia="Times New Roman"/>
          <w:sz w:val="28"/>
          <w:lang w:eastAsia="en-GB"/>
        </w:rPr>
      </w:pPr>
      <w:r>
        <w:rPr>
          <w:noProof/>
          <w:color w:val="2B579A"/>
          <w:shd w:val="clear" w:color="auto" w:fill="E6E6E6"/>
        </w:rPr>
        <w:lastRenderedPageBreak/>
        <w:drawing>
          <wp:inline distT="0" distB="0" distL="0" distR="0" wp14:anchorId="65D29877" wp14:editId="5B300C62">
            <wp:extent cx="4805045" cy="3070860"/>
            <wp:effectExtent l="0" t="0" r="0" b="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05045" cy="3070860"/>
                    </a:xfrm>
                    <a:prstGeom prst="rect">
                      <a:avLst/>
                    </a:prstGeom>
                    <a:noFill/>
                    <a:ln>
                      <a:noFill/>
                    </a:ln>
                  </pic:spPr>
                </pic:pic>
              </a:graphicData>
            </a:graphic>
          </wp:inline>
        </w:drawing>
      </w:r>
    </w:p>
    <w:p w14:paraId="409D1C99" w14:textId="643194B8" w:rsidR="00D16A15" w:rsidRPr="00B4387B" w:rsidRDefault="00901E92" w:rsidP="00B4387B">
      <w:pPr>
        <w:pStyle w:val="Quote"/>
        <w:jc w:val="left"/>
        <w:rPr>
          <w:i w:val="0"/>
          <w:iCs w:val="0"/>
          <w:lang w:eastAsia="en-GB"/>
        </w:rPr>
      </w:pPr>
      <w:r w:rsidRPr="00755AA3">
        <w:rPr>
          <w:lang w:eastAsia="en-GB"/>
        </w:rPr>
        <w:t>According to it, perceived brightness of a complex picture is a function of its luminance (horizontal scale) and surround (ambient) luminance. For given picture luminance, perceived brightness, expectedly, diminishes as the surround luminance increases (vertical plot position), while the rate of change in the perceived brightness with the change of image luminance (i.e. plot slope) increases with the surround luminance. Over the extended range of surround luminance, perceived brightness increases with picture luminance when it is of similar level (green), or consistently higher (orange) than surround luminance. For picture luminance consistently lower than that of the surround (blue), perceived brightness increases with the surround luminance up to a point, after which it nearly stagnates and, possibly, starts decreasing at high surround luminance levels.</w:t>
      </w:r>
    </w:p>
    <w:p w14:paraId="7393BEB8" w14:textId="77777777" w:rsidR="00901E92" w:rsidRPr="00901E92" w:rsidRDefault="00901E92" w:rsidP="00901E92"/>
    <w:p w14:paraId="19BB15F4" w14:textId="62AF15CC" w:rsidR="00FA030D" w:rsidRPr="00FA030D" w:rsidRDefault="00FA030D" w:rsidP="00FA030D">
      <w:pPr>
        <w:keepNext/>
        <w:keepLines/>
        <w:overflowPunct w:val="0"/>
        <w:autoSpaceDE w:val="0"/>
        <w:autoSpaceDN w:val="0"/>
        <w:adjustRightInd w:val="0"/>
        <w:spacing w:before="240" w:after="180" w:line="240" w:lineRule="auto"/>
        <w:ind w:left="792" w:hanging="432"/>
        <w:textAlignment w:val="baseline"/>
        <w:outlineLvl w:val="0"/>
        <w:rPr>
          <w:rFonts w:eastAsia="Times New Roman"/>
          <w:sz w:val="24"/>
          <w:szCs w:val="18"/>
          <w:lang w:eastAsia="en-GB"/>
        </w:rPr>
      </w:pPr>
      <w:r w:rsidRPr="00FA030D">
        <w:rPr>
          <w:rFonts w:eastAsia="Times New Roman"/>
          <w:sz w:val="24"/>
          <w:szCs w:val="18"/>
          <w:lang w:eastAsia="en-GB"/>
        </w:rPr>
        <w:t>2.2.</w:t>
      </w:r>
      <w:r w:rsidR="00F3214B">
        <w:rPr>
          <w:rFonts w:eastAsia="Times New Roman"/>
          <w:sz w:val="24"/>
          <w:szCs w:val="18"/>
          <w:lang w:eastAsia="en-GB"/>
        </w:rPr>
        <w:t>2</w:t>
      </w:r>
      <w:r w:rsidRPr="00FA030D">
        <w:rPr>
          <w:rFonts w:eastAsia="Times New Roman"/>
          <w:sz w:val="24"/>
          <w:szCs w:val="18"/>
          <w:lang w:eastAsia="en-GB"/>
        </w:rPr>
        <w:tab/>
        <w:t>On Brightness discrimination</w:t>
      </w:r>
      <w:r>
        <w:rPr>
          <w:rFonts w:eastAsia="Times New Roman"/>
          <w:sz w:val="24"/>
          <w:szCs w:val="18"/>
          <w:lang w:eastAsia="en-GB"/>
        </w:rPr>
        <w:t xml:space="preserve"> </w:t>
      </w:r>
    </w:p>
    <w:p w14:paraId="4D987E00" w14:textId="42795658" w:rsidR="00C91500" w:rsidRDefault="00BD1631" w:rsidP="00B4387B">
      <w:pPr>
        <w:pStyle w:val="Quote"/>
        <w:jc w:val="left"/>
      </w:pPr>
      <w:r>
        <w:t>The ability of the eye to discriminate between changes in light intensity at any specific adaptation level is also of considerable interest.</w:t>
      </w:r>
    </w:p>
    <w:p w14:paraId="5D30315C" w14:textId="3188A8C9" w:rsidR="00C91500" w:rsidRDefault="00C91500" w:rsidP="00C91500">
      <w:pPr>
        <w:pStyle w:val="Quote"/>
        <w:jc w:val="left"/>
      </w:pPr>
      <w:r>
        <w:t>A small value of</w:t>
      </w:r>
      <w:r w:rsidR="0051663A">
        <w:t xml:space="preserve"> </w:t>
      </w:r>
      <w:r w:rsidR="0051663A">
        <w:rPr>
          <w:rFonts w:cs="Arial"/>
        </w:rPr>
        <w:t>ΔI/</w:t>
      </w:r>
      <w:proofErr w:type="spellStart"/>
      <w:r w:rsidR="0051663A">
        <w:rPr>
          <w:rFonts w:cs="Arial"/>
        </w:rPr>
        <w:t>Ic</w:t>
      </w:r>
      <w:proofErr w:type="spellEnd"/>
      <w:r>
        <w:t xml:space="preserve"> means that a small percentage change in intensity is discriminable. This represents “good” brightness discrimination. Conversely, a large value of </w:t>
      </w:r>
      <w:r w:rsidR="006C4CED">
        <w:rPr>
          <w:rFonts w:cs="Arial"/>
        </w:rPr>
        <w:t>ΔI/</w:t>
      </w:r>
      <w:proofErr w:type="spellStart"/>
      <w:r w:rsidR="006C4CED">
        <w:rPr>
          <w:rFonts w:cs="Arial"/>
        </w:rPr>
        <w:t>Ic</w:t>
      </w:r>
      <w:proofErr w:type="spellEnd"/>
      <w:r w:rsidR="006C4CED">
        <w:t xml:space="preserve"> </w:t>
      </w:r>
      <w:r>
        <w:t>means that a large percentage change in intensity is required. This represents “poor” brightness discrimination.</w:t>
      </w:r>
    </w:p>
    <w:p w14:paraId="43140B10" w14:textId="77777777" w:rsidR="003A7FD2" w:rsidRDefault="003A7FD2" w:rsidP="003A7FD2"/>
    <w:p w14:paraId="5F35DAB8" w14:textId="29D60A1A" w:rsidR="003A7FD2" w:rsidRDefault="003A7FD2" w:rsidP="003A7FD2">
      <w:r>
        <w:rPr>
          <w:noProof/>
          <w:color w:val="2B579A"/>
          <w:shd w:val="clear" w:color="auto" w:fill="E6E6E6"/>
        </w:rPr>
        <w:lastRenderedPageBreak/>
        <w:drawing>
          <wp:inline distT="0" distB="0" distL="0" distR="0" wp14:anchorId="134E5453" wp14:editId="075BF21F">
            <wp:extent cx="5936615" cy="2726690"/>
            <wp:effectExtent l="0" t="0" r="6985" b="0"/>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pic:nvPicPr>
                  <pic:blipFill>
                    <a:blip r:embed="rId13"/>
                    <a:stretch>
                      <a:fillRect/>
                    </a:stretch>
                  </pic:blipFill>
                  <pic:spPr>
                    <a:xfrm>
                      <a:off x="0" y="0"/>
                      <a:ext cx="5936615" cy="2726690"/>
                    </a:xfrm>
                    <a:prstGeom prst="rect">
                      <a:avLst/>
                    </a:prstGeom>
                  </pic:spPr>
                </pic:pic>
              </a:graphicData>
            </a:graphic>
          </wp:inline>
        </w:drawing>
      </w:r>
    </w:p>
    <w:p w14:paraId="7C85EBFD" w14:textId="77777777" w:rsidR="00755AA3" w:rsidRPr="003A7FD2" w:rsidRDefault="00755AA3" w:rsidP="003A7FD2"/>
    <w:p w14:paraId="2794BCCF" w14:textId="445B7D55" w:rsidR="00174406" w:rsidRDefault="007C7D0B" w:rsidP="00174406">
      <w:pPr>
        <w:keepNext/>
        <w:keepLines/>
        <w:overflowPunct w:val="0"/>
        <w:autoSpaceDE w:val="0"/>
        <w:autoSpaceDN w:val="0"/>
        <w:adjustRightInd w:val="0"/>
        <w:spacing w:before="240" w:after="180" w:line="240" w:lineRule="auto"/>
        <w:ind w:left="792" w:hanging="432"/>
        <w:textAlignment w:val="baseline"/>
        <w:outlineLvl w:val="0"/>
        <w:rPr>
          <w:rFonts w:eastAsia="Times New Roman"/>
          <w:sz w:val="28"/>
          <w:lang w:eastAsia="en-GB"/>
        </w:rPr>
      </w:pPr>
      <w:r>
        <w:rPr>
          <w:rFonts w:eastAsia="Times New Roman"/>
          <w:sz w:val="28"/>
          <w:lang w:eastAsia="en-GB"/>
        </w:rPr>
        <w:t>2</w:t>
      </w:r>
      <w:r w:rsidRPr="00FF27F7">
        <w:rPr>
          <w:rFonts w:eastAsia="Times New Roman"/>
          <w:sz w:val="28"/>
          <w:lang w:eastAsia="en-GB"/>
        </w:rPr>
        <w:t>.</w:t>
      </w:r>
      <w:r w:rsidR="008E64F2">
        <w:rPr>
          <w:rFonts w:eastAsia="Times New Roman"/>
          <w:sz w:val="28"/>
          <w:lang w:eastAsia="en-GB"/>
        </w:rPr>
        <w:t>3</w:t>
      </w:r>
      <w:r w:rsidRPr="00FF27F7">
        <w:rPr>
          <w:rFonts w:eastAsia="Times New Roman"/>
          <w:sz w:val="28"/>
          <w:lang w:eastAsia="en-GB"/>
        </w:rPr>
        <w:t xml:space="preserve"> </w:t>
      </w:r>
      <w:r>
        <w:rPr>
          <w:rFonts w:eastAsia="Times New Roman"/>
          <w:sz w:val="28"/>
          <w:lang w:eastAsia="en-GB"/>
        </w:rPr>
        <w:t xml:space="preserve">Example of the </w:t>
      </w:r>
      <w:r w:rsidR="00B54985">
        <w:rPr>
          <w:rFonts w:eastAsia="Times New Roman"/>
          <w:sz w:val="28"/>
          <w:lang w:eastAsia="en-GB"/>
        </w:rPr>
        <w:t>MIJIA</w:t>
      </w:r>
      <w:r w:rsidR="007F61DD" w:rsidRPr="007F61DD">
        <w:rPr>
          <w:rFonts w:eastAsia="Times New Roman"/>
          <w:sz w:val="28"/>
          <w:lang w:eastAsia="en-GB"/>
        </w:rPr>
        <w:t xml:space="preserve"> Glasses Camera</w:t>
      </w:r>
    </w:p>
    <w:p w14:paraId="3A5761B2" w14:textId="62BFED9A" w:rsidR="00174406" w:rsidRPr="00FF27F7" w:rsidRDefault="00174406" w:rsidP="00174406">
      <w:pPr>
        <w:rPr>
          <w:lang w:eastAsia="en-GB"/>
        </w:rPr>
      </w:pPr>
      <w:r>
        <w:rPr>
          <w:lang w:eastAsia="en-GB"/>
        </w:rPr>
        <w:t>In order to be used in outdoor condition</w:t>
      </w:r>
      <w:r w:rsidR="00D04F7C">
        <w:rPr>
          <w:lang w:eastAsia="en-GB"/>
        </w:rPr>
        <w:t>s</w:t>
      </w:r>
      <w:r>
        <w:rPr>
          <w:lang w:eastAsia="en-GB"/>
        </w:rPr>
        <w:t xml:space="preserve">, the brightness of the system had to be high enough to </w:t>
      </w:r>
      <w:r w:rsidR="001B3B2D">
        <w:rPr>
          <w:lang w:eastAsia="en-GB"/>
        </w:rPr>
        <w:t>be visible by the user</w:t>
      </w:r>
      <w:r w:rsidR="008E6169">
        <w:rPr>
          <w:lang w:eastAsia="en-GB"/>
        </w:rPr>
        <w:t xml:space="preserve"> as explained in section 2.2.1</w:t>
      </w:r>
      <w:r w:rsidR="001B3B2D">
        <w:rPr>
          <w:lang w:eastAsia="en-GB"/>
        </w:rPr>
        <w:t>. For this reason,</w:t>
      </w:r>
      <w:r w:rsidR="0076498E">
        <w:rPr>
          <w:lang w:eastAsia="en-GB"/>
        </w:rPr>
        <w:t xml:space="preserve"> the glasses </w:t>
      </w:r>
      <w:r w:rsidR="4AB1139B">
        <w:rPr>
          <w:lang w:eastAsia="en-GB"/>
        </w:rPr>
        <w:t xml:space="preserve">support </w:t>
      </w:r>
      <w:r w:rsidR="001B3B2D">
        <w:rPr>
          <w:lang w:eastAsia="en-GB"/>
        </w:rPr>
        <w:t>the 3,000</w:t>
      </w:r>
      <w:r w:rsidR="2A038634">
        <w:rPr>
          <w:lang w:eastAsia="en-GB"/>
        </w:rPr>
        <w:t xml:space="preserve"> </w:t>
      </w:r>
      <w:r w:rsidR="77110A68">
        <w:rPr>
          <w:lang w:eastAsia="en-GB"/>
        </w:rPr>
        <w:t>cd/m²</w:t>
      </w:r>
      <w:r w:rsidR="0076498E">
        <w:rPr>
          <w:lang w:eastAsia="en-GB"/>
        </w:rPr>
        <w:t xml:space="preserve"> </w:t>
      </w:r>
      <w:r w:rsidR="67ED3199">
        <w:rPr>
          <w:lang w:eastAsia="en-GB"/>
        </w:rPr>
        <w:t>(or nits)</w:t>
      </w:r>
      <w:r w:rsidR="006C4CED">
        <w:rPr>
          <w:lang w:eastAsia="en-GB"/>
        </w:rPr>
        <w:t xml:space="preserve"> </w:t>
      </w:r>
      <w:r w:rsidR="00D04F7C">
        <w:rPr>
          <w:lang w:eastAsia="en-GB"/>
        </w:rPr>
        <w:t xml:space="preserve">EX336C </w:t>
      </w:r>
      <w:r w:rsidR="0076498E">
        <w:rPr>
          <w:lang w:eastAsia="en-GB"/>
        </w:rPr>
        <w:t xml:space="preserve">display developed by Sony </w:t>
      </w:r>
      <w:r w:rsidR="00D04F7C">
        <w:rPr>
          <w:lang w:eastAsia="en-GB"/>
        </w:rPr>
        <w:t>whose specification</w:t>
      </w:r>
      <w:r w:rsidR="348E2971">
        <w:rPr>
          <w:lang w:eastAsia="en-GB"/>
        </w:rPr>
        <w:t>s</w:t>
      </w:r>
      <w:r w:rsidR="00D04F7C">
        <w:rPr>
          <w:lang w:eastAsia="en-GB"/>
        </w:rPr>
        <w:t xml:space="preserve"> </w:t>
      </w:r>
      <w:r w:rsidR="395CD317">
        <w:rPr>
          <w:lang w:eastAsia="en-GB"/>
        </w:rPr>
        <w:t>are</w:t>
      </w:r>
      <w:r w:rsidR="00D04F7C">
        <w:rPr>
          <w:lang w:eastAsia="en-GB"/>
        </w:rPr>
        <w:t xml:space="preserve"> </w:t>
      </w:r>
      <w:r w:rsidR="000F5FC7">
        <w:rPr>
          <w:lang w:eastAsia="en-GB"/>
        </w:rPr>
        <w:t xml:space="preserve">below </w:t>
      </w:r>
      <w:r w:rsidR="000F5FC7">
        <w:rPr>
          <w:color w:val="2B579A"/>
          <w:shd w:val="clear" w:color="auto" w:fill="E6E6E6"/>
          <w:lang w:eastAsia="en-GB"/>
        </w:rPr>
        <w:fldChar w:fldCharType="begin"/>
      </w:r>
      <w:r w:rsidR="000F5FC7">
        <w:rPr>
          <w:lang w:eastAsia="en-GB"/>
        </w:rPr>
        <w:instrText xml:space="preserve"> REF _Ref127266402 \r \h </w:instrText>
      </w:r>
      <w:r w:rsidR="000F5FC7">
        <w:rPr>
          <w:color w:val="2B579A"/>
          <w:shd w:val="clear" w:color="auto" w:fill="E6E6E6"/>
          <w:lang w:eastAsia="en-GB"/>
        </w:rPr>
      </w:r>
      <w:r w:rsidR="000F5FC7">
        <w:rPr>
          <w:color w:val="2B579A"/>
          <w:shd w:val="clear" w:color="auto" w:fill="E6E6E6"/>
          <w:lang w:eastAsia="en-GB"/>
        </w:rPr>
        <w:fldChar w:fldCharType="separate"/>
      </w:r>
      <w:r w:rsidR="00856CDA">
        <w:rPr>
          <w:lang w:eastAsia="en-GB"/>
        </w:rPr>
        <w:t>[8]</w:t>
      </w:r>
      <w:r w:rsidR="000F5FC7">
        <w:rPr>
          <w:color w:val="2B579A"/>
          <w:shd w:val="clear" w:color="auto" w:fill="E6E6E6"/>
          <w:lang w:eastAsia="en-GB"/>
        </w:rPr>
        <w:fldChar w:fldCharType="end"/>
      </w:r>
      <w:r w:rsidR="00D04F7C">
        <w:rPr>
          <w:lang w:eastAsia="en-GB"/>
        </w:rPr>
        <w:t xml:space="preserve">. </w:t>
      </w:r>
    </w:p>
    <w:p w14:paraId="5E7ABAB8" w14:textId="7F95C9DA" w:rsidR="007C7D0B" w:rsidRDefault="00BD2AC2" w:rsidP="00D04F7C">
      <w:pPr>
        <w:jc w:val="center"/>
        <w:rPr>
          <w:lang w:eastAsia="en-GB"/>
        </w:rPr>
      </w:pPr>
      <w:r>
        <w:rPr>
          <w:noProof/>
          <w:color w:val="2B579A"/>
          <w:shd w:val="clear" w:color="auto" w:fill="E6E6E6"/>
        </w:rPr>
        <w:lastRenderedPageBreak/>
        <w:drawing>
          <wp:inline distT="0" distB="0" distL="0" distR="0" wp14:anchorId="306DB7BE" wp14:editId="2E1349BD">
            <wp:extent cx="1922227" cy="5615796"/>
            <wp:effectExtent l="0" t="0" r="1905" b="4445"/>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rotWithShape="1">
                    <a:blip r:embed="rId14"/>
                    <a:srcRect l="4795" t="2414" b="1280"/>
                    <a:stretch/>
                  </pic:blipFill>
                  <pic:spPr bwMode="auto">
                    <a:xfrm>
                      <a:off x="0" y="0"/>
                      <a:ext cx="1926395" cy="5627972"/>
                    </a:xfrm>
                    <a:prstGeom prst="rect">
                      <a:avLst/>
                    </a:prstGeom>
                    <a:ln>
                      <a:noFill/>
                    </a:ln>
                    <a:extLst>
                      <a:ext uri="{53640926-AAD7-44D8-BBD7-CCE9431645EC}">
                        <a14:shadowObscured xmlns:a14="http://schemas.microsoft.com/office/drawing/2010/main"/>
                      </a:ext>
                    </a:extLst>
                  </pic:spPr>
                </pic:pic>
              </a:graphicData>
            </a:graphic>
          </wp:inline>
        </w:drawing>
      </w:r>
    </w:p>
    <w:p w14:paraId="125996F1" w14:textId="0C9D25E0" w:rsidR="00A6369D" w:rsidRPr="007C7D0B" w:rsidRDefault="005C5ED7" w:rsidP="00A6369D">
      <w:pPr>
        <w:rPr>
          <w:lang w:eastAsia="en-GB"/>
        </w:rPr>
      </w:pPr>
      <w:r>
        <w:rPr>
          <w:lang w:eastAsia="en-GB"/>
        </w:rPr>
        <w:t xml:space="preserve">However, since the MIJIA Camera glasses uses a reflective surface to display the screen to the user, the perceived </w:t>
      </w:r>
      <w:r w:rsidR="00684324">
        <w:rPr>
          <w:lang w:eastAsia="en-GB"/>
        </w:rPr>
        <w:t>luminance</w:t>
      </w:r>
      <w:r>
        <w:rPr>
          <w:lang w:eastAsia="en-GB"/>
        </w:rPr>
        <w:t xml:space="preserve"> is equivalent to </w:t>
      </w:r>
      <w:r w:rsidR="00684324">
        <w:rPr>
          <w:lang w:eastAsia="en-GB"/>
        </w:rPr>
        <w:t xml:space="preserve">about 1,800 nits </w:t>
      </w:r>
      <w:r w:rsidR="00684324">
        <w:rPr>
          <w:color w:val="2B579A"/>
          <w:shd w:val="clear" w:color="auto" w:fill="E6E6E6"/>
          <w:lang w:eastAsia="en-GB"/>
        </w:rPr>
        <w:fldChar w:fldCharType="begin"/>
      </w:r>
      <w:r w:rsidR="00684324">
        <w:rPr>
          <w:lang w:eastAsia="en-GB"/>
        </w:rPr>
        <w:instrText xml:space="preserve"> REF _Ref127265655 \r \h </w:instrText>
      </w:r>
      <w:r w:rsidR="00684324">
        <w:rPr>
          <w:color w:val="2B579A"/>
          <w:shd w:val="clear" w:color="auto" w:fill="E6E6E6"/>
          <w:lang w:eastAsia="en-GB"/>
        </w:rPr>
      </w:r>
      <w:r w:rsidR="00684324">
        <w:rPr>
          <w:color w:val="2B579A"/>
          <w:shd w:val="clear" w:color="auto" w:fill="E6E6E6"/>
          <w:lang w:eastAsia="en-GB"/>
        </w:rPr>
        <w:fldChar w:fldCharType="separate"/>
      </w:r>
      <w:r w:rsidR="00856CDA">
        <w:rPr>
          <w:lang w:eastAsia="en-GB"/>
        </w:rPr>
        <w:t>[1]</w:t>
      </w:r>
      <w:r w:rsidR="00684324">
        <w:rPr>
          <w:color w:val="2B579A"/>
          <w:shd w:val="clear" w:color="auto" w:fill="E6E6E6"/>
          <w:lang w:eastAsia="en-GB"/>
        </w:rPr>
        <w:fldChar w:fldCharType="end"/>
      </w:r>
      <w:r w:rsidR="00684324">
        <w:rPr>
          <w:lang w:eastAsia="en-GB"/>
        </w:rPr>
        <w:t xml:space="preserve">. </w:t>
      </w:r>
      <w:r w:rsidR="00A6369D">
        <w:rPr>
          <w:lang w:eastAsia="en-GB"/>
        </w:rPr>
        <w:t xml:space="preserve">As </w:t>
      </w:r>
      <w:r w:rsidR="005B69BA">
        <w:rPr>
          <w:lang w:eastAsia="en-GB"/>
        </w:rPr>
        <w:t>comparison</w:t>
      </w:r>
      <w:r w:rsidR="00A6369D">
        <w:rPr>
          <w:lang w:eastAsia="en-GB"/>
        </w:rPr>
        <w:t xml:space="preserve">, </w:t>
      </w:r>
      <w:r w:rsidR="005B69BA">
        <w:rPr>
          <w:lang w:eastAsia="en-GB"/>
        </w:rPr>
        <w:t xml:space="preserve">the brighter </w:t>
      </w:r>
      <w:r w:rsidR="00A6369D">
        <w:rPr>
          <w:lang w:eastAsia="en-GB"/>
        </w:rPr>
        <w:t xml:space="preserve">smartphones </w:t>
      </w:r>
      <w:r w:rsidR="005B69BA">
        <w:rPr>
          <w:lang w:eastAsia="en-GB"/>
        </w:rPr>
        <w:t xml:space="preserve">display go up to </w:t>
      </w:r>
      <w:r w:rsidR="00684324">
        <w:rPr>
          <w:lang w:eastAsia="en-GB"/>
        </w:rPr>
        <w:t xml:space="preserve">the intensity of </w:t>
      </w:r>
      <w:r w:rsidR="005B69BA">
        <w:rPr>
          <w:lang w:eastAsia="en-GB"/>
        </w:rPr>
        <w:t>2,000 nits.</w:t>
      </w:r>
    </w:p>
    <w:p w14:paraId="5FE8CF35" w14:textId="3D6AA043" w:rsidR="00100CAD" w:rsidRDefault="00EC2C63" w:rsidP="00FF27F7">
      <w:pPr>
        <w:pStyle w:val="Heading1"/>
        <w:tabs>
          <w:tab w:val="left" w:pos="2410"/>
        </w:tabs>
      </w:pPr>
      <w:r>
        <w:t>3</w:t>
      </w:r>
      <w:r w:rsidR="00FF27F7">
        <w:tab/>
      </w:r>
      <w:r>
        <w:t>Analysis</w:t>
      </w:r>
    </w:p>
    <w:p w14:paraId="7A335D00" w14:textId="0D222924" w:rsidR="008A0847" w:rsidRDefault="00EC2C63" w:rsidP="00290864">
      <w:pPr>
        <w:rPr>
          <w:lang w:eastAsia="en-GB"/>
        </w:rPr>
      </w:pPr>
      <w:r>
        <w:rPr>
          <w:lang w:eastAsia="en-GB"/>
        </w:rPr>
        <w:t>Th</w:t>
      </w:r>
      <w:r w:rsidR="0085374E">
        <w:rPr>
          <w:lang w:eastAsia="en-GB"/>
        </w:rPr>
        <w:t>ese</w:t>
      </w:r>
      <w:r>
        <w:rPr>
          <w:lang w:eastAsia="en-GB"/>
        </w:rPr>
        <w:t xml:space="preserve"> </w:t>
      </w:r>
      <w:r w:rsidR="00CA32B7">
        <w:rPr>
          <w:lang w:eastAsia="en-GB"/>
        </w:rPr>
        <w:t>literature and device stud</w:t>
      </w:r>
      <w:r w:rsidR="0085374E">
        <w:rPr>
          <w:lang w:eastAsia="en-GB"/>
        </w:rPr>
        <w:t>ies</w:t>
      </w:r>
      <w:r w:rsidR="00CA32B7">
        <w:rPr>
          <w:lang w:eastAsia="en-GB"/>
        </w:rPr>
        <w:t xml:space="preserve"> show that producing a</w:t>
      </w:r>
      <w:r w:rsidR="0085374E">
        <w:rPr>
          <w:lang w:eastAsia="en-GB"/>
        </w:rPr>
        <w:t>n</w:t>
      </w:r>
      <w:r w:rsidR="00CA32B7">
        <w:rPr>
          <w:lang w:eastAsia="en-GB"/>
        </w:rPr>
        <w:t xml:space="preserve"> </w:t>
      </w:r>
      <w:r w:rsidR="0085374E">
        <w:rPr>
          <w:lang w:eastAsia="en-GB"/>
        </w:rPr>
        <w:t xml:space="preserve">AR </w:t>
      </w:r>
      <w:r w:rsidR="00CA32B7">
        <w:rPr>
          <w:lang w:eastAsia="en-GB"/>
        </w:rPr>
        <w:t xml:space="preserve">display that can adapt to a wide range of </w:t>
      </w:r>
      <w:r w:rsidR="00290864">
        <w:rPr>
          <w:lang w:eastAsia="en-GB"/>
        </w:rPr>
        <w:t xml:space="preserve">ambient brightness condition is challenging. In high brightness environment, the display has to be </w:t>
      </w:r>
      <w:r w:rsidR="002B1905">
        <w:rPr>
          <w:lang w:eastAsia="en-GB"/>
        </w:rPr>
        <w:t>able to match the ambient brightness to which the human eye is adapted to in order to be visible.</w:t>
      </w:r>
      <w:r w:rsidR="00E21983">
        <w:rPr>
          <w:lang w:eastAsia="en-GB"/>
        </w:rPr>
        <w:t xml:space="preserve"> In other words, the AR display needs to </w:t>
      </w:r>
      <w:r w:rsidR="007315A5">
        <w:rPr>
          <w:lang w:eastAsia="en-GB"/>
        </w:rPr>
        <w:t>be capable of a high peak brightness, higher than usually found on smartphones.</w:t>
      </w:r>
    </w:p>
    <w:p w14:paraId="2421F1BE" w14:textId="77307BA0" w:rsidR="002B1905" w:rsidRDefault="002B1905" w:rsidP="00290864">
      <w:pPr>
        <w:rPr>
          <w:lang w:eastAsia="en-GB"/>
        </w:rPr>
      </w:pPr>
      <w:r w:rsidRPr="0FE15605">
        <w:rPr>
          <w:lang w:eastAsia="en-GB"/>
        </w:rPr>
        <w:t xml:space="preserve">However, the literature search in this contribution is inconclusive </w:t>
      </w:r>
      <w:r w:rsidR="007315A5" w:rsidRPr="0FE15605">
        <w:rPr>
          <w:lang w:eastAsia="en-GB"/>
        </w:rPr>
        <w:t>regarding the</w:t>
      </w:r>
      <w:r w:rsidRPr="0FE15605">
        <w:rPr>
          <w:lang w:eastAsia="en-GB"/>
        </w:rPr>
        <w:t xml:space="preserve"> </w:t>
      </w:r>
      <w:r w:rsidR="00397A41" w:rsidRPr="0FE15605">
        <w:rPr>
          <w:lang w:eastAsia="en-GB"/>
        </w:rPr>
        <w:t xml:space="preserve">magnitude of the </w:t>
      </w:r>
      <w:r w:rsidR="00B840FD" w:rsidRPr="0FE15605">
        <w:rPr>
          <w:lang w:eastAsia="en-GB"/>
        </w:rPr>
        <w:t xml:space="preserve">luminance that </w:t>
      </w:r>
      <w:r w:rsidR="00397A41" w:rsidRPr="0FE15605">
        <w:rPr>
          <w:lang w:eastAsia="en-GB"/>
        </w:rPr>
        <w:t>the human eye is able to perceive under high brightness environment</w:t>
      </w:r>
      <w:r w:rsidR="00B840FD" w:rsidRPr="0FE15605">
        <w:rPr>
          <w:lang w:eastAsia="en-GB"/>
        </w:rPr>
        <w:t>s</w:t>
      </w:r>
      <w:r w:rsidR="00397A41" w:rsidRPr="0FE15605">
        <w:rPr>
          <w:lang w:eastAsia="en-GB"/>
        </w:rPr>
        <w:t xml:space="preserve">. Studies about </w:t>
      </w:r>
      <w:r w:rsidR="00BA2706" w:rsidRPr="0FE15605">
        <w:rPr>
          <w:lang w:eastAsia="en-GB"/>
        </w:rPr>
        <w:t>the brightness adaptation of the human eye is better studied under indoor condition</w:t>
      </w:r>
      <w:r w:rsidR="00B840FD" w:rsidRPr="0FE15605">
        <w:rPr>
          <w:lang w:eastAsia="en-GB"/>
        </w:rPr>
        <w:t>s</w:t>
      </w:r>
      <w:r w:rsidR="00BA2706" w:rsidRPr="0FE15605">
        <w:rPr>
          <w:lang w:eastAsia="en-GB"/>
        </w:rPr>
        <w:t xml:space="preserve">, e.g. for HDR viewing setting on TV set. But it is clear that </w:t>
      </w:r>
      <w:r w:rsidR="004243C1" w:rsidRPr="0FE15605">
        <w:rPr>
          <w:lang w:eastAsia="en-GB"/>
        </w:rPr>
        <w:t xml:space="preserve">this brightness </w:t>
      </w:r>
      <w:r w:rsidR="00F84BC1" w:rsidRPr="0FE15605">
        <w:rPr>
          <w:lang w:eastAsia="en-GB"/>
        </w:rPr>
        <w:t>adaptation</w:t>
      </w:r>
      <w:r w:rsidR="004243C1" w:rsidRPr="0FE15605">
        <w:rPr>
          <w:lang w:eastAsia="en-GB"/>
        </w:rPr>
        <w:t xml:space="preserve"> cannot be simply </w:t>
      </w:r>
      <w:r w:rsidR="00F84BC1" w:rsidRPr="0FE15605">
        <w:rPr>
          <w:lang w:eastAsia="en-GB"/>
        </w:rPr>
        <w:t>extrapolated</w:t>
      </w:r>
      <w:r w:rsidR="004243C1" w:rsidRPr="0FE15605">
        <w:rPr>
          <w:lang w:eastAsia="en-GB"/>
        </w:rPr>
        <w:t xml:space="preserve"> to other environment</w:t>
      </w:r>
      <w:r w:rsidR="00B840FD" w:rsidRPr="0FE15605">
        <w:rPr>
          <w:lang w:eastAsia="en-GB"/>
        </w:rPr>
        <w:t>s</w:t>
      </w:r>
      <w:r w:rsidR="004243C1" w:rsidRPr="0FE15605">
        <w:rPr>
          <w:lang w:eastAsia="en-GB"/>
        </w:rPr>
        <w:t xml:space="preserve">. For instance, the literature </w:t>
      </w:r>
      <w:r w:rsidR="00F84BC1" w:rsidRPr="0FE15605">
        <w:rPr>
          <w:lang w:eastAsia="en-GB"/>
        </w:rPr>
        <w:t>clearly</w:t>
      </w:r>
      <w:r w:rsidR="004243C1" w:rsidRPr="0FE15605">
        <w:rPr>
          <w:lang w:eastAsia="en-GB"/>
        </w:rPr>
        <w:t xml:space="preserve"> shows that the human eye </w:t>
      </w:r>
      <w:r w:rsidR="00EB0539" w:rsidRPr="0FE15605">
        <w:rPr>
          <w:lang w:eastAsia="en-GB"/>
        </w:rPr>
        <w:t xml:space="preserve">sees a lower range of luminance in low lighting conditions as level as a smaller </w:t>
      </w:r>
      <w:r w:rsidR="002D6EE6" w:rsidRPr="0FE15605">
        <w:rPr>
          <w:lang w:eastAsia="en-GB"/>
        </w:rPr>
        <w:t>number of luminance level</w:t>
      </w:r>
      <w:r w:rsidR="00AF1214" w:rsidRPr="0FE15605">
        <w:rPr>
          <w:lang w:eastAsia="en-GB"/>
        </w:rPr>
        <w:t>s</w:t>
      </w:r>
      <w:r w:rsidR="002D6EE6" w:rsidRPr="0FE15605">
        <w:rPr>
          <w:lang w:eastAsia="en-GB"/>
        </w:rPr>
        <w:t xml:space="preserve"> in that range. Therefore, more study would be need</w:t>
      </w:r>
      <w:r w:rsidR="045079B1" w:rsidRPr="0FE15605">
        <w:rPr>
          <w:lang w:eastAsia="en-GB"/>
        </w:rPr>
        <w:t>ed</w:t>
      </w:r>
      <w:r w:rsidR="002D6EE6" w:rsidRPr="0FE15605">
        <w:rPr>
          <w:lang w:eastAsia="en-GB"/>
        </w:rPr>
        <w:t xml:space="preserve"> to understand how the human vision </w:t>
      </w:r>
      <w:r w:rsidR="00E15075" w:rsidRPr="0FE15605">
        <w:rPr>
          <w:lang w:eastAsia="en-GB"/>
        </w:rPr>
        <w:t xml:space="preserve">system would behave in high brightness conditions before making conclusions on </w:t>
      </w:r>
      <w:r w:rsidR="00F84BC1" w:rsidRPr="0FE15605">
        <w:rPr>
          <w:lang w:eastAsia="en-GB"/>
        </w:rPr>
        <w:t xml:space="preserve">the appropriate </w:t>
      </w:r>
      <w:r w:rsidR="00E15075" w:rsidRPr="0FE15605">
        <w:rPr>
          <w:lang w:eastAsia="en-GB"/>
        </w:rPr>
        <w:t xml:space="preserve">video formats </w:t>
      </w:r>
      <w:r w:rsidR="00F84BC1" w:rsidRPr="0FE15605">
        <w:rPr>
          <w:lang w:eastAsia="en-GB"/>
        </w:rPr>
        <w:t xml:space="preserve">for those </w:t>
      </w:r>
      <w:r w:rsidR="0085374E" w:rsidRPr="0FE15605">
        <w:rPr>
          <w:lang w:eastAsia="en-GB"/>
        </w:rPr>
        <w:t xml:space="preserve">environment </w:t>
      </w:r>
      <w:r w:rsidR="00F84BC1" w:rsidRPr="0FE15605">
        <w:rPr>
          <w:lang w:eastAsia="en-GB"/>
        </w:rPr>
        <w:t>conditions.</w:t>
      </w:r>
    </w:p>
    <w:p w14:paraId="501E38A9" w14:textId="53AD978F" w:rsidR="00EC2C63" w:rsidRDefault="002B2569" w:rsidP="00EC2C63">
      <w:pPr>
        <w:keepNext/>
        <w:keepLines/>
        <w:overflowPunct w:val="0"/>
        <w:autoSpaceDE w:val="0"/>
        <w:autoSpaceDN w:val="0"/>
        <w:adjustRightInd w:val="0"/>
        <w:spacing w:before="240" w:after="180" w:line="240" w:lineRule="auto"/>
        <w:textAlignment w:val="baseline"/>
        <w:outlineLvl w:val="0"/>
        <w:rPr>
          <w:rFonts w:eastAsia="Times New Roman"/>
          <w:sz w:val="28"/>
          <w:lang w:eastAsia="en-GB"/>
        </w:rPr>
      </w:pPr>
      <w:r>
        <w:rPr>
          <w:rFonts w:eastAsia="Times New Roman"/>
          <w:sz w:val="28"/>
          <w:lang w:eastAsia="en-GB"/>
        </w:rPr>
        <w:t>4</w:t>
      </w:r>
      <w:r>
        <w:rPr>
          <w:rFonts w:eastAsia="Times New Roman"/>
          <w:sz w:val="28"/>
          <w:lang w:eastAsia="en-GB"/>
        </w:rPr>
        <w:tab/>
      </w:r>
      <w:r w:rsidR="00EC2C63">
        <w:rPr>
          <w:rFonts w:eastAsia="Times New Roman"/>
          <w:sz w:val="28"/>
          <w:lang w:eastAsia="en-GB"/>
        </w:rPr>
        <w:t>Conclusion</w:t>
      </w:r>
    </w:p>
    <w:p w14:paraId="49CF01C6" w14:textId="7A97238D" w:rsidR="008E64F2" w:rsidRPr="002B2569" w:rsidRDefault="00714AC3" w:rsidP="002B2569">
      <w:pPr>
        <w:rPr>
          <w:lang w:eastAsia="en-GB"/>
        </w:rPr>
      </w:pPr>
      <w:r>
        <w:rPr>
          <w:lang w:eastAsia="en-GB"/>
        </w:rPr>
        <w:t xml:space="preserve">We recommend </w:t>
      </w:r>
      <w:r w:rsidR="002B2569">
        <w:rPr>
          <w:lang w:eastAsia="en-GB"/>
        </w:rPr>
        <w:t xml:space="preserve">adding clause 2 to the MeCAR Permanent Document and invite more study on the </w:t>
      </w:r>
      <w:r w:rsidR="002B2569">
        <w:rPr>
          <w:lang w:eastAsia="en-GB"/>
        </w:rPr>
        <w:lastRenderedPageBreak/>
        <w:t>matter.</w:t>
      </w:r>
    </w:p>
    <w:p w14:paraId="7573E55F" w14:textId="77777777" w:rsidR="008A0847" w:rsidRDefault="008A0847" w:rsidP="008A0847">
      <w:pPr>
        <w:rPr>
          <w:lang w:eastAsia="en-GB"/>
        </w:rPr>
      </w:pPr>
    </w:p>
    <w:p w14:paraId="52BDED25" w14:textId="7C3C3050" w:rsidR="00704D2A" w:rsidRDefault="00704D2A" w:rsidP="00704D2A">
      <w:pPr>
        <w:pStyle w:val="Heading1"/>
        <w:tabs>
          <w:tab w:val="left" w:pos="2410"/>
        </w:tabs>
      </w:pPr>
      <w:r>
        <w:t>References</w:t>
      </w:r>
    </w:p>
    <w:p w14:paraId="3F0DC964" w14:textId="23AE14B4" w:rsidR="00FC63C8" w:rsidRDefault="00F04BDA" w:rsidP="00DF204D">
      <w:pPr>
        <w:pStyle w:val="ListParagraph"/>
        <w:numPr>
          <w:ilvl w:val="0"/>
          <w:numId w:val="9"/>
        </w:numPr>
        <w:rPr>
          <w:rFonts w:ascii="Arial" w:hAnsi="Arial" w:cs="Arial"/>
          <w:sz w:val="20"/>
          <w:szCs w:val="20"/>
          <w:lang w:eastAsia="en-GB"/>
        </w:rPr>
      </w:pPr>
      <w:bookmarkStart w:id="0" w:name="_Ref127265655"/>
      <w:bookmarkStart w:id="1" w:name="_Ref127187142"/>
      <w:r w:rsidRPr="00F04BDA">
        <w:rPr>
          <w:rFonts w:ascii="Arial" w:hAnsi="Arial" w:cs="Arial" w:hint="eastAsia"/>
          <w:sz w:val="20"/>
          <w:szCs w:val="20"/>
          <w:lang w:eastAsia="en-GB"/>
        </w:rPr>
        <w:t xml:space="preserve">MIJIA </w:t>
      </w:r>
      <w:proofErr w:type="spellStart"/>
      <w:r w:rsidRPr="00F04BDA">
        <w:rPr>
          <w:rFonts w:ascii="Microsoft YaHei" w:eastAsia="Microsoft YaHei" w:hAnsi="Microsoft YaHei" w:cs="Microsoft YaHei" w:hint="eastAsia"/>
          <w:sz w:val="20"/>
          <w:szCs w:val="20"/>
          <w:lang w:eastAsia="en-GB"/>
        </w:rPr>
        <w:t>眼镜相机</w:t>
      </w:r>
      <w:proofErr w:type="spellEnd"/>
      <w:r>
        <w:rPr>
          <w:rFonts w:ascii="Microsoft YaHei" w:eastAsia="Microsoft YaHei" w:hAnsi="Microsoft YaHei" w:cs="Microsoft YaHei" w:hint="eastAsia"/>
          <w:sz w:val="20"/>
          <w:szCs w:val="20"/>
          <w:lang w:eastAsia="en-GB"/>
        </w:rPr>
        <w:t xml:space="preserve"> (</w:t>
      </w:r>
      <w:r>
        <w:rPr>
          <w:rFonts w:ascii="Microsoft YaHei" w:eastAsia="Microsoft YaHei" w:hAnsi="Microsoft YaHei" w:cs="Microsoft YaHei"/>
          <w:sz w:val="20"/>
          <w:szCs w:val="20"/>
          <w:lang w:eastAsia="en-GB"/>
        </w:rPr>
        <w:t>C</w:t>
      </w:r>
      <w:r w:rsidRPr="00F04BDA">
        <w:rPr>
          <w:rFonts w:ascii="Microsoft YaHei" w:eastAsia="Microsoft YaHei" w:hAnsi="Microsoft YaHei" w:cs="Microsoft YaHei"/>
          <w:sz w:val="20"/>
          <w:szCs w:val="20"/>
          <w:lang w:eastAsia="en-GB"/>
        </w:rPr>
        <w:t>amera</w:t>
      </w:r>
      <w:r>
        <w:rPr>
          <w:rFonts w:ascii="Microsoft YaHei" w:eastAsia="Microsoft YaHei" w:hAnsi="Microsoft YaHei" w:cs="Microsoft YaHei"/>
          <w:sz w:val="20"/>
          <w:szCs w:val="20"/>
          <w:lang w:eastAsia="en-GB"/>
        </w:rPr>
        <w:t xml:space="preserve"> G</w:t>
      </w:r>
      <w:r w:rsidRPr="00F04BDA">
        <w:rPr>
          <w:rFonts w:ascii="Microsoft YaHei" w:eastAsia="Microsoft YaHei" w:hAnsi="Microsoft YaHei" w:cs="Microsoft YaHei"/>
          <w:sz w:val="20"/>
          <w:szCs w:val="20"/>
          <w:lang w:eastAsia="en-GB"/>
        </w:rPr>
        <w:t>lasses</w:t>
      </w:r>
      <w:r>
        <w:rPr>
          <w:rFonts w:ascii="Microsoft YaHei" w:eastAsia="Microsoft YaHei" w:hAnsi="Microsoft YaHei" w:cs="Microsoft YaHei"/>
          <w:sz w:val="20"/>
          <w:szCs w:val="20"/>
          <w:lang w:eastAsia="en-GB"/>
        </w:rPr>
        <w:t xml:space="preserve">), </w:t>
      </w:r>
      <w:hyperlink r:id="rId15" w:history="1">
        <w:r w:rsidRPr="003330DB">
          <w:rPr>
            <w:rStyle w:val="Hyperlink"/>
            <w:rFonts w:eastAsia="Calibri"/>
            <w:kern w:val="0"/>
            <w:sz w:val="20"/>
            <w:szCs w:val="20"/>
            <w:lang w:eastAsia="en-GB"/>
          </w:rPr>
          <w:t>https://www.xiaomiyoupin.com/detail?gid=156257</w:t>
        </w:r>
      </w:hyperlink>
      <w:bookmarkEnd w:id="0"/>
      <w:r w:rsidR="00FC63C8">
        <w:rPr>
          <w:rFonts w:ascii="Arial" w:hAnsi="Arial" w:cs="Arial"/>
          <w:sz w:val="20"/>
          <w:szCs w:val="20"/>
          <w:lang w:eastAsia="en-GB"/>
        </w:rPr>
        <w:t xml:space="preserve"> </w:t>
      </w:r>
    </w:p>
    <w:p w14:paraId="69C8DA11" w14:textId="0DC0F899" w:rsidR="00704D2A" w:rsidRDefault="00DF204D" w:rsidP="00DF204D">
      <w:pPr>
        <w:pStyle w:val="ListParagraph"/>
        <w:numPr>
          <w:ilvl w:val="0"/>
          <w:numId w:val="9"/>
        </w:numPr>
        <w:rPr>
          <w:rFonts w:ascii="Arial" w:hAnsi="Arial" w:cs="Arial"/>
          <w:sz w:val="20"/>
          <w:szCs w:val="20"/>
          <w:lang w:eastAsia="en-GB"/>
        </w:rPr>
      </w:pPr>
      <w:bookmarkStart w:id="2" w:name="_Ref127267574"/>
      <w:r w:rsidRPr="008E64F2">
        <w:rPr>
          <w:rFonts w:ascii="Arial" w:hAnsi="Arial" w:cs="Arial"/>
          <w:sz w:val="20"/>
          <w:szCs w:val="20"/>
          <w:lang w:eastAsia="en-GB"/>
        </w:rPr>
        <w:t>Impact of High Brightness Environments on Media Capability for AR</w:t>
      </w:r>
      <w:r w:rsidR="00616AE7" w:rsidRPr="008E64F2">
        <w:rPr>
          <w:rFonts w:ascii="Arial" w:hAnsi="Arial" w:cs="Arial"/>
          <w:sz w:val="20"/>
          <w:szCs w:val="20"/>
          <w:lang w:eastAsia="en-GB"/>
        </w:rPr>
        <w:t>, S4aV221576</w:t>
      </w:r>
      <w:r w:rsidR="002C4042" w:rsidRPr="008E64F2">
        <w:rPr>
          <w:rFonts w:ascii="Arial" w:hAnsi="Arial" w:cs="Arial"/>
          <w:sz w:val="20"/>
          <w:szCs w:val="20"/>
          <w:lang w:eastAsia="en-GB"/>
        </w:rPr>
        <w:t xml:space="preserve">, </w:t>
      </w:r>
      <w:proofErr w:type="spellStart"/>
      <w:r w:rsidR="002C4042" w:rsidRPr="008E64F2">
        <w:rPr>
          <w:rFonts w:ascii="Arial" w:hAnsi="Arial" w:cs="Arial"/>
          <w:sz w:val="20"/>
          <w:szCs w:val="20"/>
          <w:lang w:eastAsia="en-GB"/>
        </w:rPr>
        <w:t>InterDigital</w:t>
      </w:r>
      <w:proofErr w:type="spellEnd"/>
      <w:r w:rsidR="002C4042" w:rsidRPr="008E64F2">
        <w:rPr>
          <w:rFonts w:ascii="Arial" w:hAnsi="Arial" w:cs="Arial"/>
          <w:sz w:val="20"/>
          <w:szCs w:val="20"/>
          <w:lang w:eastAsia="en-GB"/>
        </w:rPr>
        <w:t xml:space="preserve"> Inc.</w:t>
      </w:r>
      <w:bookmarkEnd w:id="1"/>
      <w:bookmarkEnd w:id="2"/>
    </w:p>
    <w:p w14:paraId="077BAC5B" w14:textId="201BCD0D" w:rsidR="00C55A10" w:rsidRDefault="0098029C" w:rsidP="00DF204D">
      <w:pPr>
        <w:pStyle w:val="ListParagraph"/>
        <w:numPr>
          <w:ilvl w:val="0"/>
          <w:numId w:val="9"/>
        </w:numPr>
        <w:rPr>
          <w:rFonts w:ascii="Arial" w:hAnsi="Arial" w:cs="Arial"/>
          <w:sz w:val="20"/>
          <w:szCs w:val="20"/>
          <w:lang w:eastAsia="en-GB"/>
        </w:rPr>
      </w:pPr>
      <w:bookmarkStart w:id="3" w:name="_Ref127194297"/>
      <w:r w:rsidRPr="0098029C">
        <w:rPr>
          <w:rFonts w:ascii="Arial" w:hAnsi="Arial" w:cs="Arial"/>
          <w:sz w:val="20"/>
          <w:szCs w:val="20"/>
          <w:lang w:eastAsia="en-GB"/>
        </w:rPr>
        <w:t xml:space="preserve">Wikipedia contributors, "Luminance," </w:t>
      </w:r>
      <w:r w:rsidRPr="0098029C">
        <w:rPr>
          <w:rFonts w:ascii="Arial" w:hAnsi="Arial" w:cs="Arial"/>
          <w:i/>
          <w:iCs/>
          <w:sz w:val="20"/>
          <w:szCs w:val="20"/>
          <w:lang w:eastAsia="en-GB"/>
        </w:rPr>
        <w:t>Wikipedia, The Free Encyclopedia</w:t>
      </w:r>
      <w:r w:rsidRPr="0098029C">
        <w:rPr>
          <w:rFonts w:ascii="Arial" w:hAnsi="Arial" w:cs="Arial"/>
          <w:sz w:val="20"/>
          <w:szCs w:val="20"/>
          <w:lang w:eastAsia="en-GB"/>
        </w:rPr>
        <w:t xml:space="preserve">, </w:t>
      </w:r>
      <w:hyperlink r:id="rId16" w:history="1">
        <w:r w:rsidR="006A2685" w:rsidRPr="003330DB">
          <w:rPr>
            <w:rStyle w:val="Hyperlink"/>
            <w:rFonts w:eastAsia="Calibri"/>
            <w:kern w:val="0"/>
            <w:sz w:val="20"/>
            <w:szCs w:val="20"/>
            <w:lang w:eastAsia="en-GB"/>
          </w:rPr>
          <w:t>https://en.wikipedia.org/w/index.php?title=Luminance&amp;oldid=1126469557</w:t>
        </w:r>
      </w:hyperlink>
      <w:r w:rsidR="006A2685">
        <w:rPr>
          <w:rFonts w:ascii="Arial" w:hAnsi="Arial" w:cs="Arial"/>
          <w:sz w:val="20"/>
          <w:szCs w:val="20"/>
          <w:lang w:eastAsia="en-GB"/>
        </w:rPr>
        <w:t xml:space="preserve"> </w:t>
      </w:r>
      <w:r w:rsidRPr="0098029C">
        <w:rPr>
          <w:rFonts w:ascii="Arial" w:hAnsi="Arial" w:cs="Arial"/>
          <w:sz w:val="20"/>
          <w:szCs w:val="20"/>
          <w:lang w:eastAsia="en-GB"/>
        </w:rPr>
        <w:t>(accessed February 13, 2023).</w:t>
      </w:r>
      <w:bookmarkEnd w:id="3"/>
    </w:p>
    <w:p w14:paraId="6B5E78B2" w14:textId="2F0201EF" w:rsidR="006A2685" w:rsidRDefault="006A2685" w:rsidP="00DF204D">
      <w:pPr>
        <w:pStyle w:val="ListParagraph"/>
        <w:numPr>
          <w:ilvl w:val="0"/>
          <w:numId w:val="9"/>
        </w:numPr>
        <w:rPr>
          <w:rFonts w:ascii="Arial" w:hAnsi="Arial" w:cs="Arial"/>
          <w:sz w:val="20"/>
          <w:szCs w:val="20"/>
          <w:lang w:eastAsia="en-GB"/>
        </w:rPr>
      </w:pPr>
      <w:bookmarkStart w:id="4" w:name="_Ref127194379"/>
      <w:r w:rsidRPr="006A2685">
        <w:rPr>
          <w:rFonts w:ascii="Arial" w:hAnsi="Arial" w:cs="Arial"/>
          <w:sz w:val="20"/>
          <w:szCs w:val="20"/>
          <w:lang w:eastAsia="en-GB"/>
        </w:rPr>
        <w:t xml:space="preserve">Wikipedia contributors, "Brightness," </w:t>
      </w:r>
      <w:r w:rsidRPr="006A2685">
        <w:rPr>
          <w:rFonts w:ascii="Arial" w:hAnsi="Arial" w:cs="Arial"/>
          <w:i/>
          <w:iCs/>
          <w:sz w:val="20"/>
          <w:szCs w:val="20"/>
          <w:lang w:eastAsia="en-GB"/>
        </w:rPr>
        <w:t>Wikipedia, The Free Encyclopedia</w:t>
      </w:r>
      <w:r w:rsidRPr="006A2685">
        <w:rPr>
          <w:rFonts w:ascii="Arial" w:hAnsi="Arial" w:cs="Arial"/>
          <w:sz w:val="20"/>
          <w:szCs w:val="20"/>
          <w:lang w:eastAsia="en-GB"/>
        </w:rPr>
        <w:t xml:space="preserve">, </w:t>
      </w:r>
      <w:hyperlink r:id="rId17" w:history="1">
        <w:r w:rsidRPr="003330DB">
          <w:rPr>
            <w:rStyle w:val="Hyperlink"/>
            <w:rFonts w:eastAsia="Calibri"/>
            <w:kern w:val="0"/>
            <w:sz w:val="20"/>
            <w:szCs w:val="20"/>
            <w:lang w:eastAsia="en-GB"/>
          </w:rPr>
          <w:t>https://en.wikipedia.org/w/index.php?title=Brightness&amp;oldid=1106179267</w:t>
        </w:r>
      </w:hyperlink>
      <w:r w:rsidRPr="006A2685">
        <w:rPr>
          <w:rFonts w:ascii="Arial" w:hAnsi="Arial" w:cs="Arial"/>
          <w:sz w:val="20"/>
          <w:szCs w:val="20"/>
          <w:lang w:eastAsia="en-GB"/>
        </w:rPr>
        <w:t xml:space="preserve"> (accessed February 13, 2023).</w:t>
      </w:r>
      <w:bookmarkEnd w:id="4"/>
    </w:p>
    <w:p w14:paraId="2D22470E" w14:textId="3341E2BC" w:rsidR="006C1BC4" w:rsidRPr="006C1BC4" w:rsidRDefault="006C1BC4" w:rsidP="00DF204D">
      <w:pPr>
        <w:pStyle w:val="ListParagraph"/>
        <w:numPr>
          <w:ilvl w:val="0"/>
          <w:numId w:val="9"/>
        </w:numPr>
        <w:rPr>
          <w:rFonts w:ascii="Arial" w:hAnsi="Arial" w:cs="Arial"/>
          <w:sz w:val="20"/>
          <w:szCs w:val="20"/>
          <w:lang w:eastAsia="en-GB"/>
        </w:rPr>
      </w:pPr>
      <w:bookmarkStart w:id="5" w:name="_Ref127263247"/>
      <w:r>
        <w:rPr>
          <w:rFonts w:ascii="Arial" w:hAnsi="Arial" w:cs="Arial"/>
          <w:color w:val="222222"/>
          <w:sz w:val="20"/>
          <w:szCs w:val="20"/>
          <w:shd w:val="clear" w:color="auto" w:fill="FFFFFF"/>
        </w:rPr>
        <w:t xml:space="preserve">Gonzales, Rafael C., and Paul </w:t>
      </w:r>
      <w:proofErr w:type="spellStart"/>
      <w:r>
        <w:rPr>
          <w:rFonts w:ascii="Arial" w:hAnsi="Arial" w:cs="Arial"/>
          <w:color w:val="222222"/>
          <w:sz w:val="20"/>
          <w:szCs w:val="20"/>
          <w:shd w:val="clear" w:color="auto" w:fill="FFFFFF"/>
        </w:rPr>
        <w:t>Wintz</w:t>
      </w:r>
      <w:proofErr w:type="spellEnd"/>
      <w:r>
        <w:rPr>
          <w:rFonts w:ascii="Arial" w:hAnsi="Arial" w:cs="Arial"/>
          <w:color w:val="222222"/>
          <w:sz w:val="20"/>
          <w:szCs w:val="20"/>
          <w:shd w:val="clear" w:color="auto" w:fill="FFFFFF"/>
        </w:rPr>
        <w:t>. </w:t>
      </w:r>
      <w:r>
        <w:rPr>
          <w:rFonts w:ascii="Arial" w:hAnsi="Arial" w:cs="Arial"/>
          <w:i/>
          <w:iCs/>
          <w:color w:val="222222"/>
          <w:sz w:val="20"/>
          <w:szCs w:val="20"/>
          <w:shd w:val="clear" w:color="auto" w:fill="FFFFFF"/>
        </w:rPr>
        <w:t>Digital image processing</w:t>
      </w:r>
      <w:r>
        <w:rPr>
          <w:rFonts w:ascii="Arial" w:hAnsi="Arial" w:cs="Arial"/>
          <w:color w:val="222222"/>
          <w:sz w:val="20"/>
          <w:szCs w:val="20"/>
          <w:shd w:val="clear" w:color="auto" w:fill="FFFFFF"/>
        </w:rPr>
        <w:t>. Addison-Wesley Longman Publishing Co., Inc., 1987.</w:t>
      </w:r>
      <w:bookmarkEnd w:id="5"/>
    </w:p>
    <w:p w14:paraId="26EE5BA7" w14:textId="59E479D2" w:rsidR="001372CF" w:rsidRPr="0077790A" w:rsidRDefault="001372CF" w:rsidP="00DF204D">
      <w:pPr>
        <w:pStyle w:val="ListParagraph"/>
        <w:numPr>
          <w:ilvl w:val="0"/>
          <w:numId w:val="9"/>
        </w:numPr>
        <w:rPr>
          <w:rFonts w:ascii="Arial" w:hAnsi="Arial" w:cs="Arial"/>
          <w:sz w:val="20"/>
          <w:szCs w:val="20"/>
          <w:lang w:eastAsia="en-GB"/>
        </w:rPr>
      </w:pPr>
      <w:bookmarkStart w:id="6" w:name="_Ref127263288"/>
      <w:proofErr w:type="spellStart"/>
      <w:r>
        <w:rPr>
          <w:rFonts w:ascii="Arial" w:hAnsi="Arial" w:cs="Arial"/>
          <w:color w:val="222222"/>
          <w:sz w:val="20"/>
          <w:szCs w:val="20"/>
          <w:shd w:val="clear" w:color="auto" w:fill="FFFFFF"/>
        </w:rPr>
        <w:t>Bartleson</w:t>
      </w:r>
      <w:proofErr w:type="spellEnd"/>
      <w:r>
        <w:rPr>
          <w:rFonts w:ascii="Arial" w:hAnsi="Arial" w:cs="Arial"/>
          <w:color w:val="222222"/>
          <w:sz w:val="20"/>
          <w:szCs w:val="20"/>
          <w:shd w:val="clear" w:color="auto" w:fill="FFFFFF"/>
        </w:rPr>
        <w:t>, C. James, and Edwin J. Breneman. "Brightness perception in complex fields." </w:t>
      </w:r>
      <w:proofErr w:type="spellStart"/>
      <w:r>
        <w:rPr>
          <w:rFonts w:ascii="Arial" w:hAnsi="Arial" w:cs="Arial"/>
          <w:i/>
          <w:iCs/>
          <w:color w:val="222222"/>
          <w:sz w:val="20"/>
          <w:szCs w:val="20"/>
          <w:shd w:val="clear" w:color="auto" w:fill="FFFFFF"/>
        </w:rPr>
        <w:t>Josa</w:t>
      </w:r>
      <w:proofErr w:type="spellEnd"/>
      <w:r>
        <w:rPr>
          <w:rFonts w:ascii="Arial" w:hAnsi="Arial" w:cs="Arial"/>
          <w:color w:val="222222"/>
          <w:sz w:val="20"/>
          <w:szCs w:val="20"/>
          <w:shd w:val="clear" w:color="auto" w:fill="FFFFFF"/>
        </w:rPr>
        <w:t> 57.7 (1967): 953-957.</w:t>
      </w:r>
      <w:bookmarkEnd w:id="6"/>
    </w:p>
    <w:p w14:paraId="31AEAE6A" w14:textId="4E1BFD3A" w:rsidR="0077790A" w:rsidRDefault="0077790A" w:rsidP="00DF204D">
      <w:pPr>
        <w:pStyle w:val="ListParagraph"/>
        <w:numPr>
          <w:ilvl w:val="0"/>
          <w:numId w:val="9"/>
        </w:numPr>
        <w:rPr>
          <w:rFonts w:ascii="Arial" w:hAnsi="Arial" w:cs="Arial"/>
          <w:sz w:val="20"/>
          <w:szCs w:val="20"/>
          <w:lang w:eastAsia="en-GB"/>
        </w:rPr>
      </w:pPr>
      <w:bookmarkStart w:id="7" w:name="_Ref127263336"/>
      <w:r w:rsidRPr="0077790A">
        <w:rPr>
          <w:rFonts w:ascii="Arial" w:eastAsia="SimSun" w:hAnsi="Arial" w:cs="Arial"/>
          <w:kern w:val="2"/>
          <w:sz w:val="20"/>
          <w:szCs w:val="20"/>
          <w:lang w:eastAsia="zh-CN"/>
        </w:rPr>
        <w:t>Eye intensity response, contrast sensitivity (telescope-optics.net)</w:t>
      </w:r>
      <w:r w:rsidRPr="0077790A">
        <w:rPr>
          <w:rFonts w:ascii="Arial" w:hAnsi="Arial" w:cs="Arial"/>
          <w:sz w:val="20"/>
          <w:szCs w:val="20"/>
        </w:rPr>
        <w:t xml:space="preserve">, </w:t>
      </w:r>
      <w:hyperlink r:id="rId18" w:history="1">
        <w:r w:rsidRPr="0077790A">
          <w:rPr>
            <w:rStyle w:val="Hyperlink"/>
            <w:rFonts w:eastAsia="Calibri"/>
            <w:kern w:val="0"/>
            <w:sz w:val="20"/>
            <w:szCs w:val="20"/>
            <w:lang w:eastAsia="en-GB"/>
          </w:rPr>
          <w:t>https://telescope-optics.net/eye_intensity_response.htm</w:t>
        </w:r>
      </w:hyperlink>
      <w:bookmarkEnd w:id="7"/>
      <w:r w:rsidRPr="0077790A">
        <w:rPr>
          <w:rFonts w:ascii="Arial" w:hAnsi="Arial" w:cs="Arial"/>
          <w:sz w:val="20"/>
          <w:szCs w:val="20"/>
          <w:lang w:eastAsia="en-GB"/>
        </w:rPr>
        <w:t xml:space="preserve"> </w:t>
      </w:r>
    </w:p>
    <w:p w14:paraId="6C3BC0A4" w14:textId="3C80837B" w:rsidR="000F5FC7" w:rsidRPr="000F5FC7" w:rsidRDefault="000F5FC7" w:rsidP="00DF204D">
      <w:pPr>
        <w:pStyle w:val="ListParagraph"/>
        <w:numPr>
          <w:ilvl w:val="0"/>
          <w:numId w:val="9"/>
        </w:numPr>
        <w:rPr>
          <w:rFonts w:ascii="Arial" w:hAnsi="Arial" w:cs="Arial"/>
          <w:sz w:val="20"/>
          <w:szCs w:val="20"/>
          <w:lang w:eastAsia="en-GB"/>
        </w:rPr>
      </w:pPr>
      <w:bookmarkStart w:id="8" w:name="_Ref127266402"/>
      <w:r w:rsidRPr="000F5FC7">
        <w:rPr>
          <w:rFonts w:ascii="Arial" w:eastAsia="SimSun" w:hAnsi="Arial" w:cs="Arial"/>
          <w:kern w:val="2"/>
          <w:sz w:val="20"/>
          <w:szCs w:val="20"/>
          <w:lang w:eastAsia="zh-CN"/>
        </w:rPr>
        <w:t xml:space="preserve">OLED </w:t>
      </w:r>
      <w:proofErr w:type="spellStart"/>
      <w:r w:rsidRPr="000F5FC7">
        <w:rPr>
          <w:rFonts w:ascii="Arial" w:eastAsia="SimSun" w:hAnsi="Arial" w:cs="Arial"/>
          <w:kern w:val="2"/>
          <w:sz w:val="20"/>
          <w:szCs w:val="20"/>
          <w:lang w:eastAsia="zh-CN"/>
        </w:rPr>
        <w:t>Microdisplay</w:t>
      </w:r>
      <w:proofErr w:type="spellEnd"/>
      <w:r w:rsidRPr="000F5FC7">
        <w:rPr>
          <w:rFonts w:ascii="Arial" w:eastAsia="SimSun" w:hAnsi="Arial" w:cs="Arial"/>
          <w:kern w:val="2"/>
          <w:sz w:val="20"/>
          <w:szCs w:val="20"/>
          <w:lang w:eastAsia="zh-CN"/>
        </w:rPr>
        <w:t xml:space="preserve"> | </w:t>
      </w:r>
      <w:proofErr w:type="spellStart"/>
      <w:r w:rsidRPr="000F5FC7">
        <w:rPr>
          <w:rFonts w:ascii="Arial" w:eastAsia="SimSun" w:hAnsi="Arial" w:cs="Arial"/>
          <w:kern w:val="2"/>
          <w:sz w:val="20"/>
          <w:szCs w:val="20"/>
          <w:lang w:eastAsia="zh-CN"/>
        </w:rPr>
        <w:t>Microdisplay</w:t>
      </w:r>
      <w:proofErr w:type="spellEnd"/>
      <w:r w:rsidRPr="000F5FC7">
        <w:rPr>
          <w:rFonts w:ascii="Arial" w:eastAsia="SimSun" w:hAnsi="Arial" w:cs="Arial"/>
          <w:kern w:val="2"/>
          <w:sz w:val="20"/>
          <w:szCs w:val="20"/>
          <w:lang w:eastAsia="zh-CN"/>
        </w:rPr>
        <w:t xml:space="preserve"> | Products &amp; Solutions | Sony Semiconductor Solutions Group, </w:t>
      </w:r>
      <w:hyperlink r:id="rId19" w:history="1">
        <w:r w:rsidRPr="000F5FC7">
          <w:rPr>
            <w:rStyle w:val="Hyperlink"/>
            <w:rFonts w:eastAsia="Calibri"/>
            <w:kern w:val="0"/>
            <w:sz w:val="20"/>
            <w:szCs w:val="20"/>
            <w:lang w:eastAsia="en-GB"/>
          </w:rPr>
          <w:t>https://www.sony-semicon.com/en/products/microdisplay/oled.html</w:t>
        </w:r>
      </w:hyperlink>
      <w:bookmarkEnd w:id="8"/>
      <w:r w:rsidRPr="000F5FC7">
        <w:rPr>
          <w:rFonts w:ascii="Arial" w:hAnsi="Arial" w:cs="Arial"/>
          <w:sz w:val="20"/>
          <w:szCs w:val="20"/>
          <w:lang w:eastAsia="en-GB"/>
        </w:rPr>
        <w:t xml:space="preserve"> </w:t>
      </w:r>
    </w:p>
    <w:sectPr w:rsidR="000F5FC7" w:rsidRPr="000F5FC7" w:rsidSect="007F7E2F">
      <w:headerReference w:type="default" r:id="rId20"/>
      <w:footerReference w:type="default" r:id="rId21"/>
      <w:headerReference w:type="first" r:id="rId22"/>
      <w:footerReference w:type="first" r:id="rId23"/>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3075E" w14:textId="77777777" w:rsidR="00DC057C" w:rsidRDefault="00DC057C">
      <w:r>
        <w:separator/>
      </w:r>
    </w:p>
  </w:endnote>
  <w:endnote w:type="continuationSeparator" w:id="0">
    <w:p w14:paraId="49733B29" w14:textId="77777777" w:rsidR="00DC057C" w:rsidRDefault="00DC057C">
      <w:r>
        <w:continuationSeparator/>
      </w:r>
    </w:p>
  </w:endnote>
  <w:endnote w:type="continuationNotice" w:id="1">
    <w:p w14:paraId="07556541" w14:textId="77777777" w:rsidR="00DC057C" w:rsidRDefault="00DC05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B22A9" w14:textId="77777777" w:rsidR="00DC057C" w:rsidRDefault="00DC057C">
      <w:r>
        <w:separator/>
      </w:r>
    </w:p>
  </w:footnote>
  <w:footnote w:type="continuationSeparator" w:id="0">
    <w:p w14:paraId="26A8F86B" w14:textId="77777777" w:rsidR="00DC057C" w:rsidRDefault="00DC057C">
      <w:r>
        <w:continuationSeparator/>
      </w:r>
    </w:p>
  </w:footnote>
  <w:footnote w:type="continuationNotice" w:id="1">
    <w:p w14:paraId="5CC1AEA5" w14:textId="77777777" w:rsidR="00DC057C" w:rsidRDefault="00DC05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1BBFB161" w:rsidR="00ED0981" w:rsidRPr="0084724A" w:rsidRDefault="00F95647" w:rsidP="00ED0981">
    <w:pPr>
      <w:tabs>
        <w:tab w:val="right" w:pos="9356"/>
      </w:tabs>
      <w:rPr>
        <w:rFonts w:cs="Arial"/>
        <w:b/>
        <w:i/>
      </w:rPr>
    </w:pPr>
    <w:r w:rsidRPr="008E64F2">
      <w:rPr>
        <w:rFonts w:cs="Arial"/>
        <w:sz w:val="22"/>
        <w:szCs w:val="22"/>
        <w:lang w:val="en-US"/>
      </w:rPr>
      <w:t>3GPP TSG SA WG</w:t>
    </w:r>
    <w:r w:rsidR="00ED0981" w:rsidRPr="008E64F2">
      <w:rPr>
        <w:rFonts w:cs="Arial"/>
        <w:sz w:val="22"/>
        <w:szCs w:val="22"/>
        <w:lang w:val="en-US"/>
      </w:rPr>
      <w:t>4#</w:t>
    </w:r>
    <w:r w:rsidR="00751481" w:rsidRPr="008E64F2">
      <w:rPr>
        <w:rFonts w:cs="Arial"/>
        <w:sz w:val="22"/>
        <w:szCs w:val="22"/>
        <w:lang w:val="en-US"/>
      </w:rPr>
      <w:t>1</w:t>
    </w:r>
    <w:r w:rsidR="00563ABD" w:rsidRPr="008E64F2">
      <w:rPr>
        <w:rFonts w:cs="Arial"/>
        <w:sz w:val="22"/>
        <w:szCs w:val="22"/>
        <w:lang w:val="en-US"/>
      </w:rPr>
      <w:t>2</w:t>
    </w:r>
    <w:r w:rsidR="00F72AE9" w:rsidRPr="008E64F2">
      <w:rPr>
        <w:rFonts w:cs="Arial"/>
        <w:sz w:val="22"/>
        <w:szCs w:val="22"/>
        <w:lang w:val="en-US"/>
      </w:rPr>
      <w:t>2</w:t>
    </w:r>
    <w:r w:rsidR="00ED0981" w:rsidRPr="0084724A">
      <w:rPr>
        <w:rFonts w:cs="Arial"/>
        <w:b/>
        <w:i/>
      </w:rPr>
      <w:tab/>
    </w:r>
    <w:proofErr w:type="spellStart"/>
    <w:r w:rsidR="00ED0981" w:rsidRPr="0084724A">
      <w:rPr>
        <w:rFonts w:cs="Arial"/>
        <w:b/>
        <w:i/>
        <w:sz w:val="28"/>
        <w:szCs w:val="28"/>
      </w:rPr>
      <w:t>Tdoc</w:t>
    </w:r>
    <w:proofErr w:type="spellEnd"/>
    <w:r w:rsidR="00ED0981" w:rsidRPr="0084724A">
      <w:rPr>
        <w:rFonts w:cs="Arial"/>
        <w:b/>
        <w:i/>
        <w:sz w:val="28"/>
        <w:szCs w:val="28"/>
      </w:rPr>
      <w:t xml:space="preserve"> </w:t>
    </w:r>
    <w:r w:rsidR="00187DCC" w:rsidRPr="00187DCC">
      <w:rPr>
        <w:rFonts w:cs="Arial"/>
        <w:b/>
        <w:i/>
        <w:sz w:val="28"/>
        <w:szCs w:val="28"/>
      </w:rPr>
      <w:t>S4-</w:t>
    </w:r>
    <w:r w:rsidR="000F3DA6" w:rsidRPr="000F3DA6">
      <w:rPr>
        <w:rFonts w:cs="Arial"/>
        <w:b/>
        <w:i/>
        <w:sz w:val="28"/>
        <w:szCs w:val="28"/>
      </w:rPr>
      <w:t>230218</w:t>
    </w:r>
  </w:p>
  <w:p w14:paraId="641F0A71" w14:textId="31E6B387" w:rsidR="00ED0981" w:rsidRPr="008E64F2" w:rsidRDefault="00E61A9F" w:rsidP="00E61A9F">
    <w:pPr>
      <w:tabs>
        <w:tab w:val="right" w:pos="9360"/>
      </w:tabs>
      <w:rPr>
        <w:rFonts w:cs="Arial"/>
        <w:b/>
        <w:sz w:val="22"/>
        <w:szCs w:val="22"/>
        <w:lang w:val="en-US" w:eastAsia="zh-CN"/>
      </w:rPr>
    </w:pPr>
    <w:r w:rsidRPr="008E64F2">
      <w:rPr>
        <w:rFonts w:cs="Arial"/>
        <w:sz w:val="22"/>
        <w:szCs w:val="22"/>
        <w:lang w:eastAsia="zh-CN"/>
      </w:rPr>
      <w:t>Athens, Greece, 20th – 24th February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CB6A19"/>
    <w:multiLevelType w:val="hybridMultilevel"/>
    <w:tmpl w:val="0AF46C9C"/>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7571696"/>
    <w:multiLevelType w:val="hybridMultilevel"/>
    <w:tmpl w:val="256019A4"/>
    <w:lvl w:ilvl="0" w:tplc="EAF42608">
      <w:start w:val="1"/>
      <w:numFmt w:val="decimal"/>
      <w:lvlText w:val="%1)"/>
      <w:lvlJc w:val="left"/>
      <w:pPr>
        <w:ind w:left="720" w:hanging="360"/>
      </w:pPr>
      <w:rPr>
        <w:rFonts w:ascii="Arial" w:hAnsi="Arial"/>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9"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4157501">
    <w:abstractNumId w:val="0"/>
  </w:num>
  <w:num w:numId="2" w16cid:durableId="415521274">
    <w:abstractNumId w:val="9"/>
  </w:num>
  <w:num w:numId="3" w16cid:durableId="409429099">
    <w:abstractNumId w:val="1"/>
  </w:num>
  <w:num w:numId="4" w16cid:durableId="2011760548">
    <w:abstractNumId w:val="3"/>
  </w:num>
  <w:num w:numId="5" w16cid:durableId="1185099933">
    <w:abstractNumId w:val="7"/>
  </w:num>
  <w:num w:numId="6" w16cid:durableId="2125691376">
    <w:abstractNumId w:val="8"/>
  </w:num>
  <w:num w:numId="7" w16cid:durableId="1790123087">
    <w:abstractNumId w:val="2"/>
  </w:num>
  <w:num w:numId="8" w16cid:durableId="425274739">
    <w:abstractNumId w:val="6"/>
  </w:num>
  <w:num w:numId="9" w16cid:durableId="820777132">
    <w:abstractNumId w:val="4"/>
  </w:num>
  <w:num w:numId="10" w16cid:durableId="185349582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4E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2D8F"/>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F4D"/>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51"/>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1B4"/>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3DA6"/>
    <w:rsid w:val="000F402B"/>
    <w:rsid w:val="000F441B"/>
    <w:rsid w:val="000F5FC7"/>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16F0C"/>
    <w:rsid w:val="0012010D"/>
    <w:rsid w:val="001207AC"/>
    <w:rsid w:val="001213F3"/>
    <w:rsid w:val="00121BEA"/>
    <w:rsid w:val="00122A20"/>
    <w:rsid w:val="00122A39"/>
    <w:rsid w:val="00123715"/>
    <w:rsid w:val="00123EDC"/>
    <w:rsid w:val="0012499F"/>
    <w:rsid w:val="00124AC8"/>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2CF"/>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406"/>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464"/>
    <w:rsid w:val="001B1932"/>
    <w:rsid w:val="001B2230"/>
    <w:rsid w:val="001B26AD"/>
    <w:rsid w:val="001B3B2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35"/>
    <w:rsid w:val="001D0EDD"/>
    <w:rsid w:val="001D202E"/>
    <w:rsid w:val="001D2D54"/>
    <w:rsid w:val="001D391E"/>
    <w:rsid w:val="001D449C"/>
    <w:rsid w:val="001D4A4E"/>
    <w:rsid w:val="001D623A"/>
    <w:rsid w:val="001D659E"/>
    <w:rsid w:val="001D6857"/>
    <w:rsid w:val="001D716A"/>
    <w:rsid w:val="001D781E"/>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635B"/>
    <w:rsid w:val="00216411"/>
    <w:rsid w:val="00217488"/>
    <w:rsid w:val="00220477"/>
    <w:rsid w:val="00221207"/>
    <w:rsid w:val="00221D56"/>
    <w:rsid w:val="00221E10"/>
    <w:rsid w:val="00222531"/>
    <w:rsid w:val="002234EF"/>
    <w:rsid w:val="0022415A"/>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C4F"/>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52F9"/>
    <w:rsid w:val="00286028"/>
    <w:rsid w:val="002860AF"/>
    <w:rsid w:val="002867C9"/>
    <w:rsid w:val="002876FB"/>
    <w:rsid w:val="00287FC9"/>
    <w:rsid w:val="00290864"/>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1905"/>
    <w:rsid w:val="002B2569"/>
    <w:rsid w:val="002B2F2F"/>
    <w:rsid w:val="002B41A1"/>
    <w:rsid w:val="002B441B"/>
    <w:rsid w:val="002B6A29"/>
    <w:rsid w:val="002B7932"/>
    <w:rsid w:val="002B7D45"/>
    <w:rsid w:val="002C0785"/>
    <w:rsid w:val="002C1080"/>
    <w:rsid w:val="002C1B44"/>
    <w:rsid w:val="002C1E8E"/>
    <w:rsid w:val="002C2B04"/>
    <w:rsid w:val="002C2BAF"/>
    <w:rsid w:val="002C3119"/>
    <w:rsid w:val="002C3ED0"/>
    <w:rsid w:val="002C4042"/>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D6EE6"/>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BFF"/>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48"/>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48F5"/>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97A41"/>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A7FD2"/>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434"/>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43C1"/>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225"/>
    <w:rsid w:val="00435C5F"/>
    <w:rsid w:val="00436040"/>
    <w:rsid w:val="0043712A"/>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3CC7"/>
    <w:rsid w:val="0046599E"/>
    <w:rsid w:val="004660D6"/>
    <w:rsid w:val="00466313"/>
    <w:rsid w:val="00467453"/>
    <w:rsid w:val="004675D9"/>
    <w:rsid w:val="00470BD6"/>
    <w:rsid w:val="004717E5"/>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AC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5CAD"/>
    <w:rsid w:val="004A6B3D"/>
    <w:rsid w:val="004A6D14"/>
    <w:rsid w:val="004A6DF1"/>
    <w:rsid w:val="004A78D1"/>
    <w:rsid w:val="004A7EAE"/>
    <w:rsid w:val="004A7F1A"/>
    <w:rsid w:val="004B0421"/>
    <w:rsid w:val="004B0C08"/>
    <w:rsid w:val="004B0CDE"/>
    <w:rsid w:val="004B0D98"/>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175"/>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8E4"/>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63A"/>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35D"/>
    <w:rsid w:val="00560489"/>
    <w:rsid w:val="005607C4"/>
    <w:rsid w:val="0056119E"/>
    <w:rsid w:val="00562863"/>
    <w:rsid w:val="00562DDE"/>
    <w:rsid w:val="00563374"/>
    <w:rsid w:val="00563ABD"/>
    <w:rsid w:val="005659B5"/>
    <w:rsid w:val="00565D2F"/>
    <w:rsid w:val="00565EBC"/>
    <w:rsid w:val="0056619B"/>
    <w:rsid w:val="00566380"/>
    <w:rsid w:val="005663FE"/>
    <w:rsid w:val="00566FED"/>
    <w:rsid w:val="005676E0"/>
    <w:rsid w:val="00570335"/>
    <w:rsid w:val="00570736"/>
    <w:rsid w:val="00570786"/>
    <w:rsid w:val="00570FDF"/>
    <w:rsid w:val="00571ED2"/>
    <w:rsid w:val="00572011"/>
    <w:rsid w:val="0057243A"/>
    <w:rsid w:val="005725B0"/>
    <w:rsid w:val="00572C3C"/>
    <w:rsid w:val="005731BE"/>
    <w:rsid w:val="0057393B"/>
    <w:rsid w:val="005748AA"/>
    <w:rsid w:val="005750F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9BA"/>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5ED7"/>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3FC"/>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0B7D"/>
    <w:rsid w:val="006111B9"/>
    <w:rsid w:val="006118CB"/>
    <w:rsid w:val="00611D68"/>
    <w:rsid w:val="00612C69"/>
    <w:rsid w:val="006146CD"/>
    <w:rsid w:val="006156E6"/>
    <w:rsid w:val="00616AE7"/>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24"/>
    <w:rsid w:val="006843B4"/>
    <w:rsid w:val="006845ED"/>
    <w:rsid w:val="006846FD"/>
    <w:rsid w:val="00684849"/>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6EDB"/>
    <w:rsid w:val="00697191"/>
    <w:rsid w:val="006A06F8"/>
    <w:rsid w:val="006A0751"/>
    <w:rsid w:val="006A0C50"/>
    <w:rsid w:val="006A113E"/>
    <w:rsid w:val="006A114C"/>
    <w:rsid w:val="006A1BA6"/>
    <w:rsid w:val="006A1FF8"/>
    <w:rsid w:val="006A25F1"/>
    <w:rsid w:val="006A2685"/>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1860"/>
    <w:rsid w:val="006C1BC4"/>
    <w:rsid w:val="006C2016"/>
    <w:rsid w:val="006C20AF"/>
    <w:rsid w:val="006C22DF"/>
    <w:rsid w:val="006C237C"/>
    <w:rsid w:val="006C299F"/>
    <w:rsid w:val="006C2AB1"/>
    <w:rsid w:val="006C2F09"/>
    <w:rsid w:val="006C3CB6"/>
    <w:rsid w:val="006C4063"/>
    <w:rsid w:val="006C4870"/>
    <w:rsid w:val="006C4CED"/>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4D2A"/>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4E9"/>
    <w:rsid w:val="00712E53"/>
    <w:rsid w:val="007130A5"/>
    <w:rsid w:val="007135C3"/>
    <w:rsid w:val="00713EE2"/>
    <w:rsid w:val="00714929"/>
    <w:rsid w:val="00714AC3"/>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5A5"/>
    <w:rsid w:val="00731888"/>
    <w:rsid w:val="00731D10"/>
    <w:rsid w:val="007321E2"/>
    <w:rsid w:val="00732BA3"/>
    <w:rsid w:val="00732DCA"/>
    <w:rsid w:val="00733142"/>
    <w:rsid w:val="007334AA"/>
    <w:rsid w:val="00734C7E"/>
    <w:rsid w:val="00734ECC"/>
    <w:rsid w:val="0073593E"/>
    <w:rsid w:val="0073656A"/>
    <w:rsid w:val="00737504"/>
    <w:rsid w:val="007378C2"/>
    <w:rsid w:val="00737D3C"/>
    <w:rsid w:val="00737E0A"/>
    <w:rsid w:val="00740771"/>
    <w:rsid w:val="007419A6"/>
    <w:rsid w:val="00742F33"/>
    <w:rsid w:val="00743954"/>
    <w:rsid w:val="00744062"/>
    <w:rsid w:val="00745589"/>
    <w:rsid w:val="00745DA1"/>
    <w:rsid w:val="00746B1E"/>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AA3"/>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498E"/>
    <w:rsid w:val="00765F32"/>
    <w:rsid w:val="007671CD"/>
    <w:rsid w:val="0076781D"/>
    <w:rsid w:val="00770524"/>
    <w:rsid w:val="0077124C"/>
    <w:rsid w:val="0077128C"/>
    <w:rsid w:val="007715E5"/>
    <w:rsid w:val="00772009"/>
    <w:rsid w:val="007729C4"/>
    <w:rsid w:val="00772C3B"/>
    <w:rsid w:val="0077393F"/>
    <w:rsid w:val="00775421"/>
    <w:rsid w:val="0077622D"/>
    <w:rsid w:val="0077790A"/>
    <w:rsid w:val="00777D0E"/>
    <w:rsid w:val="00780124"/>
    <w:rsid w:val="00780B84"/>
    <w:rsid w:val="00781050"/>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C27"/>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A77EF"/>
    <w:rsid w:val="007B092C"/>
    <w:rsid w:val="007B1D68"/>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0B"/>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4CF0"/>
    <w:rsid w:val="007E51CB"/>
    <w:rsid w:val="007E57E7"/>
    <w:rsid w:val="007E5C04"/>
    <w:rsid w:val="007E609E"/>
    <w:rsid w:val="007E74F3"/>
    <w:rsid w:val="007F0E2D"/>
    <w:rsid w:val="007F1A6C"/>
    <w:rsid w:val="007F1D2B"/>
    <w:rsid w:val="007F1D93"/>
    <w:rsid w:val="007F3B1D"/>
    <w:rsid w:val="007F3F67"/>
    <w:rsid w:val="007F40B1"/>
    <w:rsid w:val="007F5C2E"/>
    <w:rsid w:val="007F61DD"/>
    <w:rsid w:val="007F6DB0"/>
    <w:rsid w:val="007F6DC9"/>
    <w:rsid w:val="007F71B3"/>
    <w:rsid w:val="007F76ED"/>
    <w:rsid w:val="007F7E2F"/>
    <w:rsid w:val="008000A4"/>
    <w:rsid w:val="00800159"/>
    <w:rsid w:val="008001C8"/>
    <w:rsid w:val="0080053E"/>
    <w:rsid w:val="008006E8"/>
    <w:rsid w:val="0080076E"/>
    <w:rsid w:val="008008CD"/>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1470"/>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374E"/>
    <w:rsid w:val="00856274"/>
    <w:rsid w:val="008567C5"/>
    <w:rsid w:val="00856BC8"/>
    <w:rsid w:val="00856C5F"/>
    <w:rsid w:val="00856CDA"/>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895"/>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87D1D"/>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0847"/>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169"/>
    <w:rsid w:val="008E62FC"/>
    <w:rsid w:val="008E64F2"/>
    <w:rsid w:val="008E6866"/>
    <w:rsid w:val="008E7668"/>
    <w:rsid w:val="008E797D"/>
    <w:rsid w:val="008E7A87"/>
    <w:rsid w:val="008F072B"/>
    <w:rsid w:val="008F0FC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1E92"/>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034"/>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2F5C"/>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29C"/>
    <w:rsid w:val="00980CEC"/>
    <w:rsid w:val="00980DE3"/>
    <w:rsid w:val="00981426"/>
    <w:rsid w:val="00982E98"/>
    <w:rsid w:val="0098357B"/>
    <w:rsid w:val="00983756"/>
    <w:rsid w:val="00983ED1"/>
    <w:rsid w:val="009841E3"/>
    <w:rsid w:val="0098485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48C"/>
    <w:rsid w:val="009B4824"/>
    <w:rsid w:val="009B4DB5"/>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6449"/>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367D"/>
    <w:rsid w:val="009E3A8E"/>
    <w:rsid w:val="009E42D9"/>
    <w:rsid w:val="009E43C4"/>
    <w:rsid w:val="009E45F4"/>
    <w:rsid w:val="009E5BDB"/>
    <w:rsid w:val="009E67C8"/>
    <w:rsid w:val="009E6909"/>
    <w:rsid w:val="009E77BC"/>
    <w:rsid w:val="009E7C61"/>
    <w:rsid w:val="009F00C5"/>
    <w:rsid w:val="009F0539"/>
    <w:rsid w:val="009F0B70"/>
    <w:rsid w:val="009F0FCD"/>
    <w:rsid w:val="009F10F2"/>
    <w:rsid w:val="009F22C3"/>
    <w:rsid w:val="009F2493"/>
    <w:rsid w:val="009F26B9"/>
    <w:rsid w:val="009F33D2"/>
    <w:rsid w:val="009F367E"/>
    <w:rsid w:val="009F43E2"/>
    <w:rsid w:val="009F4D26"/>
    <w:rsid w:val="009F53E5"/>
    <w:rsid w:val="009F5533"/>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8EF"/>
    <w:rsid w:val="00A24E94"/>
    <w:rsid w:val="00A25BD8"/>
    <w:rsid w:val="00A26071"/>
    <w:rsid w:val="00A26534"/>
    <w:rsid w:val="00A26BEC"/>
    <w:rsid w:val="00A272D1"/>
    <w:rsid w:val="00A30672"/>
    <w:rsid w:val="00A306D3"/>
    <w:rsid w:val="00A30CA2"/>
    <w:rsid w:val="00A3102D"/>
    <w:rsid w:val="00A311C6"/>
    <w:rsid w:val="00A3156B"/>
    <w:rsid w:val="00A31887"/>
    <w:rsid w:val="00A31D78"/>
    <w:rsid w:val="00A3217B"/>
    <w:rsid w:val="00A327C3"/>
    <w:rsid w:val="00A3320B"/>
    <w:rsid w:val="00A33960"/>
    <w:rsid w:val="00A346E3"/>
    <w:rsid w:val="00A35942"/>
    <w:rsid w:val="00A359AF"/>
    <w:rsid w:val="00A3718B"/>
    <w:rsid w:val="00A3732A"/>
    <w:rsid w:val="00A40684"/>
    <w:rsid w:val="00A40AB3"/>
    <w:rsid w:val="00A40BC3"/>
    <w:rsid w:val="00A41944"/>
    <w:rsid w:val="00A422F6"/>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03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369D"/>
    <w:rsid w:val="00A65489"/>
    <w:rsid w:val="00A65CC9"/>
    <w:rsid w:val="00A65DC2"/>
    <w:rsid w:val="00A660C0"/>
    <w:rsid w:val="00A660D1"/>
    <w:rsid w:val="00A662CA"/>
    <w:rsid w:val="00A67A44"/>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120"/>
    <w:rsid w:val="00A7627F"/>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09"/>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B59"/>
    <w:rsid w:val="00AE7FEF"/>
    <w:rsid w:val="00AF0ABF"/>
    <w:rsid w:val="00AF0DB3"/>
    <w:rsid w:val="00AF0E23"/>
    <w:rsid w:val="00AF1214"/>
    <w:rsid w:val="00AF31F3"/>
    <w:rsid w:val="00AF3376"/>
    <w:rsid w:val="00AF3E51"/>
    <w:rsid w:val="00AF4820"/>
    <w:rsid w:val="00AF4E22"/>
    <w:rsid w:val="00AF5198"/>
    <w:rsid w:val="00AF5633"/>
    <w:rsid w:val="00AF5654"/>
    <w:rsid w:val="00AF5731"/>
    <w:rsid w:val="00AF598A"/>
    <w:rsid w:val="00AF5A7D"/>
    <w:rsid w:val="00AF6F14"/>
    <w:rsid w:val="00AF745E"/>
    <w:rsid w:val="00B008F4"/>
    <w:rsid w:val="00B0298F"/>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87B"/>
    <w:rsid w:val="00B43BBB"/>
    <w:rsid w:val="00B43F4C"/>
    <w:rsid w:val="00B44F0C"/>
    <w:rsid w:val="00B45315"/>
    <w:rsid w:val="00B453C6"/>
    <w:rsid w:val="00B4585B"/>
    <w:rsid w:val="00B46974"/>
    <w:rsid w:val="00B501D2"/>
    <w:rsid w:val="00B50489"/>
    <w:rsid w:val="00B51127"/>
    <w:rsid w:val="00B52607"/>
    <w:rsid w:val="00B53226"/>
    <w:rsid w:val="00B54985"/>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0FD"/>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706"/>
    <w:rsid w:val="00BA2CE1"/>
    <w:rsid w:val="00BA2D67"/>
    <w:rsid w:val="00BA332D"/>
    <w:rsid w:val="00BA393A"/>
    <w:rsid w:val="00BA4509"/>
    <w:rsid w:val="00BA5364"/>
    <w:rsid w:val="00BA54DE"/>
    <w:rsid w:val="00BA5B9A"/>
    <w:rsid w:val="00BA5E5F"/>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631"/>
    <w:rsid w:val="00BD1784"/>
    <w:rsid w:val="00BD1939"/>
    <w:rsid w:val="00BD254C"/>
    <w:rsid w:val="00BD27E0"/>
    <w:rsid w:val="00BD2AC2"/>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62AB"/>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A10"/>
    <w:rsid w:val="00C55E23"/>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855"/>
    <w:rsid w:val="00C8521C"/>
    <w:rsid w:val="00C906D0"/>
    <w:rsid w:val="00C909C8"/>
    <w:rsid w:val="00C90BDD"/>
    <w:rsid w:val="00C91500"/>
    <w:rsid w:val="00C9222E"/>
    <w:rsid w:val="00C92274"/>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32B7"/>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818"/>
    <w:rsid w:val="00CF1BD0"/>
    <w:rsid w:val="00CF1D5F"/>
    <w:rsid w:val="00CF36CF"/>
    <w:rsid w:val="00CF4621"/>
    <w:rsid w:val="00CF6AEB"/>
    <w:rsid w:val="00CF6C77"/>
    <w:rsid w:val="00CF6E90"/>
    <w:rsid w:val="00CF7062"/>
    <w:rsid w:val="00CF71D3"/>
    <w:rsid w:val="00CF7932"/>
    <w:rsid w:val="00CF79F3"/>
    <w:rsid w:val="00CF7A12"/>
    <w:rsid w:val="00D012AA"/>
    <w:rsid w:val="00D01733"/>
    <w:rsid w:val="00D04F7C"/>
    <w:rsid w:val="00D057D5"/>
    <w:rsid w:val="00D05A3A"/>
    <w:rsid w:val="00D05EFF"/>
    <w:rsid w:val="00D06260"/>
    <w:rsid w:val="00D07E1C"/>
    <w:rsid w:val="00D1020B"/>
    <w:rsid w:val="00D10E6C"/>
    <w:rsid w:val="00D1134C"/>
    <w:rsid w:val="00D126F1"/>
    <w:rsid w:val="00D12924"/>
    <w:rsid w:val="00D1458F"/>
    <w:rsid w:val="00D14EBD"/>
    <w:rsid w:val="00D155D2"/>
    <w:rsid w:val="00D16439"/>
    <w:rsid w:val="00D16A15"/>
    <w:rsid w:val="00D171A7"/>
    <w:rsid w:val="00D171B9"/>
    <w:rsid w:val="00D172A3"/>
    <w:rsid w:val="00D20723"/>
    <w:rsid w:val="00D2093E"/>
    <w:rsid w:val="00D22E0B"/>
    <w:rsid w:val="00D2418B"/>
    <w:rsid w:val="00D24DB3"/>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787"/>
    <w:rsid w:val="00D75948"/>
    <w:rsid w:val="00D75C2F"/>
    <w:rsid w:val="00D75EE5"/>
    <w:rsid w:val="00D76A4C"/>
    <w:rsid w:val="00D76F86"/>
    <w:rsid w:val="00D77689"/>
    <w:rsid w:val="00D81640"/>
    <w:rsid w:val="00D822A6"/>
    <w:rsid w:val="00D82BE2"/>
    <w:rsid w:val="00D8387F"/>
    <w:rsid w:val="00D84250"/>
    <w:rsid w:val="00D84CA1"/>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69D"/>
    <w:rsid w:val="00DB3712"/>
    <w:rsid w:val="00DB3D43"/>
    <w:rsid w:val="00DB44FF"/>
    <w:rsid w:val="00DB5648"/>
    <w:rsid w:val="00DB57CE"/>
    <w:rsid w:val="00DB6E85"/>
    <w:rsid w:val="00DB799B"/>
    <w:rsid w:val="00DC00C7"/>
    <w:rsid w:val="00DC036B"/>
    <w:rsid w:val="00DC057C"/>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04D"/>
    <w:rsid w:val="00DF2425"/>
    <w:rsid w:val="00DF2982"/>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075"/>
    <w:rsid w:val="00E154CD"/>
    <w:rsid w:val="00E16B22"/>
    <w:rsid w:val="00E16BB7"/>
    <w:rsid w:val="00E172E5"/>
    <w:rsid w:val="00E172EF"/>
    <w:rsid w:val="00E17C27"/>
    <w:rsid w:val="00E205CA"/>
    <w:rsid w:val="00E2089D"/>
    <w:rsid w:val="00E21983"/>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658"/>
    <w:rsid w:val="00E30ACD"/>
    <w:rsid w:val="00E30FC1"/>
    <w:rsid w:val="00E31130"/>
    <w:rsid w:val="00E31170"/>
    <w:rsid w:val="00E311E7"/>
    <w:rsid w:val="00E31793"/>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9F"/>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56C4"/>
    <w:rsid w:val="00E85B56"/>
    <w:rsid w:val="00E86882"/>
    <w:rsid w:val="00E8692F"/>
    <w:rsid w:val="00E9065F"/>
    <w:rsid w:val="00E907A1"/>
    <w:rsid w:val="00E908A0"/>
    <w:rsid w:val="00E90ECD"/>
    <w:rsid w:val="00E91658"/>
    <w:rsid w:val="00E924CC"/>
    <w:rsid w:val="00E93858"/>
    <w:rsid w:val="00E93DFA"/>
    <w:rsid w:val="00E94359"/>
    <w:rsid w:val="00E9441A"/>
    <w:rsid w:val="00E94878"/>
    <w:rsid w:val="00E94A0C"/>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539"/>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C63"/>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BDA"/>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354"/>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14B"/>
    <w:rsid w:val="00F329FA"/>
    <w:rsid w:val="00F32FD3"/>
    <w:rsid w:val="00F335AC"/>
    <w:rsid w:val="00F335FB"/>
    <w:rsid w:val="00F34A61"/>
    <w:rsid w:val="00F355D0"/>
    <w:rsid w:val="00F35A8F"/>
    <w:rsid w:val="00F35EB9"/>
    <w:rsid w:val="00F36C4B"/>
    <w:rsid w:val="00F40142"/>
    <w:rsid w:val="00F40B7C"/>
    <w:rsid w:val="00F41B59"/>
    <w:rsid w:val="00F41B5C"/>
    <w:rsid w:val="00F41E04"/>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5590"/>
    <w:rsid w:val="00F67036"/>
    <w:rsid w:val="00F70769"/>
    <w:rsid w:val="00F70852"/>
    <w:rsid w:val="00F70E20"/>
    <w:rsid w:val="00F72164"/>
    <w:rsid w:val="00F72512"/>
    <w:rsid w:val="00F7274A"/>
    <w:rsid w:val="00F72AE9"/>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4AD"/>
    <w:rsid w:val="00F826D0"/>
    <w:rsid w:val="00F82BC0"/>
    <w:rsid w:val="00F83DAD"/>
    <w:rsid w:val="00F83FD5"/>
    <w:rsid w:val="00F84476"/>
    <w:rsid w:val="00F84BC1"/>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30D"/>
    <w:rsid w:val="00FA03B0"/>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2C9E"/>
    <w:rsid w:val="00FC3BFB"/>
    <w:rsid w:val="00FC43B2"/>
    <w:rsid w:val="00FC457F"/>
    <w:rsid w:val="00FC4843"/>
    <w:rsid w:val="00FC5805"/>
    <w:rsid w:val="00FC623E"/>
    <w:rsid w:val="00FC63C8"/>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22B"/>
    <w:rsid w:val="00FE57D6"/>
    <w:rsid w:val="00FE64B6"/>
    <w:rsid w:val="00FE66CF"/>
    <w:rsid w:val="00FE6FC9"/>
    <w:rsid w:val="00FE704E"/>
    <w:rsid w:val="00FE70AC"/>
    <w:rsid w:val="00FE7143"/>
    <w:rsid w:val="00FE7412"/>
    <w:rsid w:val="00FE7899"/>
    <w:rsid w:val="00FE7D66"/>
    <w:rsid w:val="00FF0715"/>
    <w:rsid w:val="00FF0A16"/>
    <w:rsid w:val="00FF1A45"/>
    <w:rsid w:val="00FF1CA9"/>
    <w:rsid w:val="00FF2703"/>
    <w:rsid w:val="00FF27F7"/>
    <w:rsid w:val="00FF30ED"/>
    <w:rsid w:val="00FF3273"/>
    <w:rsid w:val="00FF4403"/>
    <w:rsid w:val="00FF462A"/>
    <w:rsid w:val="00FF463B"/>
    <w:rsid w:val="00FF4C4C"/>
    <w:rsid w:val="00FF5BA7"/>
    <w:rsid w:val="00FF6EEF"/>
    <w:rsid w:val="00FF7454"/>
    <w:rsid w:val="00FF7746"/>
    <w:rsid w:val="00FF7778"/>
    <w:rsid w:val="00FF7A81"/>
    <w:rsid w:val="015FAD89"/>
    <w:rsid w:val="045079B1"/>
    <w:rsid w:val="0A12FFAD"/>
    <w:rsid w:val="0F651A0F"/>
    <w:rsid w:val="0FE15605"/>
    <w:rsid w:val="18EC1377"/>
    <w:rsid w:val="1F562AF7"/>
    <w:rsid w:val="20F1FB58"/>
    <w:rsid w:val="2A038634"/>
    <w:rsid w:val="2EFB6107"/>
    <w:rsid w:val="348E2971"/>
    <w:rsid w:val="395CD317"/>
    <w:rsid w:val="3E8A8C4B"/>
    <w:rsid w:val="401C76E8"/>
    <w:rsid w:val="4AB1139B"/>
    <w:rsid w:val="51B73BEF"/>
    <w:rsid w:val="59F0DEED"/>
    <w:rsid w:val="67ED3199"/>
    <w:rsid w:val="77110A6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F8EA5DCF-D7C9-4928-AE95-21E2C29F3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4F2"/>
    <w:pPr>
      <w:widowControl w:val="0"/>
      <w:spacing w:after="120" w:line="240" w:lineRule="atLeast"/>
    </w:pPr>
    <w:rPr>
      <w:rFonts w:ascii="Arial" w:hAnsi="Arial"/>
      <w:lang w:val="en-GB"/>
    </w:rPr>
  </w:style>
  <w:style w:type="paragraph" w:styleId="Heading1">
    <w:name w:val="heading 1"/>
    <w:basedOn w:val="Normal"/>
    <w:next w:val="Normal"/>
    <w:qFormat/>
    <w:rsid w:val="003548F5"/>
    <w:pPr>
      <w:keepNext/>
      <w:keepLines/>
      <w:overflowPunct w:val="0"/>
      <w:autoSpaceDE w:val="0"/>
      <w:autoSpaceDN w:val="0"/>
      <w:adjustRightInd w:val="0"/>
      <w:spacing w:before="240" w:after="180" w:line="240" w:lineRule="auto"/>
      <w:ind w:left="360" w:hanging="360"/>
      <w:textAlignment w:val="baseline"/>
      <w:outlineLvl w:val="0"/>
    </w:pPr>
    <w:rPr>
      <w:rFonts w:eastAsia="Times New Roman"/>
      <w:sz w:val="28"/>
      <w:lang w:eastAsia="en-GB"/>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1F5E78"/>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lang w:val="en-US"/>
    </w:rPr>
  </w:style>
  <w:style w:type="paragraph" w:customStyle="1" w:styleId="HE">
    <w:name w:val="HE"/>
    <w:basedOn w:val="Normal"/>
    <w:rsid w:val="001F5E78"/>
    <w:pPr>
      <w:widowControl/>
      <w:spacing w:after="0" w:line="240" w:lineRule="auto"/>
    </w:pPr>
    <w:rPr>
      <w:b/>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684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845ED"/>
    <w:rPr>
      <w:rFonts w:ascii="Arial" w:hAnsi="Arial"/>
      <w:i/>
      <w:iCs/>
      <w:color w:val="404040" w:themeColor="text1" w:themeTint="BF"/>
      <w:lang w:val="en-GB"/>
    </w:rPr>
  </w:style>
  <w:style w:type="character" w:styleId="UnresolvedMention">
    <w:name w:val="Unresolved Mention"/>
    <w:basedOn w:val="DefaultParagraphFont"/>
    <w:uiPriority w:val="99"/>
    <w:semiHidden/>
    <w:unhideWhenUsed/>
    <w:rsid w:val="006A2685"/>
    <w:rPr>
      <w:color w:val="605E5C"/>
      <w:shd w:val="clear" w:color="auto" w:fill="E1DFDD"/>
    </w:rPr>
  </w:style>
  <w:style w:type="character" w:styleId="Mention">
    <w:name w:val="Mention"/>
    <w:basedOn w:val="DefaultParagraphFont"/>
    <w:uiPriority w:val="99"/>
    <w:unhideWhenUsed/>
    <w:rsid w:val="00261C4F"/>
    <w:rPr>
      <w:color w:val="2B579A"/>
      <w:shd w:val="clear" w:color="auto" w:fill="E6E6E6"/>
    </w:rPr>
  </w:style>
  <w:style w:type="paragraph" w:styleId="CommentText">
    <w:name w:val="annotation text"/>
    <w:basedOn w:val="Normal"/>
    <w:link w:val="CommentTextChar"/>
    <w:semiHidden/>
    <w:unhideWhenUsed/>
    <w:rsid w:val="00261C4F"/>
    <w:pPr>
      <w:spacing w:line="240" w:lineRule="auto"/>
    </w:pPr>
  </w:style>
  <w:style w:type="character" w:customStyle="1" w:styleId="CommentTextChar">
    <w:name w:val="Comment Text Char"/>
    <w:basedOn w:val="DefaultParagraphFont"/>
    <w:link w:val="CommentText"/>
    <w:semiHidden/>
    <w:rsid w:val="00261C4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telescope-optics.net/eye_intensity_response.ht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en.wikipedia.org/w/index.php?title=Brightness&amp;oldid=1106179267"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n.wikipedia.org/w/index.php?title=Luminance&amp;oldid=1126469557"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xiaomiyoupin.com/detail?gid=156257"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sony-semicon.com/en/products/microdisplay/oled.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2.xml><?xml version="1.0" encoding="utf-8"?>
<ds:datastoreItem xmlns:ds="http://schemas.openxmlformats.org/officeDocument/2006/customXml" ds:itemID="{D965832D-FDE0-4785-8600-68B656987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07CEB855-8BFC-4BDA-97F0-BD6B43B7A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1370</Words>
  <Characters>7813</Characters>
  <Application>Microsoft Office Word</Application>
  <DocSecurity>0</DocSecurity>
  <Lines>65</Lines>
  <Paragraphs>18</Paragraphs>
  <ScaleCrop>false</ScaleCrop>
  <Company>ETSI</Company>
  <LinksUpToDate>false</LinksUpToDate>
  <CharactersWithSpaces>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subject/>
  <dc:creator>SA4 Chairman</dc:creator>
  <cp:keywords/>
  <cp:lastModifiedBy>Emmanuel Thomas</cp:lastModifiedBy>
  <cp:revision>163</cp:revision>
  <cp:lastPrinted>2016-05-03T18:51:00Z</cp:lastPrinted>
  <dcterms:created xsi:type="dcterms:W3CDTF">2022-05-03T23:59:00Z</dcterms:created>
  <dcterms:modified xsi:type="dcterms:W3CDTF">2023-02-14T16:44:00Z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ies>
</file>