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FC3450"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0A1A62">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9B9761"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BB15E9">
        <w:rPr>
          <w:rFonts w:ascii="Arial" w:hAnsi="Arial" w:cs="Arial"/>
          <w:b/>
          <w:szCs w:val="24"/>
          <w:lang w:val="en-US" w:eastAsia="ja-JP"/>
        </w:rPr>
        <w:t>Architectural Considerations for iRTCW</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7BAE957B" w14:textId="3D709FCF" w:rsidR="00F2666E" w:rsidRDefault="00261837" w:rsidP="00C112DE">
      <w:pPr>
        <w:rPr>
          <w:lang w:val="en-US"/>
        </w:rPr>
      </w:pPr>
      <w:r>
        <w:rPr>
          <w:lang w:val="en-US"/>
        </w:rPr>
        <w:t>In this contribution, we</w:t>
      </w:r>
      <w:r w:rsidR="00BB15E9">
        <w:rPr>
          <w:lang w:val="en-US"/>
        </w:rPr>
        <w:t xml:space="preserve"> discuss some considerations on the architecture for iRTCW</w:t>
      </w:r>
      <w:r w:rsidR="00F2666E">
        <w:rPr>
          <w:lang w:val="en-US"/>
        </w:rPr>
        <w:t>.</w:t>
      </w:r>
    </w:p>
    <w:bookmarkEnd w:id="0"/>
    <w:p w14:paraId="2245E2A1" w14:textId="46566EE0" w:rsidR="009162C5" w:rsidRDefault="00BB15E9" w:rsidP="00CD5384">
      <w:pPr>
        <w:pStyle w:val="Heading1"/>
        <w:numPr>
          <w:ilvl w:val="0"/>
          <w:numId w:val="3"/>
        </w:numPr>
      </w:pPr>
      <w:r>
        <w:t>Architectural Considerations</w:t>
      </w:r>
    </w:p>
    <w:p w14:paraId="703B97C1" w14:textId="15CF680B" w:rsidR="00E87A4B" w:rsidRDefault="00BB15E9" w:rsidP="00EB48D6">
      <w:pPr>
        <w:rPr>
          <w:lang w:val="en-US"/>
        </w:rPr>
      </w:pPr>
      <w:r>
        <w:rPr>
          <w:lang w:val="en-US"/>
        </w:rPr>
        <w:t>We have agreed on 4 different collaboration scenarios for iRTCW at the SA4-118e meeting. The collaboration scenarios are listed here for convenience:</w:t>
      </w:r>
    </w:p>
    <w:p w14:paraId="50D722AC" w14:textId="1323524B" w:rsidR="00BB15E9" w:rsidRDefault="00BB15E9" w:rsidP="00BB15E9">
      <w:pPr>
        <w:numPr>
          <w:ilvl w:val="0"/>
          <w:numId w:val="15"/>
        </w:numPr>
        <w:rPr>
          <w:lang w:val="en-US"/>
        </w:rPr>
      </w:pPr>
      <w:r>
        <w:rPr>
          <w:lang w:val="en-US"/>
        </w:rPr>
        <w:t>5G support for OTT WebRTC</w:t>
      </w:r>
    </w:p>
    <w:p w14:paraId="4D18C00B" w14:textId="15A67F38" w:rsidR="00BB15E9" w:rsidRDefault="00BB15E9" w:rsidP="00BB15E9">
      <w:pPr>
        <w:numPr>
          <w:ilvl w:val="0"/>
          <w:numId w:val="15"/>
        </w:numPr>
        <w:rPr>
          <w:lang w:val="en-US"/>
        </w:rPr>
      </w:pPr>
      <w:r>
        <w:rPr>
          <w:lang w:val="en-US"/>
        </w:rPr>
        <w:t>MNO-provided trusted WebRTC functions</w:t>
      </w:r>
    </w:p>
    <w:p w14:paraId="2F6B3FFE" w14:textId="191373E7" w:rsidR="00BB15E9" w:rsidRDefault="00BB15E9" w:rsidP="00BB15E9">
      <w:pPr>
        <w:numPr>
          <w:ilvl w:val="0"/>
          <w:numId w:val="15"/>
        </w:numPr>
        <w:rPr>
          <w:lang w:val="en-US"/>
        </w:rPr>
      </w:pPr>
      <w:r>
        <w:rPr>
          <w:lang w:val="en-US"/>
        </w:rPr>
        <w:t>MNO-facilitated WebRTC services</w:t>
      </w:r>
    </w:p>
    <w:p w14:paraId="1A522FA0" w14:textId="55BC3368" w:rsidR="00BB15E9" w:rsidRDefault="00BB15E9" w:rsidP="00BB15E9">
      <w:pPr>
        <w:numPr>
          <w:ilvl w:val="0"/>
          <w:numId w:val="15"/>
        </w:numPr>
        <w:rPr>
          <w:lang w:val="en-US"/>
        </w:rPr>
      </w:pPr>
      <w:r>
        <w:rPr>
          <w:lang w:val="en-US"/>
        </w:rPr>
        <w:t>Inter-operable WebRTC services</w:t>
      </w:r>
    </w:p>
    <w:p w14:paraId="300D095B" w14:textId="0FAEE885" w:rsidR="00BB15E9" w:rsidRDefault="00CD2496" w:rsidP="00BB15E9">
      <w:pPr>
        <w:rPr>
          <w:lang w:val="en-US"/>
        </w:rPr>
      </w:pPr>
      <w:r>
        <w:rPr>
          <w:lang w:val="en-US"/>
        </w:rPr>
        <w:t xml:space="preserve">Upon the definition of 5GMS, similar collaboration scenarios have been considered and a 5GMS architecture has been developed to accommodate the needs of these different scenarios. A similar exercise is required for iRTCW. The architecture offers flexibility through a set of functions and interfaces that can be combined in different ways based on the scenario’s needs. </w:t>
      </w:r>
    </w:p>
    <w:p w14:paraId="441ADCE8" w14:textId="14357C57" w:rsidR="00CD2496" w:rsidRDefault="00147DF4" w:rsidP="00BB15E9">
      <w:pPr>
        <w:rPr>
          <w:lang w:val="en-US"/>
        </w:rPr>
      </w:pPr>
      <w:ins w:id="1" w:author="Author">
        <w:r>
          <w:rPr>
            <w:lang w:val="en-US"/>
          </w:rPr>
          <w:t xml:space="preserve">In this contribution, we identify the WebRTC functions that may be used in the different collaboration scenarios. </w:t>
        </w:r>
      </w:ins>
      <w:r w:rsidR="00FE1945">
        <w:rPr>
          <w:lang w:val="en-US"/>
        </w:rPr>
        <w:t xml:space="preserve">We propose </w:t>
      </w:r>
      <w:ins w:id="2" w:author="Author">
        <w:r>
          <w:rPr>
            <w:lang w:val="en-US"/>
          </w:rPr>
          <w:t xml:space="preserve">a potential mapping between the WebRTC functions and 5G Application Functions (AF) or Application Servers (AS). We assume that 5G_AREA will define the architecture for 5G RTC and the resulting architecture will </w:t>
        </w:r>
        <w:r w:rsidR="00F42FE5">
          <w:rPr>
            <w:lang w:val="en-US"/>
          </w:rPr>
          <w:t>then be adopted by iRTCW for proper mapping. A potential such mapping is depicted in the following diagram and assumed for the rest of the document.</w:t>
        </w:r>
      </w:ins>
      <w:del w:id="3" w:author="Author">
        <w:r w:rsidR="00FE1945" w:rsidDel="00F42FE5">
          <w:rPr>
            <w:lang w:val="en-US"/>
          </w:rPr>
          <w:delText>the following 5G RTC architecture as the baseline architecture for</w:delText>
        </w:r>
        <w:r w:rsidR="00FA57C8" w:rsidDel="00F42FE5">
          <w:rPr>
            <w:lang w:val="en-US"/>
          </w:rPr>
          <w:delText xml:space="preserve"> WebRTC-based</w:delText>
        </w:r>
        <w:r w:rsidR="00FE1945" w:rsidDel="00F42FE5">
          <w:rPr>
            <w:lang w:val="en-US"/>
          </w:rPr>
          <w:delText xml:space="preserve"> real-time communication </w:delText>
        </w:r>
        <w:r w:rsidR="00FA57C8" w:rsidDel="00F42FE5">
          <w:rPr>
            <w:lang w:val="en-US"/>
          </w:rPr>
          <w:delText>over 5G</w:delText>
        </w:r>
      </w:del>
      <w:r w:rsidR="00FA57C8">
        <w:rPr>
          <w:lang w:val="en-US"/>
        </w:rPr>
        <w:t>.</w:t>
      </w:r>
    </w:p>
    <w:p w14:paraId="119A418F" w14:textId="4C180C57" w:rsidR="00FA57C8" w:rsidRDefault="00FA57C8" w:rsidP="00BB15E9">
      <w:pPr>
        <w:rPr>
          <w:ins w:id="4" w:author="Author"/>
          <w:noProof/>
        </w:rPr>
      </w:pPr>
    </w:p>
    <w:p w14:paraId="0DAE77EC" w14:textId="14D10743" w:rsidR="008569EF" w:rsidRDefault="008569EF" w:rsidP="00BB15E9">
      <w:pPr>
        <w:rPr>
          <w:lang w:val="en-US"/>
        </w:rPr>
      </w:pPr>
      <w:ins w:id="5" w:author="Author">
        <w:r>
          <w:rPr>
            <w:noProof/>
            <w:lang w:val="en-US"/>
          </w:rPr>
        </w:r>
      </w:ins>
      <w:r>
        <w:rPr>
          <w:lang w:val="en-US"/>
        </w:rPr>
        <w:pict w14:anchorId="7B29D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width:511.95pt;height:214.6pt;mso-left-percent:-10001;mso-top-percent:-10001;mso-position-horizontal:absolute;mso-position-horizontal-relative:char;mso-position-vertical:absolute;mso-position-vertical-relative:line;mso-left-percent:-10001;mso-top-percent:-10001">
            <v:imagedata r:id="rId11" o:title=""/>
            <w10:anchorlock/>
          </v:shape>
        </w:pict>
      </w:r>
    </w:p>
    <w:p w14:paraId="4BE344E3" w14:textId="6D6A3011" w:rsidR="00417BCB" w:rsidRDefault="00417BCB" w:rsidP="00BB15E9">
      <w:pPr>
        <w:rPr>
          <w:lang w:val="en-US"/>
        </w:rPr>
      </w:pPr>
      <w:r>
        <w:rPr>
          <w:lang w:val="en-US"/>
        </w:rPr>
        <w:t>The RTC-1 interface allows the Application Provider to provision support for RTC sessions that are offered by it. The provisioning may cover the following functionalities:</w:t>
      </w:r>
    </w:p>
    <w:p w14:paraId="1DC2E288" w14:textId="7E5C2485" w:rsidR="00417BCB" w:rsidRDefault="00417BCB" w:rsidP="00417BCB">
      <w:pPr>
        <w:numPr>
          <w:ilvl w:val="0"/>
          <w:numId w:val="16"/>
        </w:numPr>
        <w:rPr>
          <w:lang w:val="en-US"/>
        </w:rPr>
      </w:pPr>
      <w:r>
        <w:rPr>
          <w:lang w:val="en-US"/>
        </w:rPr>
        <w:t>QoS support for WebRTC sessions</w:t>
      </w:r>
    </w:p>
    <w:p w14:paraId="2FF1F3FC" w14:textId="1065EFFF" w:rsidR="00417BCB" w:rsidRDefault="00417BCB" w:rsidP="00417BCB">
      <w:pPr>
        <w:numPr>
          <w:ilvl w:val="0"/>
          <w:numId w:val="16"/>
        </w:numPr>
        <w:rPr>
          <w:lang w:val="en-US"/>
        </w:rPr>
      </w:pPr>
      <w:r>
        <w:rPr>
          <w:lang w:val="en-US"/>
        </w:rPr>
        <w:t>Charging provisioning for WebRTC sessions</w:t>
      </w:r>
    </w:p>
    <w:p w14:paraId="629A4F43" w14:textId="1BC3A71E" w:rsidR="00417BCB" w:rsidRDefault="00417BCB" w:rsidP="00417BCB">
      <w:pPr>
        <w:numPr>
          <w:ilvl w:val="0"/>
          <w:numId w:val="16"/>
        </w:numPr>
        <w:rPr>
          <w:lang w:val="en-US"/>
        </w:rPr>
      </w:pPr>
      <w:r>
        <w:rPr>
          <w:lang w:val="en-US"/>
        </w:rPr>
        <w:t xml:space="preserve">Collection of </w:t>
      </w:r>
      <w:r w:rsidR="009A290B">
        <w:rPr>
          <w:lang w:val="en-US"/>
        </w:rPr>
        <w:t xml:space="preserve">consumption and </w:t>
      </w:r>
      <w:r>
        <w:rPr>
          <w:lang w:val="en-US"/>
        </w:rPr>
        <w:t>QoE metrics</w:t>
      </w:r>
      <w:r w:rsidR="009A290B">
        <w:rPr>
          <w:lang w:val="en-US"/>
        </w:rPr>
        <w:t xml:space="preserve"> data</w:t>
      </w:r>
      <w:r>
        <w:rPr>
          <w:lang w:val="en-US"/>
        </w:rPr>
        <w:t xml:space="preserve"> related to WebRTC sessions</w:t>
      </w:r>
    </w:p>
    <w:p w14:paraId="0D7D320B" w14:textId="54ADA18E" w:rsidR="00417BCB" w:rsidRDefault="009A290B" w:rsidP="00417BCB">
      <w:pPr>
        <w:numPr>
          <w:ilvl w:val="0"/>
          <w:numId w:val="16"/>
        </w:numPr>
        <w:rPr>
          <w:lang w:val="en-US"/>
        </w:rPr>
      </w:pPr>
      <w:r>
        <w:rPr>
          <w:lang w:val="en-US"/>
        </w:rPr>
        <w:t>Offering ICE functionality such as STUN and TURN servers</w:t>
      </w:r>
    </w:p>
    <w:p w14:paraId="241BB847" w14:textId="6F7DEC73" w:rsidR="009A290B" w:rsidRDefault="009A290B" w:rsidP="00417BCB">
      <w:pPr>
        <w:numPr>
          <w:ilvl w:val="0"/>
          <w:numId w:val="16"/>
        </w:numPr>
        <w:rPr>
          <w:lang w:val="en-US"/>
        </w:rPr>
      </w:pPr>
      <w:r>
        <w:rPr>
          <w:lang w:val="en-US"/>
        </w:rPr>
        <w:t>Offering WebRTC signaling servers, potentially with interoperability to other signaling servers</w:t>
      </w:r>
    </w:p>
    <w:p w14:paraId="4CE4EEC3" w14:textId="6A8FB4EB" w:rsidR="009A290B" w:rsidRDefault="009A290B" w:rsidP="009A290B">
      <w:pPr>
        <w:rPr>
          <w:lang w:val="en-US"/>
        </w:rPr>
      </w:pPr>
      <w:r>
        <w:rPr>
          <w:lang w:val="en-US"/>
        </w:rPr>
        <w:t xml:space="preserve">The provisioning interface is not relevant to all collaboration scenarios and some of the 5G support functionality may be offered without application provider provisioning. </w:t>
      </w:r>
    </w:p>
    <w:p w14:paraId="261C81BA" w14:textId="24E56CE0" w:rsidR="009A290B" w:rsidRDefault="009A290B" w:rsidP="009A290B">
      <w:pPr>
        <w:rPr>
          <w:lang w:val="en-US"/>
        </w:rPr>
      </w:pPr>
      <w:r>
        <w:rPr>
          <w:lang w:val="en-US"/>
        </w:rPr>
        <w:t>The RTC-5 interface is an interface between the Media Session Handler</w:t>
      </w:r>
      <w:ins w:id="6" w:author="Author">
        <w:r w:rsidR="008569EF">
          <w:rPr>
            <w:lang w:val="en-US"/>
          </w:rPr>
          <w:t xml:space="preserve"> (MSH)</w:t>
        </w:r>
      </w:ins>
      <w:r>
        <w:rPr>
          <w:lang w:val="en-US"/>
        </w:rPr>
        <w:t xml:space="preserve"> and the 5G-RTC AF. It is used to convey configuration information from the AF to the MSH and to request support for a starting/ongoing WebRTC session. The configuration information may consist of </w:t>
      </w:r>
      <w:r w:rsidR="00121510">
        <w:rPr>
          <w:lang w:val="en-US"/>
        </w:rPr>
        <w:t xml:space="preserve">static information such as </w:t>
      </w:r>
      <w:r>
        <w:rPr>
          <w:lang w:val="en-US"/>
        </w:rPr>
        <w:t>the following:</w:t>
      </w:r>
    </w:p>
    <w:p w14:paraId="2C32D830" w14:textId="54BCCD2B" w:rsidR="009A290B" w:rsidRDefault="00121510" w:rsidP="009A290B">
      <w:pPr>
        <w:numPr>
          <w:ilvl w:val="0"/>
          <w:numId w:val="17"/>
        </w:numPr>
        <w:rPr>
          <w:lang w:val="en-US"/>
        </w:rPr>
      </w:pPr>
      <w:r>
        <w:rPr>
          <w:lang w:val="en-US"/>
        </w:rPr>
        <w:t>Recommendations for media configurations</w:t>
      </w:r>
    </w:p>
    <w:p w14:paraId="6A17D970" w14:textId="0527E73D" w:rsidR="00121510" w:rsidRDefault="00121510" w:rsidP="009A290B">
      <w:pPr>
        <w:numPr>
          <w:ilvl w:val="0"/>
          <w:numId w:val="17"/>
        </w:numPr>
        <w:rPr>
          <w:lang w:val="en-US"/>
        </w:rPr>
      </w:pPr>
      <w:r>
        <w:rPr>
          <w:lang w:val="en-US"/>
        </w:rPr>
        <w:t>Configurations of STUN and TURN server locations</w:t>
      </w:r>
    </w:p>
    <w:p w14:paraId="66DED1B2" w14:textId="76816EEA" w:rsidR="00121510" w:rsidRDefault="00121510" w:rsidP="009A290B">
      <w:pPr>
        <w:numPr>
          <w:ilvl w:val="0"/>
          <w:numId w:val="17"/>
        </w:numPr>
        <w:rPr>
          <w:lang w:val="en-US"/>
        </w:rPr>
      </w:pPr>
      <w:r>
        <w:rPr>
          <w:lang w:val="en-US"/>
        </w:rPr>
        <w:t>Configuration about consumption and QoE reporting</w:t>
      </w:r>
    </w:p>
    <w:p w14:paraId="5E89014A" w14:textId="61E2D77D" w:rsidR="00121510" w:rsidRDefault="00121510" w:rsidP="009A290B">
      <w:pPr>
        <w:numPr>
          <w:ilvl w:val="0"/>
          <w:numId w:val="17"/>
        </w:numPr>
        <w:rPr>
          <w:lang w:val="en-US"/>
        </w:rPr>
      </w:pPr>
      <w:r>
        <w:rPr>
          <w:lang w:val="en-US"/>
        </w:rPr>
        <w:t>Discovery information for WebRTC signaling and data channel servers and their capabilities</w:t>
      </w:r>
    </w:p>
    <w:p w14:paraId="5671BD5C" w14:textId="1B8A0433" w:rsidR="00121510" w:rsidRDefault="00121510" w:rsidP="00121510">
      <w:pPr>
        <w:rPr>
          <w:lang w:val="en-US"/>
        </w:rPr>
      </w:pPr>
      <w:r>
        <w:rPr>
          <w:lang w:val="en-US"/>
        </w:rPr>
        <w:t>The support functionality includes the following:</w:t>
      </w:r>
    </w:p>
    <w:p w14:paraId="18CFC736" w14:textId="22627A07" w:rsidR="00121510" w:rsidRDefault="00121510" w:rsidP="00121510">
      <w:pPr>
        <w:numPr>
          <w:ilvl w:val="0"/>
          <w:numId w:val="18"/>
        </w:numPr>
        <w:rPr>
          <w:lang w:val="en-US"/>
        </w:rPr>
      </w:pPr>
      <w:r>
        <w:rPr>
          <w:lang w:val="en-US"/>
        </w:rPr>
        <w:t>MSH informs the MSH about a WebRTC session and its state</w:t>
      </w:r>
    </w:p>
    <w:p w14:paraId="36F034C9" w14:textId="3207EB29" w:rsidR="00121510" w:rsidRDefault="00121510" w:rsidP="00121510">
      <w:pPr>
        <w:numPr>
          <w:ilvl w:val="0"/>
          <w:numId w:val="18"/>
        </w:numPr>
        <w:rPr>
          <w:lang w:val="en-US"/>
        </w:rPr>
      </w:pPr>
      <w:r>
        <w:rPr>
          <w:lang w:val="en-US"/>
        </w:rPr>
        <w:t>MSH requests QoS allocation for a starting or modified session</w:t>
      </w:r>
    </w:p>
    <w:p w14:paraId="74D5495A" w14:textId="2A732023" w:rsidR="00121510" w:rsidRDefault="00EA136F" w:rsidP="00121510">
      <w:pPr>
        <w:numPr>
          <w:ilvl w:val="0"/>
          <w:numId w:val="18"/>
        </w:numPr>
        <w:rPr>
          <w:lang w:val="en-US"/>
        </w:rPr>
      </w:pPr>
      <w:r>
        <w:rPr>
          <w:lang w:val="en-US"/>
        </w:rPr>
        <w:lastRenderedPageBreak/>
        <w:t>MSH receives notification about changes to the QoS allocation for the ongoing WebRTC session</w:t>
      </w:r>
    </w:p>
    <w:p w14:paraId="1DA4AF1E" w14:textId="110B11AF" w:rsidR="00EA136F" w:rsidRDefault="00EA136F" w:rsidP="00121510">
      <w:pPr>
        <w:numPr>
          <w:ilvl w:val="0"/>
          <w:numId w:val="18"/>
        </w:numPr>
        <w:rPr>
          <w:lang w:val="en-US"/>
        </w:rPr>
      </w:pPr>
      <w:r>
        <w:rPr>
          <w:lang w:val="en-US"/>
        </w:rPr>
        <w:t>MSH receives updates exchanges information about the WebRTC session with the 5G-RTC STUN/TURN/Signaling Server, e.g. to identify a WebRTC session and associate it with a QoS template</w:t>
      </w:r>
    </w:p>
    <w:p w14:paraId="70B21567" w14:textId="2D1A28DF" w:rsidR="00EA136F" w:rsidRDefault="00EA136F" w:rsidP="00EA136F">
      <w:pPr>
        <w:rPr>
          <w:lang w:val="en-US"/>
        </w:rPr>
      </w:pPr>
      <w:r>
        <w:rPr>
          <w:lang w:val="en-US"/>
        </w:rPr>
        <w:t xml:space="preserve">The 5G-RTC functionality that offer application functions to the WebRTC application (blocks in yellow) can equally be provided by Application Servers (5G-RTC AS) </w:t>
      </w:r>
      <w:r w:rsidR="009C4102">
        <w:rPr>
          <w:lang w:val="en-US"/>
        </w:rPr>
        <w:t xml:space="preserve">instead of AFs. These could then use a dedicated interface RTC-3 to request configurations and network support for the ongoing WebRTC sessions from the 5G-RTC </w:t>
      </w:r>
      <w:r w:rsidR="009100FB">
        <w:rPr>
          <w:lang w:val="en-US"/>
        </w:rPr>
        <w:t xml:space="preserve">AF. </w:t>
      </w:r>
    </w:p>
    <w:p w14:paraId="5F9EB133" w14:textId="54754E8D" w:rsidR="009100FB" w:rsidRDefault="009100FB" w:rsidP="00EA136F">
      <w:pPr>
        <w:rPr>
          <w:ins w:id="7" w:author="Author"/>
          <w:lang w:val="en-US"/>
        </w:rPr>
      </w:pPr>
      <w:r>
        <w:rPr>
          <w:lang w:val="en-US"/>
        </w:rPr>
        <w:t>The MSH is a function in the UE that provides access to 5G-RTC support functions to the WebRTC applications. These functions may be offered on request, i.e. through the RTC-6 interface, or transparently without direct involvement of the application. The MSH may for instance assist</w:t>
      </w:r>
      <w:del w:id="8" w:author="Author">
        <w:r w:rsidDel="008569EF">
          <w:rPr>
            <w:lang w:val="en-US"/>
          </w:rPr>
          <w:delText>ance</w:delText>
        </w:r>
      </w:del>
      <w:r>
        <w:rPr>
          <w:lang w:val="en-US"/>
        </w:rPr>
        <w:t xml:space="preserve"> indirectly in the ICE negotiation by providing a list of </w:t>
      </w:r>
      <w:proofErr w:type="gramStart"/>
      <w:r>
        <w:rPr>
          <w:lang w:val="en-US"/>
        </w:rPr>
        <w:t>STUN</w:t>
      </w:r>
      <w:proofErr w:type="gramEnd"/>
      <w:r>
        <w:rPr>
          <w:lang w:val="en-US"/>
        </w:rPr>
        <w:t xml:space="preserve"> and TURN server candidates that </w:t>
      </w:r>
      <w:r w:rsidR="00B0658B">
        <w:rPr>
          <w:lang w:val="en-US"/>
        </w:rPr>
        <w:t>offer</w:t>
      </w:r>
      <w:r>
        <w:rPr>
          <w:lang w:val="en-US"/>
        </w:rPr>
        <w:t xml:space="preserve"> </w:t>
      </w:r>
      <w:r w:rsidR="00B0658B">
        <w:rPr>
          <w:lang w:val="en-US"/>
        </w:rPr>
        <w:t>5G-RTC functionality.</w:t>
      </w:r>
      <w:r w:rsidR="004E5CDA">
        <w:rPr>
          <w:lang w:val="en-US"/>
        </w:rPr>
        <w:t xml:space="preserve"> The MSH also collects QoE metric reports and submits consumption reports. They may also offer media configuration recommendations to the application through RTC-6.</w:t>
      </w:r>
      <w:ins w:id="9" w:author="Author">
        <w:r w:rsidR="008569EF">
          <w:rPr>
            <w:lang w:val="en-US"/>
          </w:rPr>
          <w:t xml:space="preserve"> The RTC-6 interface may be offered to both native and web-based WebRTC applications equally. The interface should be defined in an abstract form, </w:t>
        </w:r>
        <w:proofErr w:type="gramStart"/>
        <w:r w:rsidR="008569EF">
          <w:rPr>
            <w:lang w:val="en-US"/>
          </w:rPr>
          <w:t>e.g.</w:t>
        </w:r>
        <w:proofErr w:type="gramEnd"/>
        <w:r w:rsidR="008569EF">
          <w:rPr>
            <w:lang w:val="en-US"/>
          </w:rPr>
          <w:t xml:space="preserve"> using IDL or WebIDL, which would allow implementers to map it to their desired implementations and environments (e.g. </w:t>
        </w:r>
        <w:r w:rsidR="00AD1720">
          <w:rPr>
            <w:lang w:val="en-US"/>
          </w:rPr>
          <w:t>make them accessible through a JavaScript API for web-based applications). RTC-6 is completely orthogonal to the WebRTC APIs developed by W3C and should offer the following functionality:</w:t>
        </w:r>
      </w:ins>
    </w:p>
    <w:p w14:paraId="169932D6" w14:textId="512D8D4E" w:rsidR="00AD1720" w:rsidRDefault="00AD1720" w:rsidP="006E2F2A">
      <w:pPr>
        <w:numPr>
          <w:ilvl w:val="0"/>
          <w:numId w:val="19"/>
        </w:numPr>
        <w:rPr>
          <w:ins w:id="10" w:author="Author"/>
          <w:lang w:val="en-US"/>
        </w:rPr>
      </w:pPr>
      <w:ins w:id="11" w:author="Author">
        <w:r>
          <w:rPr>
            <w:lang w:val="en-US"/>
          </w:rPr>
          <w:t>allows the application to indicate that a new session is starting or stopping</w:t>
        </w:r>
      </w:ins>
    </w:p>
    <w:p w14:paraId="5B92B7C9" w14:textId="29C545B7" w:rsidR="00AD1720" w:rsidRDefault="00AD1720" w:rsidP="00AD1720">
      <w:pPr>
        <w:numPr>
          <w:ilvl w:val="0"/>
          <w:numId w:val="19"/>
        </w:numPr>
        <w:rPr>
          <w:ins w:id="12" w:author="Author"/>
          <w:lang w:val="en-US"/>
        </w:rPr>
      </w:pPr>
      <w:ins w:id="13" w:author="Author">
        <w:r>
          <w:rPr>
            <w:lang w:val="en-US"/>
          </w:rPr>
          <w:t>allows the application to retrieve the MNO configuration for WebRTC session, such as URLs for trusted ICE functions, the recommended QoS template, the QoE reporting requirements, etc.</w:t>
        </w:r>
      </w:ins>
    </w:p>
    <w:p w14:paraId="35DE70B4" w14:textId="613D5B5A" w:rsidR="005A6514" w:rsidRDefault="005A6514" w:rsidP="005A6514">
      <w:pPr>
        <w:numPr>
          <w:ilvl w:val="0"/>
          <w:numId w:val="19"/>
        </w:numPr>
        <w:rPr>
          <w:ins w:id="14" w:author="Author"/>
          <w:lang w:val="en-US"/>
        </w:rPr>
      </w:pPr>
      <w:ins w:id="15" w:author="Author">
        <w:r>
          <w:rPr>
            <w:lang w:val="en-US"/>
          </w:rPr>
          <w:t>provides the application with recommendations on the media and QoS configuration</w:t>
        </w:r>
      </w:ins>
    </w:p>
    <w:p w14:paraId="09E685D5" w14:textId="031A3B0A" w:rsidR="005A6514" w:rsidRDefault="005A6514" w:rsidP="006E2F2A">
      <w:pPr>
        <w:rPr>
          <w:lang w:val="en-US"/>
        </w:rPr>
      </w:pPr>
      <w:ins w:id="16" w:author="Author">
        <w:r>
          <w:rPr>
            <w:lang w:val="en-US"/>
          </w:rPr>
          <w:t xml:space="preserve">The RTC-4 interface applies to some RTC functions that assure media relaying and </w:t>
        </w:r>
        <w:r w:rsidR="006E2F2A">
          <w:rPr>
            <w:lang w:val="en-US"/>
          </w:rPr>
          <w:t>processing functionality for the WebRTC session. It represents the user plane data exchange to and from the UE and is fully compatible with WebRTC.</w:t>
        </w:r>
      </w:ins>
    </w:p>
    <w:p w14:paraId="2057AC3A" w14:textId="24F55335" w:rsidR="003A6387" w:rsidRPr="005A6514" w:rsidRDefault="003A6387" w:rsidP="006E2F2A">
      <w:pPr>
        <w:rPr>
          <w:lang w:val="en-US"/>
        </w:rPr>
      </w:pPr>
      <w:ins w:id="17" w:author="Author">
        <w:r>
          <w:rPr>
            <w:lang w:val="en-US"/>
          </w:rPr>
          <w:t>Finally, RTC-8 will</w:t>
        </w:r>
        <w:r>
          <w:rPr>
            <w:lang w:val="en-US"/>
          </w:rPr>
          <w:t xml:space="preserve"> be used to exchange information between the application and the Application Provider.</w:t>
        </w:r>
      </w:ins>
    </w:p>
    <w:p w14:paraId="31DFDB63" w14:textId="77777777" w:rsidR="00583965" w:rsidRDefault="00583965" w:rsidP="007D1D47">
      <w:pPr>
        <w:pStyle w:val="Heading1"/>
        <w:numPr>
          <w:ilvl w:val="0"/>
          <w:numId w:val="3"/>
        </w:numPr>
      </w:pPr>
      <w:r>
        <w:t>Proposal</w:t>
      </w:r>
    </w:p>
    <w:p w14:paraId="73F02001" w14:textId="63F1E976" w:rsidR="00F17FCB" w:rsidRDefault="00583965" w:rsidP="00DE5141">
      <w:pPr>
        <w:rPr>
          <w:lang w:val="en-US"/>
        </w:rPr>
      </w:pPr>
      <w:r>
        <w:rPr>
          <w:lang w:val="en-US"/>
        </w:rPr>
        <w:t>We propose to</w:t>
      </w:r>
      <w:r w:rsidR="00DF13C0">
        <w:rPr>
          <w:lang w:val="en-US"/>
        </w:rPr>
        <w:t xml:space="preserve"> agree the </w:t>
      </w:r>
      <w:r w:rsidR="00FD4B9C">
        <w:rPr>
          <w:lang w:val="en-US"/>
        </w:rPr>
        <w:t>baseline architecture and the interface functionality in clause 2</w:t>
      </w:r>
      <w:r w:rsidR="00DF13C0">
        <w:rPr>
          <w:lang w:val="en-US"/>
        </w:rPr>
        <w:t xml:space="preserve"> and document them in the </w:t>
      </w:r>
      <w:r w:rsidR="00FD4B9C">
        <w:rPr>
          <w:lang w:val="en-US"/>
        </w:rPr>
        <w:t xml:space="preserve">iRTCW </w:t>
      </w:r>
      <w:r w:rsidR="00DF13C0">
        <w:rPr>
          <w:lang w:val="en-US"/>
        </w:rPr>
        <w:t>PD</w:t>
      </w:r>
      <w:r w:rsidR="00DE5141">
        <w:rPr>
          <w:lang w:val="en-US"/>
        </w:rPr>
        <w:t>.</w:t>
      </w:r>
    </w:p>
    <w:sectPr w:rsidR="00F17FCB" w:rsidSect="00E72D76">
      <w:headerReference w:type="even" r:id="rId12"/>
      <w:headerReference w:type="default" r:id="rId13"/>
      <w:footerReference w:type="default" r:id="rId14"/>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C2B9" w14:textId="77777777" w:rsidR="00B314FC" w:rsidRDefault="00B314FC">
      <w:r>
        <w:separator/>
      </w:r>
    </w:p>
  </w:endnote>
  <w:endnote w:type="continuationSeparator" w:id="0">
    <w:p w14:paraId="322C9210" w14:textId="77777777" w:rsidR="00B314FC" w:rsidRDefault="00B3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F358" w14:textId="77777777" w:rsidR="00B314FC" w:rsidRDefault="00B314FC">
      <w:r>
        <w:separator/>
      </w:r>
    </w:p>
  </w:footnote>
  <w:footnote w:type="continuationSeparator" w:id="0">
    <w:p w14:paraId="4398A8A0" w14:textId="77777777" w:rsidR="00B314FC" w:rsidRDefault="00B3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412D219"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r w:rsidRPr="006C359E">
      <w:rPr>
        <w:rFonts w:ascii="Arial" w:eastAsia="SimSun" w:hAnsi="Arial" w:cs="Arial"/>
        <w:b/>
        <w:i/>
        <w:sz w:val="28"/>
        <w:szCs w:val="28"/>
      </w:rPr>
      <w:t xml:space="preserve">Tdoc </w:t>
    </w:r>
    <w:r w:rsidR="009F132A">
      <w:rPr>
        <w:rFonts w:ascii="Arial" w:eastAsia="SimSun" w:hAnsi="Arial" w:cs="Arial"/>
        <w:b/>
        <w:i/>
        <w:sz w:val="28"/>
        <w:szCs w:val="28"/>
      </w:rPr>
      <w:t>S4-22</w:t>
    </w:r>
    <w:r w:rsidR="00D4755C">
      <w:rPr>
        <w:rFonts w:ascii="Arial" w:eastAsia="SimSun" w:hAnsi="Arial" w:cs="Arial"/>
        <w:b/>
        <w:i/>
        <w:sz w:val="28"/>
        <w:szCs w:val="28"/>
      </w:rPr>
      <w:t>0</w:t>
    </w:r>
    <w:r w:rsidR="00243678">
      <w:rPr>
        <w:rFonts w:ascii="Arial" w:eastAsia="SimSun" w:hAnsi="Arial" w:cs="Arial"/>
        <w:b/>
        <w:i/>
        <w:sz w:val="28"/>
        <w:szCs w:val="28"/>
      </w:rPr>
      <w:t>771</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3A1836"/>
    <w:multiLevelType w:val="hybridMultilevel"/>
    <w:tmpl w:val="F0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174">
    <w:abstractNumId w:val="15"/>
  </w:num>
  <w:num w:numId="2" w16cid:durableId="58483816">
    <w:abstractNumId w:val="11"/>
  </w:num>
  <w:num w:numId="3" w16cid:durableId="1734766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929679">
    <w:abstractNumId w:val="9"/>
  </w:num>
  <w:num w:numId="5" w16cid:durableId="206797388">
    <w:abstractNumId w:val="3"/>
  </w:num>
  <w:num w:numId="6" w16cid:durableId="607928615">
    <w:abstractNumId w:val="4"/>
  </w:num>
  <w:num w:numId="7" w16cid:durableId="854618577">
    <w:abstractNumId w:val="8"/>
  </w:num>
  <w:num w:numId="8" w16cid:durableId="557791114">
    <w:abstractNumId w:val="0"/>
  </w:num>
  <w:num w:numId="9" w16cid:durableId="1188181981">
    <w:abstractNumId w:val="2"/>
  </w:num>
  <w:num w:numId="10" w16cid:durableId="1085570910">
    <w:abstractNumId w:val="15"/>
  </w:num>
  <w:num w:numId="11" w16cid:durableId="281809137">
    <w:abstractNumId w:val="12"/>
  </w:num>
  <w:num w:numId="12" w16cid:durableId="620654543">
    <w:abstractNumId w:val="14"/>
  </w:num>
  <w:num w:numId="13" w16cid:durableId="563105603">
    <w:abstractNumId w:val="15"/>
  </w:num>
  <w:num w:numId="14" w16cid:durableId="1568567590">
    <w:abstractNumId w:val="16"/>
  </w:num>
  <w:num w:numId="15" w16cid:durableId="1065185246">
    <w:abstractNumId w:val="13"/>
  </w:num>
  <w:num w:numId="16" w16cid:durableId="291596466">
    <w:abstractNumId w:val="6"/>
  </w:num>
  <w:num w:numId="17" w16cid:durableId="2144302742">
    <w:abstractNumId w:val="7"/>
  </w:num>
  <w:num w:numId="18" w16cid:durableId="1584802990">
    <w:abstractNumId w:val="1"/>
  </w:num>
  <w:num w:numId="19" w16cid:durableId="140437399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1A62"/>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510"/>
    <w:rsid w:val="00121C39"/>
    <w:rsid w:val="00122C1A"/>
    <w:rsid w:val="0012640C"/>
    <w:rsid w:val="001272DB"/>
    <w:rsid w:val="001329E7"/>
    <w:rsid w:val="00132C47"/>
    <w:rsid w:val="0013390A"/>
    <w:rsid w:val="00134276"/>
    <w:rsid w:val="0013553E"/>
    <w:rsid w:val="001359C0"/>
    <w:rsid w:val="00135F3C"/>
    <w:rsid w:val="001361AD"/>
    <w:rsid w:val="00136499"/>
    <w:rsid w:val="00136A62"/>
    <w:rsid w:val="00136C16"/>
    <w:rsid w:val="00136E94"/>
    <w:rsid w:val="00137241"/>
    <w:rsid w:val="00143BA1"/>
    <w:rsid w:val="001441BE"/>
    <w:rsid w:val="0014436B"/>
    <w:rsid w:val="00144F6E"/>
    <w:rsid w:val="00145F01"/>
    <w:rsid w:val="00146CA8"/>
    <w:rsid w:val="00147326"/>
    <w:rsid w:val="0014753A"/>
    <w:rsid w:val="00147A11"/>
    <w:rsid w:val="00147DF4"/>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678"/>
    <w:rsid w:val="002439D0"/>
    <w:rsid w:val="00243EB2"/>
    <w:rsid w:val="002441F5"/>
    <w:rsid w:val="00245135"/>
    <w:rsid w:val="00247816"/>
    <w:rsid w:val="002503BE"/>
    <w:rsid w:val="00250B62"/>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A6387"/>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3ED3"/>
    <w:rsid w:val="00414EA7"/>
    <w:rsid w:val="004151BC"/>
    <w:rsid w:val="004158F9"/>
    <w:rsid w:val="00416D90"/>
    <w:rsid w:val="00417BCB"/>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5CDA"/>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6514"/>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2F2A"/>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5FE3"/>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569EF"/>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71AE"/>
    <w:rsid w:val="008D016E"/>
    <w:rsid w:val="008D0292"/>
    <w:rsid w:val="008D02FF"/>
    <w:rsid w:val="008D05AA"/>
    <w:rsid w:val="008D07D0"/>
    <w:rsid w:val="008D13A7"/>
    <w:rsid w:val="008D3B7F"/>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00FB"/>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290B"/>
    <w:rsid w:val="009A4B5C"/>
    <w:rsid w:val="009A75DB"/>
    <w:rsid w:val="009B2F66"/>
    <w:rsid w:val="009B3458"/>
    <w:rsid w:val="009B398F"/>
    <w:rsid w:val="009B4D73"/>
    <w:rsid w:val="009B4F57"/>
    <w:rsid w:val="009B5E15"/>
    <w:rsid w:val="009B6597"/>
    <w:rsid w:val="009C0E57"/>
    <w:rsid w:val="009C1744"/>
    <w:rsid w:val="009C1B10"/>
    <w:rsid w:val="009C3EF1"/>
    <w:rsid w:val="009C4102"/>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720"/>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658B"/>
    <w:rsid w:val="00B07BB2"/>
    <w:rsid w:val="00B10D5C"/>
    <w:rsid w:val="00B112D2"/>
    <w:rsid w:val="00B11918"/>
    <w:rsid w:val="00B119D1"/>
    <w:rsid w:val="00B142F8"/>
    <w:rsid w:val="00B178CD"/>
    <w:rsid w:val="00B1798B"/>
    <w:rsid w:val="00B20930"/>
    <w:rsid w:val="00B20B2B"/>
    <w:rsid w:val="00B20C9E"/>
    <w:rsid w:val="00B214BA"/>
    <w:rsid w:val="00B26B89"/>
    <w:rsid w:val="00B303E3"/>
    <w:rsid w:val="00B30DAD"/>
    <w:rsid w:val="00B314FC"/>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5E9"/>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496"/>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36F"/>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2FE5"/>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57C8"/>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4B9C"/>
    <w:rsid w:val="00FD6A45"/>
    <w:rsid w:val="00FD6E76"/>
    <w:rsid w:val="00FD7824"/>
    <w:rsid w:val="00FE1945"/>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796</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2022-05-16T04:09:00Z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