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03315" w14:textId="54BC9721" w:rsidR="0055362A" w:rsidRPr="00B30DAD" w:rsidRDefault="0055362A" w:rsidP="0055362A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>
        <w:rPr>
          <w:rFonts w:ascii="Arial" w:hAnsi="Arial" w:cs="Arial"/>
          <w:szCs w:val="24"/>
          <w:lang w:val="pt-BR" w:eastAsia="ja-JP"/>
        </w:rPr>
        <w:t>10.</w:t>
      </w:r>
      <w:r w:rsidR="001309DC">
        <w:rPr>
          <w:rFonts w:ascii="Arial" w:hAnsi="Arial" w:cs="Arial"/>
          <w:szCs w:val="24"/>
          <w:lang w:val="pt-BR" w:eastAsia="ja-JP"/>
        </w:rPr>
        <w:t>6</w:t>
      </w:r>
    </w:p>
    <w:p w14:paraId="47947F33" w14:textId="17409805" w:rsidR="0055362A" w:rsidRPr="00576392" w:rsidRDefault="0055362A" w:rsidP="0055362A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 w:rsidR="00C759DD">
        <w:rPr>
          <w:rFonts w:ascii="Arial" w:hAnsi="Arial" w:cs="Arial"/>
          <w:szCs w:val="24"/>
          <w:lang w:val="en-US" w:eastAsia="ja-JP"/>
        </w:rPr>
        <w:t>Intel</w:t>
      </w:r>
    </w:p>
    <w:p w14:paraId="26E0A7D0" w14:textId="65987A9A" w:rsidR="0055362A" w:rsidRDefault="0055362A" w:rsidP="0055362A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Pr="00340658">
        <w:rPr>
          <w:rFonts w:ascii="Arial" w:hAnsi="Arial" w:cs="Arial"/>
          <w:b/>
          <w:szCs w:val="24"/>
          <w:lang w:val="en-US" w:eastAsia="ja-JP"/>
        </w:rPr>
        <w:t xml:space="preserve">Discussion on </w:t>
      </w:r>
      <w:r w:rsidR="006B0139">
        <w:rPr>
          <w:rFonts w:ascii="Arial" w:hAnsi="Arial" w:cs="Arial"/>
          <w:b/>
          <w:szCs w:val="24"/>
          <w:lang w:val="en-US" w:eastAsia="ja-JP"/>
        </w:rPr>
        <w:t xml:space="preserve">the </w:t>
      </w:r>
      <w:r w:rsidR="005F6763">
        <w:rPr>
          <w:rFonts w:ascii="Arial" w:hAnsi="Arial" w:cs="Arial"/>
          <w:b/>
          <w:szCs w:val="24"/>
          <w:lang w:val="en-US" w:eastAsia="ja-JP"/>
        </w:rPr>
        <w:t>network deployment scenario</w:t>
      </w:r>
      <w:r w:rsidR="0043125B">
        <w:rPr>
          <w:rFonts w:ascii="Arial" w:hAnsi="Arial" w:cs="Arial"/>
          <w:b/>
          <w:szCs w:val="24"/>
          <w:lang w:val="en-US" w:eastAsia="ja-JP"/>
        </w:rPr>
        <w:t xml:space="preserve"> for WebRTC signaling. </w:t>
      </w:r>
    </w:p>
    <w:p w14:paraId="139299B4" w14:textId="77777777" w:rsidR="0055362A" w:rsidRPr="00576392" w:rsidRDefault="0055362A" w:rsidP="0055362A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Pr="002503BE">
        <w:rPr>
          <w:rFonts w:ascii="Arial" w:hAnsi="Arial" w:cs="Arial"/>
          <w:szCs w:val="24"/>
          <w:lang w:val="en-US" w:eastAsia="ja-JP"/>
        </w:rPr>
        <w:t>Discussion and</w:t>
      </w:r>
      <w:r>
        <w:rPr>
          <w:rFonts w:ascii="Arial" w:hAnsi="Arial" w:cs="Arial"/>
          <w:b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 xml:space="preserve">Agreement </w:t>
      </w:r>
    </w:p>
    <w:p w14:paraId="7A1F3846" w14:textId="0A30F5EF" w:rsidR="0055362A" w:rsidRPr="001754A8" w:rsidRDefault="0055362A" w:rsidP="004C6BF4">
      <w:pPr>
        <w:pStyle w:val="Heading1"/>
        <w:numPr>
          <w:ilvl w:val="0"/>
          <w:numId w:val="8"/>
        </w:numPr>
      </w:pPr>
      <w:bookmarkStart w:id="0" w:name="_Toc504713888"/>
      <w:r w:rsidRPr="001754A8">
        <w:t>Introduction</w:t>
      </w:r>
    </w:p>
    <w:p w14:paraId="1ABEC3E0" w14:textId="1BFF280F" w:rsidR="0055362A" w:rsidRDefault="006C41AB" w:rsidP="0055362A">
      <w:pPr>
        <w:rPr>
          <w:lang w:val="en-US"/>
        </w:rPr>
      </w:pPr>
      <w:r>
        <w:rPr>
          <w:lang w:val="en-US"/>
        </w:rPr>
        <w:t xml:space="preserve">This </w:t>
      </w:r>
      <w:r w:rsidR="0071375E">
        <w:rPr>
          <w:lang w:val="en-US"/>
        </w:rPr>
        <w:t>contribution</w:t>
      </w:r>
      <w:r w:rsidR="00CF664E">
        <w:rPr>
          <w:lang w:val="en-US"/>
        </w:rPr>
        <w:t xml:space="preserve"> </w:t>
      </w:r>
      <w:r>
        <w:rPr>
          <w:lang w:val="en-US"/>
        </w:rPr>
        <w:t>discusses</w:t>
      </w:r>
      <w:r w:rsidR="0071375E">
        <w:rPr>
          <w:lang w:val="en-US"/>
        </w:rPr>
        <w:t xml:space="preserve"> the po</w:t>
      </w:r>
      <w:r w:rsidR="00B7169E">
        <w:rPr>
          <w:lang w:val="en-US"/>
        </w:rPr>
        <w:t xml:space="preserve">tential </w:t>
      </w:r>
      <w:proofErr w:type="spellStart"/>
      <w:r w:rsidR="00EA6316">
        <w:rPr>
          <w:rFonts w:ascii="Arial" w:hAnsi="Arial" w:cs="Arial"/>
          <w:sz w:val="22"/>
          <w:lang w:val="en-US"/>
        </w:rPr>
        <w:t>FS_eiRTCW</w:t>
      </w:r>
      <w:proofErr w:type="spellEnd"/>
      <w:r w:rsidR="00EA6316">
        <w:rPr>
          <w:lang w:val="en-US"/>
        </w:rPr>
        <w:t xml:space="preserve"> deployment scenarios</w:t>
      </w:r>
      <w:r w:rsidR="00B7169E">
        <w:rPr>
          <w:lang w:val="en-US"/>
        </w:rPr>
        <w:t xml:space="preserve"> in</w:t>
      </w:r>
      <w:r w:rsidR="00EA6316">
        <w:rPr>
          <w:lang w:val="en-US"/>
        </w:rPr>
        <w:t xml:space="preserve"> various 5G </w:t>
      </w:r>
      <w:r>
        <w:rPr>
          <w:lang w:val="en-US"/>
        </w:rPr>
        <w:t>environments</w:t>
      </w:r>
      <w:r w:rsidR="00B7169E">
        <w:rPr>
          <w:lang w:val="en-US"/>
        </w:rPr>
        <w:t xml:space="preserve">, including </w:t>
      </w:r>
      <w:r w:rsidR="00EC7C19">
        <w:rPr>
          <w:lang w:val="en-US"/>
        </w:rPr>
        <w:t>NPN and PLMN</w:t>
      </w:r>
      <w:r w:rsidR="001F42C8">
        <w:rPr>
          <w:lang w:val="en-US"/>
        </w:rPr>
        <w:t>,</w:t>
      </w:r>
      <w:r w:rsidR="00EA6316">
        <w:rPr>
          <w:lang w:val="en-US"/>
        </w:rPr>
        <w:t xml:space="preserve"> and </w:t>
      </w:r>
      <w:r w:rsidR="00144695">
        <w:rPr>
          <w:lang w:val="en-US"/>
        </w:rPr>
        <w:t xml:space="preserve">the </w:t>
      </w:r>
      <w:r w:rsidR="00EA6316">
        <w:rPr>
          <w:lang w:val="en-US"/>
        </w:rPr>
        <w:t>inter</w:t>
      </w:r>
      <w:r w:rsidR="00D3166F">
        <w:rPr>
          <w:lang w:val="en-US"/>
        </w:rPr>
        <w:t xml:space="preserve">action </w:t>
      </w:r>
      <w:r w:rsidR="00BE023E">
        <w:rPr>
          <w:lang w:val="en-US"/>
        </w:rPr>
        <w:t>between</w:t>
      </w:r>
      <w:r w:rsidR="00D3166F">
        <w:rPr>
          <w:lang w:val="en-US"/>
        </w:rPr>
        <w:t xml:space="preserve"> PLMN and NPN. </w:t>
      </w:r>
      <w:r w:rsidR="00F727EB">
        <w:rPr>
          <w:lang w:val="en-US"/>
        </w:rPr>
        <w:t xml:space="preserve"> </w:t>
      </w:r>
    </w:p>
    <w:p w14:paraId="44DA9ADE" w14:textId="27C5D0D8" w:rsidR="00F727EB" w:rsidRDefault="00F727EB" w:rsidP="0055362A">
      <w:pPr>
        <w:rPr>
          <w:lang w:val="en-US"/>
        </w:rPr>
      </w:pPr>
      <w:r>
        <w:rPr>
          <w:lang w:val="en-US"/>
        </w:rPr>
        <w:t xml:space="preserve">SA2 has completed </w:t>
      </w:r>
      <w:r w:rsidR="00045708">
        <w:rPr>
          <w:lang w:val="en-US"/>
        </w:rPr>
        <w:t>the NPN enhancement</w:t>
      </w:r>
      <w:r>
        <w:rPr>
          <w:lang w:val="en-US"/>
        </w:rPr>
        <w:t xml:space="preserve"> study </w:t>
      </w:r>
      <w:r w:rsidR="000C7337">
        <w:rPr>
          <w:lang w:val="en-US"/>
        </w:rPr>
        <w:t xml:space="preserve">in TR 23.700-07 </w:t>
      </w:r>
      <w:r w:rsidR="00C1773C">
        <w:rPr>
          <w:lang w:val="en-US"/>
        </w:rPr>
        <w:t>[1]</w:t>
      </w:r>
      <w:r w:rsidR="00144695">
        <w:rPr>
          <w:lang w:val="en-US"/>
        </w:rPr>
        <w:t>,</w:t>
      </w:r>
      <w:r w:rsidR="00C1773C">
        <w:rPr>
          <w:lang w:val="en-US"/>
        </w:rPr>
        <w:t xml:space="preserve"> </w:t>
      </w:r>
      <w:r w:rsidR="00045708">
        <w:rPr>
          <w:lang w:val="en-US"/>
        </w:rPr>
        <w:t>which</w:t>
      </w:r>
      <w:r w:rsidR="008A1318">
        <w:rPr>
          <w:lang w:val="en-US"/>
        </w:rPr>
        <w:t xml:space="preserve"> tries to</w:t>
      </w:r>
      <w:r w:rsidR="00045708">
        <w:rPr>
          <w:lang w:val="en-US"/>
        </w:rPr>
        <w:t xml:space="preserve"> fulfill the stage 1 requirement</w:t>
      </w:r>
      <w:r w:rsidR="00FC00FB">
        <w:rPr>
          <w:lang w:val="en-US"/>
        </w:rPr>
        <w:t xml:space="preserve"> in TS 22.261 [2]</w:t>
      </w:r>
      <w:r w:rsidR="00321EC6">
        <w:rPr>
          <w:lang w:val="en-US"/>
        </w:rPr>
        <w:t xml:space="preserve"> for 5GS NPN supports. </w:t>
      </w:r>
      <w:r w:rsidR="00FE08CB">
        <w:rPr>
          <w:lang w:val="en-US"/>
        </w:rPr>
        <w:t xml:space="preserve">The study </w:t>
      </w:r>
      <w:r w:rsidR="00144695">
        <w:rPr>
          <w:lang w:val="en-US"/>
        </w:rPr>
        <w:t>focused</w:t>
      </w:r>
      <w:r w:rsidR="00FE08CB">
        <w:rPr>
          <w:lang w:val="en-US"/>
        </w:rPr>
        <w:t xml:space="preserve"> on</w:t>
      </w:r>
      <w:r w:rsidR="00300BA7">
        <w:rPr>
          <w:lang w:val="en-US"/>
        </w:rPr>
        <w:t xml:space="preserve"> different 5GS deployment </w:t>
      </w:r>
      <w:r w:rsidR="00E6539D">
        <w:rPr>
          <w:lang w:val="en-US"/>
        </w:rPr>
        <w:t>scenarios and</w:t>
      </w:r>
      <w:r w:rsidR="00752B73">
        <w:rPr>
          <w:lang w:val="en-US"/>
        </w:rPr>
        <w:t xml:space="preserve"> </w:t>
      </w:r>
      <w:r w:rsidR="006119B8">
        <w:rPr>
          <w:lang w:val="en-US"/>
        </w:rPr>
        <w:t>investigated</w:t>
      </w:r>
      <w:r w:rsidR="00FE08CB">
        <w:rPr>
          <w:lang w:val="en-US"/>
        </w:rPr>
        <w:t xml:space="preserve"> </w:t>
      </w:r>
      <w:r w:rsidR="00300BA7">
        <w:rPr>
          <w:lang w:val="en-US"/>
        </w:rPr>
        <w:t>interactions between SNP</w:t>
      </w:r>
      <w:r w:rsidR="00AE3565">
        <w:rPr>
          <w:lang w:val="en-US"/>
        </w:rPr>
        <w:t>N</w:t>
      </w:r>
      <w:r w:rsidR="00300BA7">
        <w:rPr>
          <w:lang w:val="en-US"/>
        </w:rPr>
        <w:t xml:space="preserve"> and PLMN</w:t>
      </w:r>
      <w:r w:rsidR="00144695">
        <w:rPr>
          <w:lang w:val="en-US"/>
        </w:rPr>
        <w:t>,</w:t>
      </w:r>
      <w:r w:rsidR="006119B8">
        <w:rPr>
          <w:lang w:val="en-US"/>
        </w:rPr>
        <w:t xml:space="preserve"> such as </w:t>
      </w:r>
      <w:r w:rsidR="00AE3565">
        <w:rPr>
          <w:lang w:val="en-US"/>
        </w:rPr>
        <w:t>RAN sharing</w:t>
      </w:r>
      <w:r w:rsidR="00F10F13">
        <w:rPr>
          <w:lang w:val="en-US"/>
        </w:rPr>
        <w:t xml:space="preserve"> </w:t>
      </w:r>
      <w:r w:rsidR="00752B73">
        <w:rPr>
          <w:lang w:val="en-US"/>
        </w:rPr>
        <w:t xml:space="preserve">and </w:t>
      </w:r>
      <w:r w:rsidR="006353CD">
        <w:rPr>
          <w:lang w:val="en-US"/>
        </w:rPr>
        <w:t>media</w:t>
      </w:r>
      <w:r w:rsidR="00F10F13">
        <w:rPr>
          <w:lang w:val="en-US"/>
        </w:rPr>
        <w:t xml:space="preserve"> services continuity</w:t>
      </w:r>
      <w:r w:rsidR="00F777B7">
        <w:rPr>
          <w:lang w:val="en-US"/>
        </w:rPr>
        <w:t xml:space="preserve"> (VIAPA TS 22.263 [3]).</w:t>
      </w:r>
    </w:p>
    <w:p w14:paraId="7529D0D0" w14:textId="10EAB61E" w:rsidR="001F42C8" w:rsidRDefault="00144695" w:rsidP="0055362A">
      <w:pPr>
        <w:rPr>
          <w:lang w:val="en-US"/>
        </w:rPr>
      </w:pPr>
      <w:r>
        <w:rPr>
          <w:lang w:val="en-US"/>
        </w:rPr>
        <w:t>This discussion focuses on identifying</w:t>
      </w:r>
      <w:r w:rsidR="0014285E">
        <w:rPr>
          <w:lang w:val="en-US"/>
        </w:rPr>
        <w:t xml:space="preserve"> networking</w:t>
      </w:r>
      <w:r w:rsidR="006C41AB">
        <w:rPr>
          <w:lang w:val="en-US"/>
        </w:rPr>
        <w:t xml:space="preserve"> </w:t>
      </w:r>
      <w:r>
        <w:rPr>
          <w:lang w:val="en-US"/>
        </w:rPr>
        <w:t xml:space="preserve">scenarios </w:t>
      </w:r>
      <w:r w:rsidR="00952043">
        <w:rPr>
          <w:lang w:val="en-US"/>
        </w:rPr>
        <w:t xml:space="preserve">to establish a </w:t>
      </w:r>
      <w:r w:rsidR="007D563B">
        <w:rPr>
          <w:lang w:val="en-US"/>
        </w:rPr>
        <w:t xml:space="preserve">WebRTC </w:t>
      </w:r>
      <w:r w:rsidR="006C41AB">
        <w:rPr>
          <w:lang w:val="en-US"/>
        </w:rPr>
        <w:t>signaling path</w:t>
      </w:r>
      <w:r w:rsidR="007D563B">
        <w:rPr>
          <w:lang w:val="en-US"/>
        </w:rPr>
        <w:t xml:space="preserve"> whe</w:t>
      </w:r>
      <w:r w:rsidR="002B3812">
        <w:rPr>
          <w:lang w:val="en-US"/>
        </w:rPr>
        <w:t xml:space="preserve">re </w:t>
      </w:r>
      <w:r w:rsidR="0022167F">
        <w:rPr>
          <w:lang w:val="en-US"/>
        </w:rPr>
        <w:t>the heterogenous</w:t>
      </w:r>
      <w:r w:rsidR="002B3812">
        <w:rPr>
          <w:lang w:val="en-US"/>
        </w:rPr>
        <w:t xml:space="preserve"> 5G network </w:t>
      </w:r>
      <w:r w:rsidR="0022167F">
        <w:rPr>
          <w:lang w:val="en-US"/>
        </w:rPr>
        <w:t xml:space="preserve">is involved. </w:t>
      </w:r>
      <w:r w:rsidR="007D563B">
        <w:rPr>
          <w:lang w:val="en-US"/>
        </w:rPr>
        <w:t xml:space="preserve"> </w:t>
      </w:r>
    </w:p>
    <w:p w14:paraId="799ADEA3" w14:textId="2A19684F" w:rsidR="00E277CF" w:rsidRDefault="00ED21F1" w:rsidP="001F42C8">
      <w:pPr>
        <w:pStyle w:val="Heading1"/>
        <w:numPr>
          <w:ilvl w:val="0"/>
          <w:numId w:val="8"/>
        </w:numPr>
      </w:pPr>
      <w:r>
        <w:t>Deployment scenarios</w:t>
      </w:r>
    </w:p>
    <w:p w14:paraId="183C6BBC" w14:textId="264E464A" w:rsidR="00280068" w:rsidRPr="00280068" w:rsidRDefault="00B92D6B" w:rsidP="00280068">
      <w:pPr>
        <w:rPr>
          <w:lang w:val="en-US"/>
        </w:rPr>
      </w:pPr>
      <w:r>
        <w:rPr>
          <w:lang w:val="en-US"/>
        </w:rPr>
        <w:t>A</w:t>
      </w:r>
      <w:r w:rsidR="00280068">
        <w:rPr>
          <w:lang w:val="en-US"/>
        </w:rPr>
        <w:t xml:space="preserve"> WebRTC </w:t>
      </w:r>
      <w:r w:rsidR="00A345C9">
        <w:rPr>
          <w:lang w:val="en-US"/>
        </w:rPr>
        <w:t>client may reside in a PLMN</w:t>
      </w:r>
      <w:r>
        <w:rPr>
          <w:lang w:val="en-US"/>
        </w:rPr>
        <w:t xml:space="preserve"> or a NPN (SNPN and PNI-NPN). </w:t>
      </w:r>
      <w:r w:rsidR="001706F9">
        <w:rPr>
          <w:lang w:val="en-US"/>
        </w:rPr>
        <w:t xml:space="preserve">The </w:t>
      </w:r>
      <w:r w:rsidR="007226BC">
        <w:rPr>
          <w:lang w:val="en-US"/>
        </w:rPr>
        <w:t>signaling</w:t>
      </w:r>
      <w:r w:rsidR="001706F9">
        <w:rPr>
          <w:lang w:val="en-US"/>
        </w:rPr>
        <w:t xml:space="preserve"> plane may need to traverse </w:t>
      </w:r>
      <w:r w:rsidR="00B40939">
        <w:rPr>
          <w:lang w:val="en-US"/>
        </w:rPr>
        <w:t>heterogeneous</w:t>
      </w:r>
      <w:r w:rsidR="007226BC">
        <w:rPr>
          <w:lang w:val="en-US"/>
        </w:rPr>
        <w:t xml:space="preserve"> 5G networks to be able to establish </w:t>
      </w:r>
      <w:r w:rsidR="00B40939">
        <w:rPr>
          <w:lang w:val="en-US"/>
        </w:rPr>
        <w:t xml:space="preserve">transport connections. </w:t>
      </w:r>
    </w:p>
    <w:p w14:paraId="5555836E" w14:textId="4E1DAC2B" w:rsidR="00DA10CE" w:rsidRDefault="00573DCF" w:rsidP="0055362A">
      <w:pPr>
        <w:rPr>
          <w:lang w:val="en-US"/>
        </w:rPr>
      </w:pPr>
      <w:r>
        <w:rPr>
          <w:lang w:val="en-US"/>
        </w:rPr>
        <w:t xml:space="preserve">We have identified the following </w:t>
      </w:r>
      <w:r w:rsidR="00B40939">
        <w:rPr>
          <w:lang w:val="en-US"/>
        </w:rPr>
        <w:t xml:space="preserve">deployment scenarios: </w:t>
      </w:r>
    </w:p>
    <w:p w14:paraId="6362BFE4" w14:textId="558856CE" w:rsidR="00B40939" w:rsidRDefault="00B40939" w:rsidP="0055362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4"/>
        <w:gridCol w:w="3171"/>
        <w:gridCol w:w="3426"/>
      </w:tblGrid>
      <w:tr w:rsidR="007641E3" w14:paraId="2364376E" w14:textId="77777777" w:rsidTr="00B62E05">
        <w:tc>
          <w:tcPr>
            <w:tcW w:w="3227" w:type="dxa"/>
            <w:vAlign w:val="center"/>
          </w:tcPr>
          <w:p w14:paraId="07CC4916" w14:textId="542A3A6B" w:rsidR="00B40939" w:rsidRDefault="00884AA0" w:rsidP="00B62E05">
            <w:pPr>
              <w:rPr>
                <w:lang w:val="en-US"/>
              </w:rPr>
            </w:pPr>
            <w:r>
              <w:rPr>
                <w:lang w:val="en-US"/>
              </w:rPr>
              <w:t xml:space="preserve">Scenario 1: </w:t>
            </w:r>
            <w:r w:rsidR="00B62E05">
              <w:rPr>
                <w:lang w:val="en-US"/>
              </w:rPr>
              <w:t>WebRTC clients reside in the same PLMN</w:t>
            </w:r>
          </w:p>
        </w:tc>
        <w:tc>
          <w:tcPr>
            <w:tcW w:w="3227" w:type="dxa"/>
            <w:vAlign w:val="center"/>
          </w:tcPr>
          <w:p w14:paraId="431C7688" w14:textId="17CAB065" w:rsidR="00B40939" w:rsidRDefault="00884AA0" w:rsidP="00B62E05">
            <w:pPr>
              <w:rPr>
                <w:lang w:val="en-US"/>
              </w:rPr>
            </w:pPr>
            <w:r>
              <w:rPr>
                <w:lang w:val="en-US"/>
              </w:rPr>
              <w:t xml:space="preserve">Scenario 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>:</w:t>
            </w:r>
            <w:r w:rsidR="00B62E05">
              <w:rPr>
                <w:lang w:val="en-US"/>
              </w:rPr>
              <w:t xml:space="preserve"> </w:t>
            </w:r>
            <w:r w:rsidR="00B62E05">
              <w:rPr>
                <w:lang w:val="en-US"/>
              </w:rPr>
              <w:t xml:space="preserve">WebRTC clients reside in the same </w:t>
            </w:r>
            <w:r w:rsidR="00B62E05">
              <w:rPr>
                <w:lang w:val="en-US"/>
              </w:rPr>
              <w:t>NPN</w:t>
            </w:r>
          </w:p>
        </w:tc>
        <w:tc>
          <w:tcPr>
            <w:tcW w:w="3227" w:type="dxa"/>
            <w:vAlign w:val="center"/>
          </w:tcPr>
          <w:p w14:paraId="35FC1952" w14:textId="0B970FF5" w:rsidR="00B40939" w:rsidRDefault="00884AA0" w:rsidP="00B62E05">
            <w:pPr>
              <w:rPr>
                <w:lang w:val="en-US"/>
              </w:rPr>
            </w:pPr>
            <w:r>
              <w:rPr>
                <w:lang w:val="en-US"/>
              </w:rPr>
              <w:t xml:space="preserve">Scenario 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:</w:t>
            </w:r>
            <w:r w:rsidR="00B62E05">
              <w:rPr>
                <w:lang w:val="en-US"/>
              </w:rPr>
              <w:t xml:space="preserve"> WebRTC clients reside in different 5G </w:t>
            </w:r>
            <w:r w:rsidR="002C6858">
              <w:rPr>
                <w:lang w:val="en-US"/>
              </w:rPr>
              <w:t>deployments</w:t>
            </w:r>
            <w:r w:rsidR="002516AA">
              <w:rPr>
                <w:lang w:val="en-US"/>
              </w:rPr>
              <w:t xml:space="preserve">. </w:t>
            </w:r>
          </w:p>
        </w:tc>
      </w:tr>
      <w:tr w:rsidR="007641E3" w14:paraId="6A81DB3C" w14:textId="77777777" w:rsidTr="007641E3">
        <w:tc>
          <w:tcPr>
            <w:tcW w:w="3227" w:type="dxa"/>
            <w:vAlign w:val="center"/>
          </w:tcPr>
          <w:p w14:paraId="56AF4C3A" w14:textId="2FD7CBC7" w:rsidR="00B40939" w:rsidRDefault="007641E3" w:rsidP="007641E3">
            <w:pPr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4FE2D8C" wp14:editId="45D7B4DA">
                  <wp:extent cx="1798064" cy="829512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504" cy="8403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7" w:type="dxa"/>
            <w:vAlign w:val="center"/>
          </w:tcPr>
          <w:p w14:paraId="1E0C4209" w14:textId="6FDF4FB9" w:rsidR="00B40939" w:rsidRDefault="007641E3" w:rsidP="007641E3">
            <w:pPr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A3954E1" wp14:editId="529F3C7C">
                  <wp:extent cx="1861841" cy="858935"/>
                  <wp:effectExtent l="0" t="0" r="508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694" cy="861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7" w:type="dxa"/>
            <w:vAlign w:val="center"/>
          </w:tcPr>
          <w:p w14:paraId="574E1B80" w14:textId="509542D9" w:rsidR="00B40939" w:rsidRDefault="007641E3" w:rsidP="007641E3">
            <w:pPr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293D37A" wp14:editId="2FCD6533">
                  <wp:extent cx="2035810" cy="966426"/>
                  <wp:effectExtent l="0" t="0" r="2540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257" cy="9775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76EEBB" w14:textId="70580ABB" w:rsidR="00B40939" w:rsidRDefault="00B40939" w:rsidP="0055362A">
      <w:pPr>
        <w:rPr>
          <w:lang w:val="en-US"/>
        </w:rPr>
      </w:pPr>
    </w:p>
    <w:p w14:paraId="43F29D1E" w14:textId="24938AA3" w:rsidR="00B34B20" w:rsidRDefault="00586B93" w:rsidP="00586B93">
      <w:pPr>
        <w:rPr>
          <w:lang w:val="en-US"/>
        </w:rPr>
      </w:pPr>
      <w:r>
        <w:rPr>
          <w:lang w:val="en-US"/>
        </w:rPr>
        <w:t xml:space="preserve">In </w:t>
      </w:r>
      <w:r w:rsidR="00B34B20">
        <w:rPr>
          <w:lang w:val="en-US"/>
        </w:rPr>
        <w:t>scenario 1</w:t>
      </w:r>
      <w:r>
        <w:rPr>
          <w:lang w:val="en-US"/>
        </w:rPr>
        <w:t xml:space="preserve">, </w:t>
      </w:r>
      <w:r w:rsidR="00B34B20">
        <w:rPr>
          <w:lang w:val="en-US"/>
        </w:rPr>
        <w:t>WebRTC clients reside in the same PLMN</w:t>
      </w:r>
      <w:r>
        <w:rPr>
          <w:lang w:val="en-US"/>
        </w:rPr>
        <w:t xml:space="preserve">. </w:t>
      </w:r>
      <w:r w:rsidR="004475C2">
        <w:rPr>
          <w:lang w:val="en-US"/>
        </w:rPr>
        <w:t xml:space="preserve">Those clients might use the same </w:t>
      </w:r>
      <w:r w:rsidR="002713F3">
        <w:rPr>
          <w:lang w:val="en-US"/>
        </w:rPr>
        <w:t>signaling</w:t>
      </w:r>
      <w:r w:rsidR="004475C2">
        <w:rPr>
          <w:lang w:val="en-US"/>
        </w:rPr>
        <w:t xml:space="preserve"> function provided by the PLMN to establish Peer-to-Peer connections. In </w:t>
      </w:r>
      <w:r w:rsidR="002713F3">
        <w:rPr>
          <w:lang w:val="en-US"/>
        </w:rPr>
        <w:t>scenario</w:t>
      </w:r>
      <w:r w:rsidR="00B34B20">
        <w:rPr>
          <w:lang w:val="en-US"/>
        </w:rPr>
        <w:t xml:space="preserve"> 2</w:t>
      </w:r>
      <w:r w:rsidR="004475C2">
        <w:rPr>
          <w:lang w:val="en-US"/>
        </w:rPr>
        <w:t>,</w:t>
      </w:r>
      <w:r w:rsidR="00B34B20">
        <w:rPr>
          <w:lang w:val="en-US"/>
        </w:rPr>
        <w:t xml:space="preserve"> WebRTC clients reside in the same NP</w:t>
      </w:r>
      <w:r w:rsidR="004409AC">
        <w:rPr>
          <w:lang w:val="en-US"/>
        </w:rPr>
        <w:t>N</w:t>
      </w:r>
      <w:r w:rsidR="00952043">
        <w:rPr>
          <w:lang w:val="en-US"/>
        </w:rPr>
        <w:t>. Therefore</w:t>
      </w:r>
      <w:r w:rsidR="002713F3">
        <w:rPr>
          <w:lang w:val="en-US"/>
        </w:rPr>
        <w:t xml:space="preserve"> connection may be established by the signaling function provided in the same NPN. In </w:t>
      </w:r>
      <w:r w:rsidR="00B34B20">
        <w:rPr>
          <w:lang w:val="en-US"/>
        </w:rPr>
        <w:t>scenario 3</w:t>
      </w:r>
      <w:r w:rsidR="002713F3">
        <w:rPr>
          <w:lang w:val="en-US"/>
        </w:rPr>
        <w:t xml:space="preserve">, </w:t>
      </w:r>
      <w:r w:rsidR="004409AC">
        <w:rPr>
          <w:lang w:val="en-US"/>
        </w:rPr>
        <w:t>WebRTC clients reside in different 5G deployments: some in an NPN and others in a PLMN.</w:t>
      </w:r>
      <w:r w:rsidR="002713F3">
        <w:rPr>
          <w:lang w:val="en-US"/>
        </w:rPr>
        <w:t xml:space="preserve"> Inter-communications between NPN(s) and PLMN(s) </w:t>
      </w:r>
      <w:r w:rsidR="00055214">
        <w:rPr>
          <w:lang w:val="en-US"/>
        </w:rPr>
        <w:t>may be</w:t>
      </w:r>
      <w:r w:rsidR="002713F3">
        <w:rPr>
          <w:lang w:val="en-US"/>
        </w:rPr>
        <w:t xml:space="preserve"> necessary </w:t>
      </w:r>
      <w:r w:rsidR="00F82D54">
        <w:rPr>
          <w:lang w:val="en-US"/>
        </w:rPr>
        <w:t>to</w:t>
      </w:r>
      <w:r w:rsidR="002713F3">
        <w:rPr>
          <w:lang w:val="en-US"/>
        </w:rPr>
        <w:t xml:space="preserve"> establish the connections. </w:t>
      </w:r>
    </w:p>
    <w:bookmarkEnd w:id="0"/>
    <w:p w14:paraId="2FC06B12" w14:textId="57AAC390" w:rsidR="0055362A" w:rsidRDefault="00586B93" w:rsidP="0055362A">
      <w:r>
        <w:lastRenderedPageBreak/>
        <w:t>Therefore, it is necessary to study the following:</w:t>
      </w:r>
    </w:p>
    <w:p w14:paraId="20D21EA7" w14:textId="7B06419D" w:rsidR="006D579D" w:rsidRDefault="006D579D" w:rsidP="00586B93">
      <w:pPr>
        <w:pStyle w:val="ListParagraph"/>
        <w:numPr>
          <w:ilvl w:val="0"/>
          <w:numId w:val="11"/>
        </w:numPr>
      </w:pPr>
      <w:r>
        <w:t xml:space="preserve">Whether and how different 5G deployment may have </w:t>
      </w:r>
      <w:r w:rsidR="006D650B">
        <w:t>an</w:t>
      </w:r>
      <w:r>
        <w:t xml:space="preserve"> </w:t>
      </w:r>
      <w:r w:rsidR="006D650B">
        <w:t>effect</w:t>
      </w:r>
      <w:r>
        <w:t xml:space="preserve"> to establish </w:t>
      </w:r>
      <w:r w:rsidR="005B0A80">
        <w:t xml:space="preserve">a </w:t>
      </w:r>
      <w:r>
        <w:t xml:space="preserve">WebRTC control plane. </w:t>
      </w:r>
    </w:p>
    <w:p w14:paraId="4D1D418E" w14:textId="7D66461B" w:rsidR="00586B93" w:rsidRDefault="00615BAB" w:rsidP="00586B93">
      <w:pPr>
        <w:pStyle w:val="ListParagraph"/>
        <w:numPr>
          <w:ilvl w:val="0"/>
          <w:numId w:val="11"/>
        </w:numPr>
      </w:pPr>
      <w:r>
        <w:t xml:space="preserve">Identify the API and parameters necessary to enable </w:t>
      </w:r>
      <w:r w:rsidR="00ED52CD">
        <w:t xml:space="preserve">the </w:t>
      </w:r>
      <w:r w:rsidR="00E8641F">
        <w:t>WebRTC</w:t>
      </w:r>
      <w:r w:rsidR="009D7E0C">
        <w:t xml:space="preserve"> </w:t>
      </w:r>
      <w:r w:rsidR="003B00EC">
        <w:t>control</w:t>
      </w:r>
      <w:r w:rsidR="009D7E0C">
        <w:t xml:space="preserve"> </w:t>
      </w:r>
      <w:r w:rsidR="00150885">
        <w:t xml:space="preserve">plane </w:t>
      </w:r>
      <w:r w:rsidR="009D7E0C">
        <w:t>among various 5G network deployment</w:t>
      </w:r>
    </w:p>
    <w:p w14:paraId="1A460373" w14:textId="2247AAA6" w:rsidR="0055362A" w:rsidRDefault="0055362A" w:rsidP="004C6BF4">
      <w:pPr>
        <w:pStyle w:val="Heading1"/>
        <w:numPr>
          <w:ilvl w:val="0"/>
          <w:numId w:val="8"/>
        </w:numPr>
      </w:pPr>
      <w:r>
        <w:t>Proposal</w:t>
      </w:r>
    </w:p>
    <w:p w14:paraId="0AFF03C9" w14:textId="36A70FEA" w:rsidR="0055362A" w:rsidRDefault="0055362A" w:rsidP="0055362A">
      <w:pPr>
        <w:rPr>
          <w:lang w:val="en-US"/>
        </w:rPr>
      </w:pPr>
      <w:r>
        <w:rPr>
          <w:lang w:val="en-US"/>
        </w:rPr>
        <w:t xml:space="preserve">We propose to agree and document the proposal in clause 2 </w:t>
      </w:r>
      <w:r w:rsidR="006F51D5">
        <w:rPr>
          <w:lang w:val="en-US"/>
        </w:rPr>
        <w:t>and to</w:t>
      </w:r>
      <w:r w:rsidR="00375010">
        <w:rPr>
          <w:lang w:val="en-US"/>
        </w:rPr>
        <w:t xml:space="preserve"> continue the study </w:t>
      </w:r>
      <w:r w:rsidR="003F727C">
        <w:rPr>
          <w:lang w:val="en-US"/>
        </w:rPr>
        <w:t xml:space="preserve">of </w:t>
      </w:r>
      <w:r w:rsidR="00375010">
        <w:rPr>
          <w:lang w:val="en-US"/>
        </w:rPr>
        <w:t xml:space="preserve">WebRTC control plane establishment in </w:t>
      </w:r>
      <w:r w:rsidR="003D3223">
        <w:rPr>
          <w:lang w:val="en-US"/>
        </w:rPr>
        <w:t xml:space="preserve">a </w:t>
      </w:r>
      <w:r w:rsidR="00375010">
        <w:rPr>
          <w:lang w:val="en-US"/>
        </w:rPr>
        <w:t>heterogenous 5G network</w:t>
      </w:r>
      <w:r w:rsidR="00375010">
        <w:rPr>
          <w:lang w:val="en-US"/>
        </w:rPr>
        <w:t xml:space="preserve"> environment. </w:t>
      </w:r>
    </w:p>
    <w:p w14:paraId="0557742D" w14:textId="77777777" w:rsidR="00735B7A" w:rsidRDefault="00735B7A" w:rsidP="00735B7A">
      <w:pPr>
        <w:pStyle w:val="Heading1"/>
      </w:pPr>
    </w:p>
    <w:p w14:paraId="7440E18D" w14:textId="7B624E01" w:rsidR="0055362A" w:rsidRDefault="0055362A" w:rsidP="00735B7A">
      <w:pPr>
        <w:pStyle w:val="Heading1"/>
      </w:pPr>
      <w:r>
        <w:t>References</w:t>
      </w:r>
    </w:p>
    <w:p w14:paraId="10C7CC2E" w14:textId="11FD8F90" w:rsidR="0055362A" w:rsidRDefault="0055362A" w:rsidP="003928CB">
      <w:pPr>
        <w:rPr>
          <w:lang w:val="en-US"/>
        </w:rPr>
      </w:pPr>
      <w:r>
        <w:rPr>
          <w:lang w:val="en-US"/>
        </w:rPr>
        <w:t>[1]</w:t>
      </w:r>
      <w:r w:rsidR="00735B7A">
        <w:rPr>
          <w:lang w:val="en-US"/>
        </w:rPr>
        <w:t xml:space="preserve"> </w:t>
      </w:r>
      <w:r w:rsidR="00735B7A">
        <w:rPr>
          <w:lang w:val="en-US"/>
        </w:rPr>
        <w:t>TR 23.700-07</w:t>
      </w:r>
      <w:r w:rsidR="003928CB">
        <w:rPr>
          <w:lang w:val="en-US"/>
        </w:rPr>
        <w:t xml:space="preserve">, </w:t>
      </w:r>
      <w:r w:rsidR="003928CB" w:rsidRPr="003928CB">
        <w:rPr>
          <w:lang w:val="en-US"/>
        </w:rPr>
        <w:t>Study on enhanced support of Non-Public Networks (NPN)</w:t>
      </w:r>
      <w:r w:rsidR="003928CB">
        <w:rPr>
          <w:lang w:val="en-US"/>
        </w:rPr>
        <w:t xml:space="preserve"> </w:t>
      </w:r>
      <w:r w:rsidR="003928CB" w:rsidRPr="003928CB">
        <w:rPr>
          <w:lang w:val="en-US"/>
        </w:rPr>
        <w:t>(Release 17)</w:t>
      </w:r>
    </w:p>
    <w:p w14:paraId="4A25151E" w14:textId="6076892F" w:rsidR="00735B7A" w:rsidRDefault="00735B7A" w:rsidP="00FB78B8">
      <w:pPr>
        <w:rPr>
          <w:lang w:val="en-US"/>
        </w:rPr>
      </w:pPr>
      <w:r>
        <w:rPr>
          <w:lang w:val="en-US"/>
        </w:rPr>
        <w:t xml:space="preserve">[2] </w:t>
      </w:r>
      <w:r>
        <w:rPr>
          <w:lang w:val="en-US"/>
        </w:rPr>
        <w:t>TS 22.261</w:t>
      </w:r>
      <w:r w:rsidR="00FB78B8">
        <w:rPr>
          <w:lang w:val="en-US"/>
        </w:rPr>
        <w:t xml:space="preserve">, </w:t>
      </w:r>
      <w:r w:rsidR="00FB78B8" w:rsidRPr="00FB78B8">
        <w:rPr>
          <w:lang w:val="en-US"/>
        </w:rPr>
        <w:t>Service requirements for the 5G system;</w:t>
      </w:r>
      <w:r w:rsidR="00FB78B8">
        <w:rPr>
          <w:lang w:val="en-US"/>
        </w:rPr>
        <w:t xml:space="preserve"> </w:t>
      </w:r>
      <w:r w:rsidR="00FB78B8" w:rsidRPr="00FB78B8">
        <w:rPr>
          <w:lang w:val="en-US"/>
        </w:rPr>
        <w:t>Stage 1</w:t>
      </w:r>
      <w:r w:rsidR="00FB78B8">
        <w:rPr>
          <w:lang w:val="en-US"/>
        </w:rPr>
        <w:t xml:space="preserve"> (Release 18)</w:t>
      </w:r>
    </w:p>
    <w:p w14:paraId="246113E1" w14:textId="621A335A" w:rsidR="0055362A" w:rsidRPr="0055362A" w:rsidRDefault="00735B7A" w:rsidP="008A49F6">
      <w:pPr>
        <w:rPr>
          <w:lang w:val="en-US"/>
        </w:rPr>
      </w:pPr>
      <w:r>
        <w:rPr>
          <w:lang w:val="en-US"/>
        </w:rPr>
        <w:t xml:space="preserve">[3] </w:t>
      </w:r>
      <w:r w:rsidR="00E5653E">
        <w:rPr>
          <w:lang w:val="en-US"/>
        </w:rPr>
        <w:t>TS 22.263</w:t>
      </w:r>
      <w:r w:rsidR="00FB78B8">
        <w:rPr>
          <w:lang w:val="en-US"/>
        </w:rPr>
        <w:t xml:space="preserve">, </w:t>
      </w:r>
      <w:r w:rsidR="008D4EEB" w:rsidRPr="008D4EEB">
        <w:rPr>
          <w:lang w:val="en-US"/>
        </w:rPr>
        <w:t>Service requirements for video, imaging</w:t>
      </w:r>
      <w:r w:rsidR="00D72CB7">
        <w:rPr>
          <w:lang w:val="en-US"/>
        </w:rPr>
        <w:t>,</w:t>
      </w:r>
      <w:r w:rsidR="008D4EEB" w:rsidRPr="008D4EEB">
        <w:rPr>
          <w:lang w:val="en-US"/>
        </w:rPr>
        <w:t xml:space="preserve"> and audio for professional applications (VIAPA)</w:t>
      </w:r>
      <w:r w:rsidR="008D4EEB">
        <w:rPr>
          <w:lang w:val="en-US"/>
        </w:rPr>
        <w:t xml:space="preserve">; </w:t>
      </w:r>
      <w:r w:rsidR="008D4EEB" w:rsidRPr="008D4EEB">
        <w:rPr>
          <w:lang w:val="en-US"/>
        </w:rPr>
        <w:t>Stage 1</w:t>
      </w:r>
      <w:r w:rsidR="008D4EEB">
        <w:rPr>
          <w:lang w:val="en-US"/>
        </w:rPr>
        <w:t>, (Release 17)</w:t>
      </w:r>
    </w:p>
    <w:sectPr w:rsidR="0055362A" w:rsidRPr="0055362A" w:rsidSect="00E72D76">
      <w:headerReference w:type="even" r:id="rId10"/>
      <w:headerReference w:type="default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E0D7" w14:textId="77777777" w:rsidR="00C759DD" w:rsidRDefault="00C759DD" w:rsidP="00C759DD">
      <w:pPr>
        <w:spacing w:after="0"/>
      </w:pPr>
      <w:r>
        <w:separator/>
      </w:r>
    </w:p>
  </w:endnote>
  <w:endnote w:type="continuationSeparator" w:id="0">
    <w:p w14:paraId="09CAC500" w14:textId="77777777" w:rsidR="00C759DD" w:rsidRDefault="00C759DD" w:rsidP="00C759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9DA9" w14:textId="77777777" w:rsidR="008075BF" w:rsidRDefault="006F51D5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25C1F" w14:textId="77777777" w:rsidR="00C759DD" w:rsidRDefault="00C759DD" w:rsidP="00C759DD">
      <w:pPr>
        <w:spacing w:after="0"/>
      </w:pPr>
      <w:r>
        <w:separator/>
      </w:r>
    </w:p>
  </w:footnote>
  <w:footnote w:type="continuationSeparator" w:id="0">
    <w:p w14:paraId="24BE851E" w14:textId="77777777" w:rsidR="00C759DD" w:rsidRDefault="00C759DD" w:rsidP="00C759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E1964" w14:textId="77777777" w:rsidR="008075BF" w:rsidRDefault="006F51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4C357" w14:textId="36D0C059" w:rsidR="008075BF" w:rsidRPr="006C359E" w:rsidRDefault="006F51D5" w:rsidP="006C359E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6C359E">
      <w:rPr>
        <w:rFonts w:ascii="Arial" w:eastAsia="SimSun" w:hAnsi="Arial" w:cs="Arial"/>
        <w:sz w:val="22"/>
        <w:lang w:val="en-US"/>
      </w:rPr>
      <w:t>T</w:t>
    </w:r>
    <w:r>
      <w:rPr>
        <w:rFonts w:ascii="Arial" w:eastAsia="SimSun" w:hAnsi="Arial" w:cs="Arial"/>
        <w:sz w:val="22"/>
        <w:lang w:val="en-US"/>
      </w:rPr>
      <w:t>SG SA4</w:t>
    </w:r>
    <w:r>
      <w:rPr>
        <w:rFonts w:ascii="Arial" w:eastAsia="SimSun" w:hAnsi="Arial" w:cs="Arial"/>
        <w:sz w:val="22"/>
        <w:lang w:val="en-US"/>
      </w:rPr>
      <w:t xml:space="preserve"> </w:t>
    </w:r>
    <w:r>
      <w:rPr>
        <w:rFonts w:ascii="Arial" w:eastAsia="SimSun" w:hAnsi="Arial" w:cs="Arial"/>
        <w:sz w:val="22"/>
        <w:lang w:val="en-US"/>
      </w:rPr>
      <w:t>Meeting #11</w:t>
    </w:r>
    <w:r w:rsidR="00C759DD">
      <w:rPr>
        <w:rFonts w:ascii="Arial" w:eastAsia="SimSun" w:hAnsi="Arial" w:cs="Arial"/>
        <w:sz w:val="22"/>
        <w:lang w:val="en-US"/>
      </w:rPr>
      <w:t>9</w:t>
    </w:r>
    <w:r>
      <w:rPr>
        <w:rFonts w:ascii="Arial" w:eastAsia="SimSun" w:hAnsi="Arial" w:cs="Arial"/>
        <w:sz w:val="22"/>
        <w:lang w:val="en-US"/>
      </w:rPr>
      <w:t>-e</w:t>
    </w:r>
    <w:r w:rsidRPr="006C359E">
      <w:rPr>
        <w:rFonts w:ascii="Arial" w:eastAsia="SimSun" w:hAnsi="Arial" w:cs="Arial"/>
        <w:b/>
        <w:i/>
        <w:sz w:val="22"/>
      </w:rPr>
      <w:tab/>
    </w:r>
    <w:proofErr w:type="spellStart"/>
    <w:r w:rsidRPr="006C359E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6C359E">
      <w:rPr>
        <w:rFonts w:ascii="Arial" w:eastAsia="SimSun" w:hAnsi="Arial" w:cs="Arial"/>
        <w:b/>
        <w:i/>
        <w:sz w:val="28"/>
        <w:szCs w:val="28"/>
      </w:rPr>
      <w:t xml:space="preserve"> </w:t>
    </w:r>
    <w:r>
      <w:rPr>
        <w:rFonts w:ascii="Arial" w:eastAsia="SimSun" w:hAnsi="Arial" w:cs="Arial"/>
        <w:b/>
        <w:i/>
        <w:sz w:val="28"/>
        <w:szCs w:val="28"/>
      </w:rPr>
      <w:t>S4-22</w:t>
    </w:r>
    <w:r>
      <w:rPr>
        <w:rFonts w:ascii="Arial" w:eastAsia="SimSun" w:hAnsi="Arial" w:cs="Arial"/>
        <w:b/>
        <w:i/>
        <w:sz w:val="28"/>
        <w:szCs w:val="28"/>
      </w:rPr>
      <w:t>0</w:t>
    </w:r>
    <w:r w:rsidR="00B123AF">
      <w:rPr>
        <w:rFonts w:ascii="Arial" w:eastAsia="SimSun" w:hAnsi="Arial" w:cs="Arial"/>
        <w:b/>
        <w:i/>
        <w:sz w:val="28"/>
        <w:szCs w:val="28"/>
      </w:rPr>
      <w:t>653</w:t>
    </w:r>
  </w:p>
  <w:p w14:paraId="0FF6E1A3" w14:textId="3D57A8F3" w:rsidR="008075BF" w:rsidRPr="006C359E" w:rsidRDefault="00C759DD" w:rsidP="006C359E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11</w:t>
    </w:r>
    <w:r w:rsidR="006F51D5" w:rsidRPr="009F132A">
      <w:rPr>
        <w:rFonts w:ascii="Arial" w:eastAsia="SimSun" w:hAnsi="Arial" w:cs="Arial"/>
        <w:sz w:val="22"/>
        <w:vertAlign w:val="superscript"/>
        <w:lang w:eastAsia="zh-CN"/>
      </w:rPr>
      <w:t>th</w:t>
    </w:r>
    <w:r w:rsidR="006F51D5">
      <w:rPr>
        <w:rFonts w:ascii="Arial" w:eastAsia="SimSun" w:hAnsi="Arial" w:cs="Arial"/>
        <w:sz w:val="22"/>
        <w:lang w:eastAsia="zh-CN"/>
      </w:rPr>
      <w:t xml:space="preserve"> – </w:t>
    </w:r>
    <w:r w:rsidR="009053D2">
      <w:rPr>
        <w:rFonts w:ascii="Arial" w:eastAsia="SimSun" w:hAnsi="Arial" w:cs="Arial"/>
        <w:sz w:val="22"/>
        <w:lang w:eastAsia="zh-CN"/>
      </w:rPr>
      <w:t>20</w:t>
    </w:r>
    <w:r w:rsidR="006F51D5" w:rsidRPr="009F132A">
      <w:rPr>
        <w:rFonts w:ascii="Arial" w:eastAsia="SimSun" w:hAnsi="Arial" w:cs="Arial"/>
        <w:sz w:val="22"/>
        <w:vertAlign w:val="superscript"/>
        <w:lang w:eastAsia="zh-CN"/>
      </w:rPr>
      <w:t>th</w:t>
    </w:r>
    <w:r w:rsidR="006F51D5">
      <w:rPr>
        <w:rFonts w:ascii="Arial" w:eastAsia="SimSun" w:hAnsi="Arial" w:cs="Arial"/>
        <w:sz w:val="22"/>
        <w:lang w:eastAsia="zh-CN"/>
      </w:rPr>
      <w:t xml:space="preserve"> April </w:t>
    </w:r>
    <w:r w:rsidR="006F51D5" w:rsidRPr="006C359E">
      <w:rPr>
        <w:rFonts w:ascii="Arial" w:eastAsia="SimSun" w:hAnsi="Arial" w:cs="Arial"/>
        <w:sz w:val="22"/>
        <w:lang w:eastAsia="zh-CN"/>
      </w:rPr>
      <w:t>20</w:t>
    </w:r>
    <w:r w:rsidR="006F51D5">
      <w:rPr>
        <w:rFonts w:ascii="Arial" w:eastAsia="SimSun" w:hAnsi="Arial" w:cs="Arial"/>
        <w:sz w:val="22"/>
        <w:lang w:eastAsia="zh-CN"/>
      </w:rPr>
      <w:t>2</w:t>
    </w:r>
    <w:r w:rsidR="006F51D5">
      <w:rPr>
        <w:rFonts w:ascii="Arial" w:eastAsia="SimSun" w:hAnsi="Arial" w:cs="Arial"/>
        <w:sz w:val="22"/>
        <w:lang w:eastAsia="zh-CN"/>
      </w:rPr>
      <w:t>2</w:t>
    </w:r>
  </w:p>
  <w:p w14:paraId="0D3AD59A" w14:textId="77777777" w:rsidR="008075BF" w:rsidRDefault="006F5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721C3"/>
    <w:multiLevelType w:val="hybridMultilevel"/>
    <w:tmpl w:val="E9CE2598"/>
    <w:lvl w:ilvl="0" w:tplc="29D2DD0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A8418E"/>
    <w:multiLevelType w:val="hybridMultilevel"/>
    <w:tmpl w:val="B560C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72" w:hanging="432"/>
      </w:pPr>
    </w:lvl>
    <w:lvl w:ilvl="1">
      <w:start w:val="1"/>
      <w:numFmt w:val="decimal"/>
      <w:lvlText w:val="%1.%2"/>
      <w:lvlJc w:val="left"/>
      <w:pPr>
        <w:ind w:left="36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360" w:hanging="720"/>
      </w:pPr>
    </w:lvl>
    <w:lvl w:ilvl="3">
      <w:start w:val="1"/>
      <w:numFmt w:val="decimal"/>
      <w:lvlText w:val="%1.%2.%3.%4"/>
      <w:lvlJc w:val="left"/>
      <w:pPr>
        <w:ind w:left="504" w:hanging="864"/>
      </w:pPr>
    </w:lvl>
    <w:lvl w:ilvl="4">
      <w:start w:val="1"/>
      <w:numFmt w:val="decimal"/>
      <w:lvlText w:val="%1.%2.%3.%4.%5"/>
      <w:lvlJc w:val="left"/>
      <w:pPr>
        <w:ind w:left="648" w:hanging="1008"/>
      </w:pPr>
    </w:lvl>
    <w:lvl w:ilvl="5">
      <w:start w:val="1"/>
      <w:numFmt w:val="decimal"/>
      <w:lvlText w:val="%1.%2.%3.%4.%5.%6"/>
      <w:lvlJc w:val="left"/>
      <w:pPr>
        <w:ind w:left="792" w:hanging="1152"/>
      </w:pPr>
    </w:lvl>
    <w:lvl w:ilvl="6">
      <w:start w:val="1"/>
      <w:numFmt w:val="decimal"/>
      <w:lvlText w:val="%1.%2.%3.%4.%5.%6.%7"/>
      <w:lvlJc w:val="left"/>
      <w:pPr>
        <w:ind w:left="936" w:hanging="1296"/>
      </w:pPr>
    </w:lvl>
    <w:lvl w:ilvl="7">
      <w:start w:val="1"/>
      <w:numFmt w:val="decimal"/>
      <w:lvlText w:val="%1.%2.%3.%4.%5.%6.%7.%8"/>
      <w:lvlJc w:val="left"/>
      <w:pPr>
        <w:ind w:left="1080" w:hanging="1440"/>
      </w:pPr>
    </w:lvl>
    <w:lvl w:ilvl="8">
      <w:start w:val="1"/>
      <w:numFmt w:val="decimal"/>
      <w:lvlText w:val="%1.%2.%3.%4.%5.%6.%7.%8.%9"/>
      <w:lvlJc w:val="left"/>
      <w:pPr>
        <w:ind w:left="1224" w:hanging="1584"/>
      </w:pPr>
    </w:lvl>
  </w:abstractNum>
  <w:abstractNum w:abstractNumId="3" w15:restartNumberingAfterBreak="0">
    <w:nsid w:val="47507FF0"/>
    <w:multiLevelType w:val="hybridMultilevel"/>
    <w:tmpl w:val="9BBE2E3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55970"/>
    <w:multiLevelType w:val="hybridMultilevel"/>
    <w:tmpl w:val="BEA41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52680"/>
    <w:multiLevelType w:val="hybridMultilevel"/>
    <w:tmpl w:val="636C9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F6CB8"/>
    <w:multiLevelType w:val="hybridMultilevel"/>
    <w:tmpl w:val="5D32C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E64B7"/>
    <w:multiLevelType w:val="hybridMultilevel"/>
    <w:tmpl w:val="17A0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38FE"/>
    <w:multiLevelType w:val="hybridMultilevel"/>
    <w:tmpl w:val="6AD4E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10CAF"/>
    <w:multiLevelType w:val="hybridMultilevel"/>
    <w:tmpl w:val="9D1250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62A"/>
    <w:rsid w:val="00045708"/>
    <w:rsid w:val="00055214"/>
    <w:rsid w:val="000B4780"/>
    <w:rsid w:val="000C7337"/>
    <w:rsid w:val="001309DC"/>
    <w:rsid w:val="0014285E"/>
    <w:rsid w:val="00144695"/>
    <w:rsid w:val="00150885"/>
    <w:rsid w:val="001706F9"/>
    <w:rsid w:val="001754A8"/>
    <w:rsid w:val="001F42C8"/>
    <w:rsid w:val="0022167F"/>
    <w:rsid w:val="002516AA"/>
    <w:rsid w:val="00257849"/>
    <w:rsid w:val="002713F3"/>
    <w:rsid w:val="00280068"/>
    <w:rsid w:val="002A6BA7"/>
    <w:rsid w:val="002B3812"/>
    <w:rsid w:val="002C6858"/>
    <w:rsid w:val="002E12FF"/>
    <w:rsid w:val="00300BA7"/>
    <w:rsid w:val="00321EC6"/>
    <w:rsid w:val="00375010"/>
    <w:rsid w:val="003928CB"/>
    <w:rsid w:val="003B00EC"/>
    <w:rsid w:val="003D3223"/>
    <w:rsid w:val="003F727C"/>
    <w:rsid w:val="0043125B"/>
    <w:rsid w:val="004409AC"/>
    <w:rsid w:val="004475C2"/>
    <w:rsid w:val="004C6BF4"/>
    <w:rsid w:val="0055362A"/>
    <w:rsid w:val="00573DCF"/>
    <w:rsid w:val="00586B93"/>
    <w:rsid w:val="005B0A80"/>
    <w:rsid w:val="005F6763"/>
    <w:rsid w:val="006119B8"/>
    <w:rsid w:val="00615BAB"/>
    <w:rsid w:val="006353CD"/>
    <w:rsid w:val="006414F4"/>
    <w:rsid w:val="006A3548"/>
    <w:rsid w:val="006B0139"/>
    <w:rsid w:val="006C41AB"/>
    <w:rsid w:val="006D579D"/>
    <w:rsid w:val="006D650B"/>
    <w:rsid w:val="006F51D5"/>
    <w:rsid w:val="0071375E"/>
    <w:rsid w:val="007226BC"/>
    <w:rsid w:val="00735B7A"/>
    <w:rsid w:val="00752B73"/>
    <w:rsid w:val="007641E3"/>
    <w:rsid w:val="007D563B"/>
    <w:rsid w:val="008541CB"/>
    <w:rsid w:val="00855F12"/>
    <w:rsid w:val="00884AA0"/>
    <w:rsid w:val="008A1318"/>
    <w:rsid w:val="008A49F6"/>
    <w:rsid w:val="008B2A57"/>
    <w:rsid w:val="008D4EEB"/>
    <w:rsid w:val="008D6348"/>
    <w:rsid w:val="009053D2"/>
    <w:rsid w:val="00952043"/>
    <w:rsid w:val="009D7E0C"/>
    <w:rsid w:val="009E1253"/>
    <w:rsid w:val="00A345C9"/>
    <w:rsid w:val="00A5352B"/>
    <w:rsid w:val="00AC176D"/>
    <w:rsid w:val="00AE3565"/>
    <w:rsid w:val="00B123AF"/>
    <w:rsid w:val="00B34B20"/>
    <w:rsid w:val="00B40939"/>
    <w:rsid w:val="00B43502"/>
    <w:rsid w:val="00B55AD6"/>
    <w:rsid w:val="00B62E05"/>
    <w:rsid w:val="00B7169E"/>
    <w:rsid w:val="00B92D6B"/>
    <w:rsid w:val="00BE023E"/>
    <w:rsid w:val="00C1773C"/>
    <w:rsid w:val="00C759DD"/>
    <w:rsid w:val="00CF664E"/>
    <w:rsid w:val="00D3166F"/>
    <w:rsid w:val="00D72CB7"/>
    <w:rsid w:val="00DA10CE"/>
    <w:rsid w:val="00DE6E88"/>
    <w:rsid w:val="00DF0E81"/>
    <w:rsid w:val="00E277CF"/>
    <w:rsid w:val="00E5653E"/>
    <w:rsid w:val="00E6539D"/>
    <w:rsid w:val="00E8641F"/>
    <w:rsid w:val="00EA6316"/>
    <w:rsid w:val="00EC78A3"/>
    <w:rsid w:val="00EC7C19"/>
    <w:rsid w:val="00ED21F1"/>
    <w:rsid w:val="00ED52CD"/>
    <w:rsid w:val="00F10F13"/>
    <w:rsid w:val="00F727EB"/>
    <w:rsid w:val="00F777B7"/>
    <w:rsid w:val="00F82D54"/>
    <w:rsid w:val="00FB78B8"/>
    <w:rsid w:val="00FC00FB"/>
    <w:rsid w:val="00FE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B48C928"/>
  <w15:chartTrackingRefBased/>
  <w15:docId w15:val="{9E8CD0B8-6760-4B55-AD85-AC5B8A7D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62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9"/>
    <w:qFormat/>
    <w:rsid w:val="0055362A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S Mincho" w:hAnsi="Arial" w:cs="Times New Roman"/>
      <w:sz w:val="36"/>
      <w:szCs w:val="20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55362A"/>
    <w:pP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no break"/>
    <w:basedOn w:val="Heading2"/>
    <w:next w:val="Normal"/>
    <w:link w:val="Heading3Char"/>
    <w:qFormat/>
    <w:rsid w:val="0055362A"/>
    <w:pPr>
      <w:spacing w:before="120"/>
      <w:outlineLvl w:val="2"/>
    </w:pPr>
    <w:rPr>
      <w:b/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qFormat/>
    <w:rsid w:val="0055362A"/>
    <w:pPr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Heading4"/>
    <w:next w:val="Normal"/>
    <w:link w:val="Heading5Char"/>
    <w:qFormat/>
    <w:rsid w:val="0055362A"/>
    <w:pPr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link w:val="Heading6Char"/>
    <w:qFormat/>
    <w:rsid w:val="0055362A"/>
    <w:pPr>
      <w:keepNext/>
      <w:keepLines/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eading6"/>
    <w:next w:val="Normal"/>
    <w:link w:val="Heading7Char"/>
    <w:qFormat/>
    <w:rsid w:val="0055362A"/>
    <w:p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link w:val="Heading8Char"/>
    <w:qFormat/>
    <w:rsid w:val="0055362A"/>
    <w:p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link w:val="Heading9Char"/>
    <w:qFormat/>
    <w:rsid w:val="0055362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55362A"/>
    <w:rPr>
      <w:rFonts w:ascii="Arial" w:eastAsia="MS Mincho" w:hAnsi="Arial" w:cs="Times New Roman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55362A"/>
    <w:rPr>
      <w:rFonts w:ascii="Arial" w:eastAsia="MS Mincho" w:hAnsi="Arial" w:cs="Times New Roman"/>
      <w:sz w:val="32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55362A"/>
    <w:rPr>
      <w:rFonts w:ascii="Arial" w:eastAsia="MS Mincho" w:hAnsi="Arial" w:cs="Times New Roman"/>
      <w:b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55362A"/>
    <w:rPr>
      <w:rFonts w:ascii="Arial" w:eastAsia="MS Mincho" w:hAnsi="Arial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55362A"/>
    <w:rPr>
      <w:rFonts w:ascii="Arial" w:eastAsia="MS Mincho" w:hAnsi="Arial" w:cs="Times New Roman"/>
      <w:b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55362A"/>
    <w:rPr>
      <w:rFonts w:ascii="Arial" w:eastAsia="MS Mincho" w:hAnsi="Arial" w:cs="Times New Roman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55362A"/>
    <w:rPr>
      <w:rFonts w:ascii="Arial" w:eastAsia="MS Mincho" w:hAnsi="Arial" w:cs="Times New Roman"/>
      <w:b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55362A"/>
    <w:rPr>
      <w:rFonts w:ascii="Arial" w:eastAsia="MS Mincho" w:hAnsi="Arial" w:cs="Times New Roman"/>
      <w:sz w:val="36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55362A"/>
    <w:rPr>
      <w:rFonts w:ascii="Arial" w:eastAsia="MS Mincho" w:hAnsi="Arial" w:cs="Times New Roman"/>
      <w:sz w:val="36"/>
      <w:szCs w:val="20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5536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5362A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5536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5362A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55362A"/>
  </w:style>
  <w:style w:type="character" w:styleId="LineNumber">
    <w:name w:val="line number"/>
    <w:basedOn w:val="DefaultParagraphFont"/>
    <w:uiPriority w:val="99"/>
    <w:semiHidden/>
    <w:unhideWhenUsed/>
    <w:rsid w:val="0055362A"/>
  </w:style>
  <w:style w:type="paragraph" w:styleId="ListParagraph">
    <w:name w:val="List Paragraph"/>
    <w:basedOn w:val="Normal"/>
    <w:uiPriority w:val="34"/>
    <w:qFormat/>
    <w:rsid w:val="00DA10CE"/>
    <w:pPr>
      <w:ind w:left="720"/>
      <w:contextualSpacing/>
    </w:pPr>
  </w:style>
  <w:style w:type="table" w:styleId="TableGrid">
    <w:name w:val="Table Grid"/>
    <w:basedOn w:val="TableNormal"/>
    <w:uiPriority w:val="39"/>
    <w:rsid w:val="00B40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102</cp:revision>
  <dcterms:created xsi:type="dcterms:W3CDTF">2022-05-04T06:28:00Z</dcterms:created>
  <dcterms:modified xsi:type="dcterms:W3CDTF">2022-05-05T01:32:00Z</dcterms:modified>
</cp:coreProperties>
</file>