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6B9D9F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D4755C">
        <w:rPr>
          <w:rFonts w:ascii="Arial" w:hAnsi="Arial" w:cs="Arial"/>
          <w:szCs w:val="24"/>
          <w:lang w:val="pt-BR" w:eastAsia="ja-JP"/>
        </w:rPr>
        <w:t>10.</w:t>
      </w:r>
      <w:r w:rsidR="00B42FEA">
        <w:rPr>
          <w:rFonts w:ascii="Arial" w:hAnsi="Arial" w:cs="Arial"/>
          <w:szCs w:val="24"/>
          <w:lang w:val="pt-BR"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FBAB01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4755C">
        <w:rPr>
          <w:rFonts w:ascii="Arial" w:hAnsi="Arial" w:cs="Arial"/>
          <w:b/>
          <w:szCs w:val="24"/>
          <w:lang w:val="en-US" w:eastAsia="ja-JP"/>
        </w:rPr>
        <w:t>Considerations on WebRTC QoS architecture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4E70706" w14:textId="1CFF2316" w:rsidR="00292DA4" w:rsidRDefault="00261837" w:rsidP="00C112DE">
      <w:pPr>
        <w:rPr>
          <w:lang w:val="en-US"/>
        </w:rPr>
      </w:pPr>
      <w:r>
        <w:rPr>
          <w:lang w:val="en-US"/>
        </w:rPr>
        <w:t>In this contribution, we</w:t>
      </w:r>
      <w:r w:rsidR="00D4755C">
        <w:rPr>
          <w:lang w:val="en-US"/>
        </w:rPr>
        <w:t xml:space="preserve"> address objective 4 of the </w:t>
      </w:r>
      <w:proofErr w:type="spellStart"/>
      <w:r w:rsidR="00D4755C">
        <w:rPr>
          <w:lang w:val="en-US"/>
        </w:rPr>
        <w:t>iRTCW</w:t>
      </w:r>
      <w:proofErr w:type="spellEnd"/>
      <w:r w:rsidR="00D4755C">
        <w:rPr>
          <w:lang w:val="en-US"/>
        </w:rPr>
        <w:t xml:space="preserve"> work item, which aims at identifying the required architecture for radio access network QoS realization over 5G systems, using WebRTC-based transport</w:t>
      </w:r>
      <w:r w:rsidR="00687F3C">
        <w:rPr>
          <w:lang w:val="en-US"/>
        </w:rPr>
        <w:t>.</w:t>
      </w:r>
      <w:r w:rsidR="003E7C6D">
        <w:rPr>
          <w:lang w:val="en-US"/>
        </w:rPr>
        <w:t xml:space="preserve"> </w:t>
      </w:r>
    </w:p>
    <w:bookmarkEnd w:id="0"/>
    <w:p w14:paraId="44D81D10" w14:textId="5C284F62" w:rsidR="004A5B99" w:rsidRDefault="00615E4C" w:rsidP="007D1D47">
      <w:pPr>
        <w:pStyle w:val="Heading1"/>
        <w:numPr>
          <w:ilvl w:val="0"/>
          <w:numId w:val="3"/>
        </w:numPr>
      </w:pPr>
      <w:r>
        <w:t>WebRTC Negotiation of Transport Parameters</w:t>
      </w:r>
    </w:p>
    <w:p w14:paraId="08DD8731" w14:textId="573E0F12" w:rsidR="00615E4C" w:rsidRDefault="00615E4C" w:rsidP="00615E4C">
      <w:r>
        <w:t xml:space="preserve">WebRTC delegates the </w:t>
      </w:r>
      <w:proofErr w:type="spellStart"/>
      <w:r>
        <w:t>signaling</w:t>
      </w:r>
      <w:proofErr w:type="spellEnd"/>
      <w:r>
        <w:t xml:space="preserve"> exchange to the application. The </w:t>
      </w:r>
      <w:proofErr w:type="spellStart"/>
      <w:r>
        <w:t>signaling</w:t>
      </w:r>
      <w:proofErr w:type="spellEnd"/>
      <w:r>
        <w:t xml:space="preserve"> protocol and format may be chosen by the application freely. However, the offer and answer are generated in the SDP format by the endpoints, using the WebRTC APIs. The ICE candidates may be provided as strings or in JSON format.</w:t>
      </w:r>
    </w:p>
    <w:p w14:paraId="35982231" w14:textId="77777777" w:rsidR="00615E4C" w:rsidRDefault="00615E4C" w:rsidP="00615E4C">
      <w:r>
        <w:t>WebRTC needs negotiation for the following purposes:</w:t>
      </w:r>
    </w:p>
    <w:p w14:paraId="28647EE7" w14:textId="77777777" w:rsidR="00615E4C" w:rsidRDefault="00615E4C" w:rsidP="00615E4C">
      <w:pPr>
        <w:pStyle w:val="ListParagraph"/>
        <w:numPr>
          <w:ilvl w:val="0"/>
          <w:numId w:val="12"/>
        </w:numPr>
        <w:spacing w:after="160" w:line="259" w:lineRule="auto"/>
      </w:pPr>
      <w:r>
        <w:t>Negotiation of the media streams and formats: this relies on the SDP offer/answer mechanism to generate and validate media streams and parameters. The negotiation procedure is depicted in the diagram below.</w:t>
      </w:r>
    </w:p>
    <w:p w14:paraId="32653A3D" w14:textId="31B6EE68" w:rsidR="00615E4C" w:rsidRDefault="00615E4C" w:rsidP="00615E4C">
      <w:pPr>
        <w:pStyle w:val="ListParagraph"/>
        <w:numPr>
          <w:ilvl w:val="0"/>
          <w:numId w:val="12"/>
        </w:numPr>
        <w:spacing w:after="160" w:line="259" w:lineRule="auto"/>
      </w:pPr>
      <w:r>
        <w:t>Negotiation of the transport parameters: this relies on ICE to identify and test ICE candidates. Whenever a higher priority ICE candidate is validated, the connection will switch to it.</w:t>
      </w:r>
    </w:p>
    <w:p w14:paraId="42A51A00" w14:textId="77777777" w:rsidR="00615E4C" w:rsidRDefault="00615E4C" w:rsidP="00615E4C">
      <w:pPr>
        <w:pStyle w:val="ListParagraph"/>
        <w:spacing w:after="160" w:line="259" w:lineRule="auto"/>
        <w:ind w:left="0"/>
      </w:pPr>
    </w:p>
    <w:p w14:paraId="51E4CED7" w14:textId="66021425" w:rsidR="00615E4C" w:rsidRPr="00B64FB3" w:rsidRDefault="00615E4C" w:rsidP="00615E4C">
      <w:pPr>
        <w:pStyle w:val="ListParagraph"/>
        <w:spacing w:after="160" w:line="259" w:lineRule="auto"/>
        <w:ind w:left="0"/>
      </w:pPr>
      <w:r>
        <w:t xml:space="preserve">The following diagram shows the state diagram for the </w:t>
      </w:r>
      <w:proofErr w:type="spellStart"/>
      <w:r>
        <w:t>Javascript</w:t>
      </w:r>
      <w:proofErr w:type="spellEnd"/>
      <w:r>
        <w:t xml:space="preserve"> Session Establishment Protocol (JSEP)</w:t>
      </w:r>
      <w:r w:rsidR="00725434">
        <w:t xml:space="preserve"> [1]</w:t>
      </w:r>
      <w:r>
        <w:t>, which is the mandatory protocol to negotiate the transport parameters for WebRTC.</w:t>
      </w:r>
    </w:p>
    <w:p w14:paraId="7077F339" w14:textId="7F599AC7" w:rsidR="00615E4C" w:rsidRDefault="00A423DD" w:rsidP="00615E4C">
      <w:r>
        <w:rPr>
          <w:noProof/>
        </w:rPr>
        <w:lastRenderedPageBreak/>
        <w:pict w14:anchorId="26900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79.5pt;height:374.25pt;visibility:visible;mso-wrap-style:square">
            <v:imagedata r:id="rId11" o:title=""/>
          </v:shape>
        </w:pict>
      </w:r>
    </w:p>
    <w:p w14:paraId="44BAD355" w14:textId="1342614A" w:rsidR="00615E4C" w:rsidRDefault="00615E4C" w:rsidP="00615E4C">
      <w:r>
        <w:t>The following call flow shows an example of the ICE negotiation process</w:t>
      </w:r>
      <w:r w:rsidR="009162C5">
        <w:t xml:space="preserve"> between two peers</w:t>
      </w:r>
      <w:r>
        <w:t>:</w:t>
      </w:r>
    </w:p>
    <w:p w14:paraId="4E4A4702" w14:textId="77777777" w:rsidR="00615E4C" w:rsidRDefault="00615E4C" w:rsidP="00615E4C">
      <w:r>
        <w:object w:dxaOrig="8840" w:dyaOrig="5030" w14:anchorId="447CF55B">
          <v:shape id="_x0000_i1026" type="#_x0000_t75" style="width:441.75pt;height:251.25pt" o:ole="">
            <v:imagedata r:id="rId12" o:title=""/>
          </v:shape>
          <o:OLEObject Type="Embed" ProgID="Mscgen.Chart" ShapeID="_x0000_i1026" DrawAspect="Content" ObjectID="_1710241751" r:id="rId13"/>
        </w:object>
      </w:r>
    </w:p>
    <w:p w14:paraId="1292FD7B" w14:textId="77777777" w:rsidR="00615E4C" w:rsidRDefault="00615E4C" w:rsidP="00615E4C"/>
    <w:p w14:paraId="097057FC" w14:textId="4B5197B3" w:rsidR="00CC52C6" w:rsidRDefault="009162C5" w:rsidP="00CC52C6">
      <w:pPr>
        <w:rPr>
          <w:lang w:val="en-US"/>
        </w:rPr>
      </w:pPr>
      <w:r>
        <w:rPr>
          <w:lang w:val="en-US"/>
        </w:rPr>
        <w:t xml:space="preserve">The ICE negotiation is used to determine the most optimal transport parameters for the session. ICE has optional feature, trickle ICE, which allows for the evaluation of the ICE candidates to happen independently and asynchronously, so that after the media exchange starts, a better ICE candidate may be </w:t>
      </w:r>
      <w:proofErr w:type="gramStart"/>
      <w:r>
        <w:rPr>
          <w:lang w:val="en-US"/>
        </w:rPr>
        <w:t>found</w:t>
      </w:r>
      <w:proofErr w:type="gramEnd"/>
      <w:r>
        <w:rPr>
          <w:lang w:val="en-US"/>
        </w:rPr>
        <w:t xml:space="preserve"> and the media session switches to that transport connection. </w:t>
      </w:r>
    </w:p>
    <w:p w14:paraId="14357955" w14:textId="6C15FADD" w:rsidR="009162C5" w:rsidRDefault="009162C5" w:rsidP="00CC52C6">
      <w:pPr>
        <w:rPr>
          <w:lang w:val="en-US"/>
        </w:rPr>
      </w:pPr>
      <w:r>
        <w:rPr>
          <w:lang w:val="en-US"/>
        </w:rPr>
        <w:t>The QoS framework needs to keep track of all changes to the transport parameters, in order to inform the PCF for proper QoS flow identification. This mainly depends on the collaboration scenario that is being deployed.</w:t>
      </w:r>
    </w:p>
    <w:p w14:paraId="2245E2A1" w14:textId="59AC476E" w:rsidR="009162C5" w:rsidRDefault="009162C5" w:rsidP="00CD5384">
      <w:pPr>
        <w:pStyle w:val="Heading1"/>
        <w:numPr>
          <w:ilvl w:val="0"/>
          <w:numId w:val="3"/>
        </w:numPr>
      </w:pPr>
      <w:r>
        <w:t>Collaboration Scenarios</w:t>
      </w:r>
    </w:p>
    <w:p w14:paraId="413D3EEC" w14:textId="6CF432F8" w:rsidR="00CD5384" w:rsidRDefault="00CD5384" w:rsidP="00CD5384">
      <w:pPr>
        <w:rPr>
          <w:lang w:val="en-US"/>
        </w:rPr>
      </w:pPr>
      <w:r>
        <w:rPr>
          <w:lang w:val="en-US"/>
        </w:rPr>
        <w:t>We identify the following collaboration scenarios, that need to be considered when defining the QoS framework for WebRTC-based transport:</w:t>
      </w:r>
    </w:p>
    <w:p w14:paraId="3FA4738F" w14:textId="1C763091" w:rsidR="00CD5384" w:rsidRDefault="00CD5384" w:rsidP="00CD5384">
      <w:pPr>
        <w:numPr>
          <w:ilvl w:val="0"/>
          <w:numId w:val="14"/>
        </w:numPr>
        <w:rPr>
          <w:lang w:val="en-US"/>
        </w:rPr>
      </w:pPr>
      <w:r>
        <w:rPr>
          <w:lang w:val="en-US"/>
        </w:rPr>
        <w:t>The WebRTC session is fully OTT. The Application Provider may optionally provision QoS support for its WebRTC sessions with the MNO. The applications at the endpoints are not 5G-aware.</w:t>
      </w:r>
    </w:p>
    <w:p w14:paraId="28D94D63" w14:textId="6E6B0D51" w:rsidR="00CD5384" w:rsidRDefault="00CD5384" w:rsidP="00CD5384">
      <w:pPr>
        <w:numPr>
          <w:ilvl w:val="0"/>
          <w:numId w:val="14"/>
        </w:numPr>
        <w:rPr>
          <w:lang w:val="en-US"/>
        </w:rPr>
      </w:pPr>
      <w:r>
        <w:rPr>
          <w:lang w:val="en-US"/>
        </w:rPr>
        <w:t>The MNO offers trusted ICE functionality</w:t>
      </w:r>
      <w:r w:rsidR="00E87A4B">
        <w:rPr>
          <w:lang w:val="en-US"/>
        </w:rPr>
        <w:t xml:space="preserve"> (STUN and TURN)</w:t>
      </w:r>
      <w:r>
        <w:rPr>
          <w:lang w:val="en-US"/>
        </w:rPr>
        <w:t xml:space="preserve"> to the WebRTC applications that run over their network. If associated with proper provisioning, QoS and network assistance may also be provided.</w:t>
      </w:r>
    </w:p>
    <w:p w14:paraId="4AA8673F" w14:textId="66E54805" w:rsidR="00CD5384" w:rsidRDefault="00E87A4B" w:rsidP="00CD5384">
      <w:pPr>
        <w:numPr>
          <w:ilvl w:val="0"/>
          <w:numId w:val="14"/>
        </w:numPr>
        <w:rPr>
          <w:lang w:val="en-US"/>
        </w:rPr>
      </w:pPr>
      <w:r>
        <w:rPr>
          <w:lang w:val="en-US"/>
        </w:rPr>
        <w:t xml:space="preserve">The MNO hosts trusted WebRTC signaling server and trusted ICE servers that are accessible by all WebRTC sessions with one endpoint in the MNO’s network. When coupled with proper provisioning, the MNO will also offer differentiated QoS and charging support to the WebRTC session. The applications at the endpoints are 5G-aware and understand the control </w:t>
      </w:r>
      <w:r>
        <w:rPr>
          <w:lang w:val="en-US"/>
        </w:rPr>
        <w:lastRenderedPageBreak/>
        <w:t>protocol to be used with the WebRTC signaling server. They can share information with 5GMS AF through the MSH.</w:t>
      </w:r>
    </w:p>
    <w:p w14:paraId="703B97C1" w14:textId="75B5832E" w:rsidR="00E87A4B" w:rsidRPr="00CD5384" w:rsidRDefault="004829EF" w:rsidP="00E87A4B">
      <w:pPr>
        <w:rPr>
          <w:lang w:val="en-US"/>
        </w:rPr>
      </w:pPr>
      <w:r>
        <w:rPr>
          <w:lang w:val="en-US"/>
        </w:rPr>
        <w:t>For each of</w:t>
      </w:r>
      <w:r w:rsidR="00E87A4B">
        <w:rPr>
          <w:lang w:val="en-US"/>
        </w:rPr>
        <w:t xml:space="preserve"> the afore</w:t>
      </w:r>
      <w:r>
        <w:rPr>
          <w:lang w:val="en-US"/>
        </w:rPr>
        <w:t>-</w:t>
      </w:r>
      <w:r w:rsidR="00E87A4B">
        <w:rPr>
          <w:lang w:val="en-US"/>
        </w:rPr>
        <w:t>men</w:t>
      </w:r>
      <w:r w:rsidR="00E87A4B">
        <w:t xml:space="preserve">tioned </w:t>
      </w:r>
      <w:r w:rsidR="00E87A4B">
        <w:rPr>
          <w:lang w:val="en-US"/>
        </w:rPr>
        <w:t>collaboration and deployment scenarios</w:t>
      </w:r>
      <w:r>
        <w:rPr>
          <w:lang w:val="en-US"/>
        </w:rPr>
        <w:t>, the necessary extensions need to be developed to properly integrate WebRTC with the 5G system.</w:t>
      </w:r>
    </w:p>
    <w:p w14:paraId="31DFDB63" w14:textId="77777777" w:rsidR="00583965" w:rsidRDefault="00583965" w:rsidP="007D1D47">
      <w:pPr>
        <w:pStyle w:val="Heading1"/>
        <w:numPr>
          <w:ilvl w:val="0"/>
          <w:numId w:val="3"/>
        </w:numPr>
      </w:pPr>
      <w:r>
        <w:t>Proposal</w:t>
      </w:r>
    </w:p>
    <w:p w14:paraId="73F02001" w14:textId="66EC937A" w:rsidR="00F17FCB" w:rsidRDefault="00583965" w:rsidP="00DE5141">
      <w:pPr>
        <w:rPr>
          <w:lang w:val="en-US"/>
        </w:rPr>
      </w:pPr>
      <w:r>
        <w:rPr>
          <w:lang w:val="en-US"/>
        </w:rPr>
        <w:t>We propose to</w:t>
      </w:r>
      <w:r w:rsidR="004829EF">
        <w:rPr>
          <w:lang w:val="en-US"/>
        </w:rPr>
        <w:t xml:space="preserve"> document the content of sections 2 and 3 into a permanent document and continue working on identifying the necessary extensions for each of the different collaboration scenarios</w:t>
      </w:r>
      <w:r w:rsidR="00DE5141">
        <w:rPr>
          <w:lang w:val="en-US"/>
        </w:rPr>
        <w:t>.</w:t>
      </w:r>
    </w:p>
    <w:p w14:paraId="5E08CBA9" w14:textId="77777777" w:rsidR="00F17FCB" w:rsidRDefault="00F17FCB" w:rsidP="007D1D47">
      <w:pPr>
        <w:pStyle w:val="Heading1"/>
        <w:numPr>
          <w:ilvl w:val="0"/>
          <w:numId w:val="3"/>
        </w:numPr>
      </w:pPr>
      <w:r>
        <w:t>References</w:t>
      </w:r>
    </w:p>
    <w:p w14:paraId="4B891C1C" w14:textId="5271C4D9" w:rsidR="00583965" w:rsidRPr="0093369D" w:rsidRDefault="00A12A40" w:rsidP="004829EF">
      <w:pPr>
        <w:rPr>
          <w:lang w:val="en-US"/>
        </w:rPr>
      </w:pPr>
      <w:r>
        <w:rPr>
          <w:lang w:val="en-US"/>
        </w:rPr>
        <w:t>[1]</w:t>
      </w:r>
      <w:r>
        <w:rPr>
          <w:lang w:val="en-US"/>
        </w:rPr>
        <w:tab/>
      </w:r>
      <w:r w:rsidR="003004A3">
        <w:rPr>
          <w:lang w:val="en-US"/>
        </w:rPr>
        <w:tab/>
      </w:r>
      <w:r w:rsidR="004829EF">
        <w:rPr>
          <w:lang w:val="en-US"/>
        </w:rPr>
        <w:t xml:space="preserve">IETF RFC 8829, </w:t>
      </w:r>
      <w:r w:rsidR="00725434">
        <w:rPr>
          <w:lang w:val="en-US"/>
        </w:rPr>
        <w:t>“</w:t>
      </w:r>
      <w:r w:rsidR="00725434" w:rsidRPr="00725434">
        <w:rPr>
          <w:lang w:val="en-US"/>
        </w:rPr>
        <w:t>JavaScript Session Establishment Protocol (JSEP)</w:t>
      </w:r>
      <w:r w:rsidR="00725434">
        <w:rPr>
          <w:lang w:val="en-US"/>
        </w:rPr>
        <w:t>”</w:t>
      </w:r>
    </w:p>
    <w:sectPr w:rsidR="00583965" w:rsidRPr="0093369D"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0851" w14:textId="77777777" w:rsidR="00322D29" w:rsidRDefault="00322D29">
      <w:r>
        <w:separator/>
      </w:r>
    </w:p>
  </w:endnote>
  <w:endnote w:type="continuationSeparator" w:id="0">
    <w:p w14:paraId="1BE4C6B5" w14:textId="77777777" w:rsidR="00322D29" w:rsidRDefault="00322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C5B06" w14:textId="77777777" w:rsidR="00322D29" w:rsidRDefault="00322D29">
      <w:r>
        <w:separator/>
      </w:r>
    </w:p>
  </w:footnote>
  <w:footnote w:type="continuationSeparator" w:id="0">
    <w:p w14:paraId="1D125CCE" w14:textId="77777777" w:rsidR="00322D29" w:rsidRDefault="00322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4E10090"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#118-e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S4-22</w:t>
    </w:r>
    <w:r w:rsidR="00D4755C">
      <w:rPr>
        <w:rFonts w:ascii="Arial" w:eastAsia="SimSun" w:hAnsi="Arial" w:cs="Arial"/>
        <w:b/>
        <w:i/>
        <w:sz w:val="28"/>
        <w:szCs w:val="28"/>
      </w:rPr>
      <w:t>0378</w:t>
    </w:r>
  </w:p>
  <w:p w14:paraId="07F0C8DC" w14:textId="0496C86A" w:rsidR="008075BF" w:rsidRPr="006C359E" w:rsidRDefault="009F132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April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0"/>
  </w:num>
  <w:num w:numId="9">
    <w:abstractNumId w:val="1"/>
  </w:num>
  <w:num w:numId="10">
    <w:abstractNumId w:val="10"/>
  </w:num>
  <w:num w:numId="11">
    <w:abstractNumId w:val="8"/>
  </w:num>
  <w:num w:numId="12">
    <w:abstractNumId w:val="9"/>
  </w:num>
  <w:num w:numId="13">
    <w:abstractNumId w:val="10"/>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4</Pages>
  <Words>524</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2022-03-31T19:21:00Z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