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keepNext/>
        <w:tabs>
          <w:tab w:val="right" w:pos="9638"/>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color w:val="000000"/>
          <w:kern w:val="0"/>
          <w:lang w:val="en-GB" w:eastAsia="ja-JP"/>
          <w14:ligatures w14:val="none"/>
        </w:rPr>
      </w:pPr>
      <w:r>
        <w:rPr>
          <w:rFonts w:ascii="Times New Roman" w:eastAsia="Times New Roman" w:hAnsi="Times New Roman" w:cs="Times New Roman"/>
          <w:b/>
          <w:noProof/>
          <w:color w:val="000000"/>
          <w:kern w:val="0"/>
          <w:sz w:val="24"/>
          <w:szCs w:val="20"/>
          <w:lang w:val="en-GB" w:eastAsia="ja-JP"/>
          <w14:ligatures w14:val="none"/>
        </w:rPr>
        <w:t>3GPP TSG-SA WG3 LI Meeting #95</w:t>
      </w:r>
      <w:r>
        <w:rPr>
          <w:rFonts w:ascii="Times New Roman" w:eastAsia="Times New Roman" w:hAnsi="Times New Roman" w:cs="Times New Roman"/>
          <w:b/>
          <w:bCs/>
          <w:color w:val="000000"/>
          <w:kern w:val="0"/>
          <w:lang w:val="en-GB" w:eastAsia="ja-JP"/>
          <w14:ligatures w14:val="none"/>
        </w:rPr>
        <w:tab/>
        <w:t>s3i240646</w:t>
      </w:r>
    </w:p>
    <w:p>
      <w:pPr>
        <w:keepNext/>
        <w:pBdr>
          <w:bottom w:val="single" w:sz="6" w:space="0" w:color="auto"/>
        </w:pBdr>
        <w:tabs>
          <w:tab w:val="right" w:pos="9638"/>
        </w:tabs>
        <w:overflowPunct w:val="0"/>
        <w:autoSpaceDE w:val="0"/>
        <w:autoSpaceDN w:val="0"/>
        <w:adjustRightInd w:val="0"/>
        <w:spacing w:before="120" w:after="120" w:line="240" w:lineRule="auto"/>
        <w:textAlignment w:val="baseline"/>
        <w:rPr>
          <w:rFonts w:ascii="Times New Roman" w:eastAsia="Times New Roman" w:hAnsi="Times New Roman" w:cs="Times New Roman"/>
          <w:b/>
          <w:bCs/>
          <w:color w:val="000000"/>
          <w:kern w:val="0"/>
          <w:lang w:val="en-GB" w:eastAsia="ja-JP"/>
          <w14:ligatures w14:val="none"/>
        </w:rPr>
      </w:pPr>
      <w:r>
        <w:rPr>
          <w:rFonts w:ascii="Times New Roman" w:eastAsia="Times New Roman" w:hAnsi="Times New Roman" w:cs="Times New Roman"/>
          <w:b/>
          <w:noProof/>
          <w:color w:val="000000"/>
          <w:kern w:val="0"/>
          <w:sz w:val="24"/>
          <w:szCs w:val="20"/>
          <w:lang w:val="en-GB" w:eastAsia="ja-JP"/>
          <w14:ligatures w14:val="none"/>
        </w:rPr>
        <w:t>29th Oct 2024 - 1st Nov 2024; Las Vegas, US</w:t>
      </w:r>
      <w:r>
        <w:rPr>
          <w:rFonts w:ascii="Times New Roman" w:eastAsia="Times New Roman" w:hAnsi="Times New Roman" w:cs="Times New Roman"/>
          <w:b/>
          <w:noProof/>
          <w:color w:val="000000"/>
          <w:kern w:val="0"/>
          <w:sz w:val="24"/>
          <w:szCs w:val="20"/>
          <w:lang w:val="en-GB" w:eastAsia="ja-JP"/>
          <w14:ligatures w14:val="none"/>
        </w:rPr>
        <w:tab/>
        <w:t xml:space="preserve"> </w:t>
      </w:r>
      <w:r>
        <w:rPr>
          <w:rFonts w:ascii="Times New Roman" w:eastAsia="Times New Roman" w:hAnsi="Times New Roman" w:cs="Times New Roman"/>
          <w:b/>
          <w:bCs/>
          <w:color w:val="000000"/>
          <w:kern w:val="0"/>
          <w:lang w:val="en-GB" w:eastAsia="ja-JP"/>
          <w14:ligatures w14:val="none"/>
        </w:rPr>
        <w:tab/>
      </w:r>
    </w:p>
    <w:p>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kern w:val="0"/>
          <w:lang w:val="en-GB" w:eastAsia="ja-JP"/>
          <w14:ligatures w14:val="none"/>
        </w:rPr>
      </w:pPr>
    </w:p>
    <w:p>
      <w:pPr>
        <w:overflowPunct w:val="0"/>
        <w:autoSpaceDE w:val="0"/>
        <w:autoSpaceDN w:val="0"/>
        <w:adjustRightInd w:val="0"/>
        <w:spacing w:before="120" w:after="120" w:line="240" w:lineRule="auto"/>
        <w:ind w:left="2127" w:hanging="2127"/>
        <w:jc w:val="both"/>
        <w:textAlignment w:val="baseline"/>
        <w:rPr>
          <w:rFonts w:ascii="Times New Roman" w:eastAsia="Times New Roman" w:hAnsi="Times New Roman" w:cs="Times New Roman"/>
          <w:b/>
          <w:color w:val="000000"/>
          <w:kern w:val="0"/>
          <w:lang w:eastAsia="ja-JP"/>
          <w14:ligatures w14:val="none"/>
        </w:rPr>
      </w:pPr>
      <w:r>
        <w:rPr>
          <w:rFonts w:ascii="Times New Roman" w:eastAsia="Times New Roman" w:hAnsi="Times New Roman" w:cs="Times New Roman"/>
          <w:b/>
          <w:color w:val="000000"/>
          <w:kern w:val="0"/>
          <w:lang w:eastAsia="ja-JP"/>
          <w14:ligatures w14:val="none"/>
        </w:rPr>
        <w:t>Source :</w:t>
      </w:r>
      <w:r>
        <w:rPr>
          <w:rFonts w:ascii="Times New Roman" w:eastAsia="Times New Roman" w:hAnsi="Times New Roman" w:cs="Times New Roman"/>
          <w:b/>
          <w:color w:val="000000"/>
          <w:kern w:val="0"/>
          <w:lang w:eastAsia="ja-JP"/>
          <w14:ligatures w14:val="none"/>
        </w:rPr>
        <w:tab/>
        <w:t>Ministère de l’économie et des finances, France</w:t>
      </w:r>
    </w:p>
    <w:p>
      <w:pPr>
        <w:overflowPunct w:val="0"/>
        <w:autoSpaceDE w:val="0"/>
        <w:autoSpaceDN w:val="0"/>
        <w:adjustRightInd w:val="0"/>
        <w:spacing w:before="120" w:after="120" w:line="240" w:lineRule="auto"/>
        <w:ind w:left="2127" w:hanging="2127"/>
        <w:jc w:val="both"/>
        <w:textAlignment w:val="baseline"/>
        <w:rPr>
          <w:rFonts w:ascii="Times New Roman" w:eastAsia="Times New Roman" w:hAnsi="Times New Roman" w:cs="Times New Roman"/>
          <w:b/>
          <w:color w:val="000000"/>
          <w:kern w:val="0"/>
          <w:lang w:val="en-GB" w:eastAsia="ja-JP"/>
          <w14:ligatures w14:val="none"/>
        </w:rPr>
      </w:pPr>
      <w:r>
        <w:rPr>
          <w:rFonts w:ascii="Times New Roman" w:eastAsia="Times New Roman" w:hAnsi="Times New Roman" w:cs="Times New Roman"/>
          <w:b/>
          <w:color w:val="000000"/>
          <w:kern w:val="0"/>
          <w:lang w:val="en-GB" w:eastAsia="ja-JP"/>
          <w14:ligatures w14:val="none"/>
        </w:rPr>
        <w:t>Title:</w:t>
      </w:r>
      <w:r>
        <w:rPr>
          <w:rFonts w:ascii="Times New Roman" w:eastAsia="Times New Roman" w:hAnsi="Times New Roman" w:cs="Times New Roman"/>
          <w:b/>
          <w:color w:val="000000"/>
          <w:kern w:val="0"/>
          <w:lang w:val="en-GB" w:eastAsia="ja-JP"/>
          <w14:ligatures w14:val="none"/>
        </w:rPr>
        <w:tab/>
      </w:r>
      <w:r>
        <w:rPr>
          <w:rFonts w:ascii="Arial" w:eastAsia="Times New Roman" w:hAnsi="Arial" w:cs="Arial"/>
          <w:color w:val="000000"/>
          <w:kern w:val="0"/>
          <w:sz w:val="18"/>
          <w:szCs w:val="18"/>
          <w:lang w:val="en-GB" w:eastAsia="ja-JP"/>
          <w14:ligatures w14:val="none"/>
        </w:rPr>
        <w:t>Introduction on Web RTC case</w:t>
      </w:r>
    </w:p>
    <w:p>
      <w:pPr>
        <w:overflowPunct w:val="0"/>
        <w:autoSpaceDE w:val="0"/>
        <w:autoSpaceDN w:val="0"/>
        <w:adjustRightInd w:val="0"/>
        <w:spacing w:before="120" w:after="120" w:line="240" w:lineRule="auto"/>
        <w:ind w:left="2127" w:hanging="2127"/>
        <w:jc w:val="both"/>
        <w:textAlignment w:val="baseline"/>
        <w:rPr>
          <w:rFonts w:ascii="Times New Roman" w:eastAsia="Times New Roman" w:hAnsi="Times New Roman" w:cs="Times New Roman"/>
          <w:b/>
          <w:color w:val="000000"/>
          <w:kern w:val="0"/>
          <w:lang w:val="en-GB" w:eastAsia="ja-JP"/>
          <w14:ligatures w14:val="none"/>
        </w:rPr>
      </w:pPr>
      <w:r>
        <w:rPr>
          <w:rFonts w:ascii="Times New Roman" w:eastAsia="Times New Roman" w:hAnsi="Times New Roman" w:cs="Times New Roman"/>
          <w:b/>
          <w:color w:val="000000"/>
          <w:kern w:val="0"/>
          <w:lang w:val="en-GB" w:eastAsia="ja-JP"/>
          <w14:ligatures w14:val="none"/>
        </w:rPr>
        <w:t>Document for:</w:t>
      </w:r>
      <w:r>
        <w:rPr>
          <w:rFonts w:ascii="Times New Roman" w:eastAsia="Times New Roman" w:hAnsi="Times New Roman" w:cs="Times New Roman"/>
          <w:b/>
          <w:color w:val="000000"/>
          <w:kern w:val="0"/>
          <w:lang w:val="en-GB" w:eastAsia="ja-JP"/>
          <w14:ligatures w14:val="none"/>
        </w:rPr>
        <w:tab/>
        <w:t>Discussion</w:t>
      </w:r>
    </w:p>
    <w:p>
      <w:pPr>
        <w:overflowPunct w:val="0"/>
        <w:autoSpaceDE w:val="0"/>
        <w:autoSpaceDN w:val="0"/>
        <w:adjustRightInd w:val="0"/>
        <w:spacing w:before="120" w:after="120" w:line="240" w:lineRule="auto"/>
        <w:ind w:left="2127" w:hanging="2127"/>
        <w:jc w:val="both"/>
        <w:textAlignment w:val="baseline"/>
        <w:rPr>
          <w:rFonts w:ascii="Times New Roman" w:eastAsia="Times New Roman" w:hAnsi="Times New Roman" w:cs="Times New Roman"/>
          <w:b/>
          <w:color w:val="000000"/>
          <w:kern w:val="0"/>
          <w:lang w:val="en-GB" w:eastAsia="ja-JP"/>
          <w14:ligatures w14:val="none"/>
        </w:rPr>
      </w:pPr>
      <w:r>
        <w:rPr>
          <w:rFonts w:ascii="Times New Roman" w:eastAsia="Times New Roman" w:hAnsi="Times New Roman" w:cs="Times New Roman"/>
          <w:b/>
          <w:color w:val="000000"/>
          <w:kern w:val="0"/>
          <w:lang w:val="en-GB" w:eastAsia="ja-JP"/>
          <w14:ligatures w14:val="none"/>
        </w:rPr>
        <w:t>Agenda Item:</w:t>
      </w:r>
      <w:r>
        <w:rPr>
          <w:rFonts w:ascii="Times New Roman" w:eastAsia="Times New Roman" w:hAnsi="Times New Roman" w:cs="Times New Roman"/>
          <w:b/>
          <w:color w:val="000000"/>
          <w:kern w:val="0"/>
          <w:lang w:val="en-GB" w:eastAsia="ja-JP"/>
          <w14:ligatures w14:val="none"/>
        </w:rPr>
        <w:tab/>
        <w:t>7.2</w:t>
      </w:r>
    </w:p>
    <w:p>
      <w:pPr>
        <w:pBdr>
          <w:bottom w:val="single" w:sz="4" w:space="1" w:color="auto"/>
        </w:pBdr>
        <w:overflowPunct w:val="0"/>
        <w:autoSpaceDE w:val="0"/>
        <w:autoSpaceDN w:val="0"/>
        <w:adjustRightInd w:val="0"/>
        <w:spacing w:before="120" w:after="120" w:line="240" w:lineRule="auto"/>
        <w:ind w:left="2127" w:hanging="2127"/>
        <w:jc w:val="both"/>
        <w:textAlignment w:val="baseline"/>
        <w:rPr>
          <w:rFonts w:ascii="Times New Roman" w:eastAsia="Times New Roman" w:hAnsi="Times New Roman" w:cs="Times New Roman"/>
          <w:b/>
          <w:color w:val="000000"/>
          <w:kern w:val="0"/>
          <w:lang w:val="en-GB" w:eastAsia="ja-JP"/>
          <w14:ligatures w14:val="none"/>
        </w:rPr>
      </w:pPr>
      <w:r>
        <w:rPr>
          <w:rFonts w:ascii="Times New Roman" w:eastAsia="Times New Roman" w:hAnsi="Times New Roman" w:cs="Times New Roman"/>
          <w:b/>
          <w:color w:val="000000"/>
          <w:kern w:val="0"/>
          <w:lang w:val="en-GB" w:eastAsia="ja-JP"/>
          <w14:ligatures w14:val="none"/>
        </w:rPr>
        <w:t>Work Item / Release:</w:t>
      </w:r>
      <w:r>
        <w:rPr>
          <w:rFonts w:ascii="Times New Roman" w:eastAsia="Times New Roman" w:hAnsi="Times New Roman" w:cs="Times New Roman"/>
          <w:b/>
          <w:color w:val="000000"/>
          <w:kern w:val="0"/>
          <w:lang w:val="en-GB" w:eastAsia="ja-JP"/>
          <w14:ligatures w14:val="none"/>
        </w:rPr>
        <w:tab/>
        <w:t>-</w:t>
      </w:r>
    </w:p>
    <w:p>
      <w:pPr>
        <w:pBdr>
          <w:bottom w:val="single" w:sz="4" w:space="1" w:color="auto"/>
        </w:pBdr>
        <w:overflowPunct w:val="0"/>
        <w:autoSpaceDE w:val="0"/>
        <w:autoSpaceDN w:val="0"/>
        <w:adjustRightInd w:val="0"/>
        <w:spacing w:before="120" w:after="120" w:line="240" w:lineRule="auto"/>
        <w:jc w:val="both"/>
        <w:textAlignment w:val="baseline"/>
        <w:rPr>
          <w:rFonts w:ascii="Arial" w:eastAsia="Times New Roman" w:hAnsi="Arial" w:cs="Arial"/>
          <w:color w:val="000000"/>
          <w:kern w:val="0"/>
          <w:sz w:val="18"/>
          <w:szCs w:val="18"/>
          <w:lang w:val="en-GB" w:eastAsia="ja-JP"/>
          <w14:ligatures w14:val="none"/>
        </w:rPr>
      </w:pPr>
      <w:r>
        <w:rPr>
          <w:rFonts w:ascii="Times New Roman" w:eastAsia="Times New Roman" w:hAnsi="Times New Roman" w:cs="Times New Roman"/>
          <w:b/>
          <w:i/>
          <w:color w:val="000000"/>
          <w:kern w:val="0"/>
          <w:lang w:val="en-GB" w:eastAsia="ja-JP"/>
          <w14:ligatures w14:val="none"/>
        </w:rPr>
        <w:t>Abstract of the contribution:</w:t>
      </w:r>
      <w:r>
        <w:rPr>
          <w:rFonts w:ascii="Times New Roman" w:eastAsia="Times New Roman" w:hAnsi="Times New Roman" w:cs="Times New Roman"/>
          <w:i/>
          <w:color w:val="000000"/>
          <w:kern w:val="0"/>
          <w:lang w:val="en-GB" w:eastAsia="ja-JP"/>
          <w14:ligatures w14:val="none"/>
        </w:rPr>
        <w:t xml:space="preserve"> </w:t>
      </w:r>
      <w:r>
        <w:rPr>
          <w:rFonts w:ascii="Arial" w:eastAsia="Times New Roman" w:hAnsi="Arial" w:cs="Arial"/>
          <w:color w:val="000000"/>
          <w:kern w:val="0"/>
          <w:sz w:val="18"/>
          <w:szCs w:val="18"/>
          <w:lang w:val="en-GB" w:eastAsia="ja-JP"/>
          <w14:ligatures w14:val="none"/>
        </w:rPr>
        <w:t>WebRTC access to IMS is in 3GPP specs. LI has been defined in clause “7A.2.4 Provision of IRI for WebRTC” in TS 33.107 but not in TS 33.127. Context and LI proposal related to s3i240645, are in this Tdoc.</w:t>
      </w:r>
    </w:p>
    <w:p>
      <w:pPr>
        <w:pBdr>
          <w:bottom w:val="single" w:sz="4" w:space="1" w:color="auto"/>
        </w:pBd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kern w:val="0"/>
          <w:sz w:val="20"/>
          <w:szCs w:val="20"/>
          <w:lang w:val="en-GB" w:eastAsia="ja-JP"/>
          <w14:ligatures w14:val="none"/>
        </w:rPr>
      </w:pPr>
    </w:p>
    <w:p>
      <w:pPr>
        <w:jc w:val="center"/>
        <w:rPr>
          <w:rFonts w:ascii="Times New Roman" w:hAnsi="Times New Roman" w:cs="Times New Roman"/>
          <w:b/>
          <w:bCs/>
          <w:sz w:val="20"/>
          <w:szCs w:val="20"/>
          <w:u w:val="single"/>
          <w:lang w:val="en-GB"/>
        </w:rPr>
      </w:pPr>
    </w:p>
    <w:p>
      <w:pPr>
        <w:pStyle w:val="Paragraphedeliste"/>
        <w:numPr>
          <w:ilvl w:val="0"/>
          <w:numId w:val="3"/>
        </w:numP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Context</w:t>
      </w:r>
    </w:p>
    <w:p>
      <w:pPr>
        <w:rPr>
          <w:rFonts w:ascii="Times New Roman" w:hAnsi="Times New Roman" w:cs="Times New Roman"/>
          <w:sz w:val="20"/>
          <w:szCs w:val="20"/>
          <w:lang w:val="en-GB"/>
        </w:rPr>
      </w:pPr>
      <w:r>
        <w:rPr>
          <w:rFonts w:ascii="Times New Roman" w:hAnsi="Times New Roman" w:cs="Times New Roman"/>
          <w:sz w:val="20"/>
          <w:szCs w:val="20"/>
          <w:lang w:val="en-GB"/>
        </w:rPr>
        <w:t>WebRTC (Web Real-Time Communications) aims to offer Web developers native browser tools for inserting real-time media exchange into their webpages, including browser-to-browser audio and video communication as well as data exchange (for example, for instant messaging or file transfer).</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In practical terms, this means users need no longer download, install, and manually configure an application or use some proprietary plug-in in the browser to communicate. </w:t>
      </w:r>
    </w:p>
    <w:p>
      <w:pPr>
        <w:rPr>
          <w:rFonts w:ascii="Times New Roman" w:hAnsi="Times New Roman" w:cs="Times New Roman"/>
          <w:sz w:val="20"/>
          <w:szCs w:val="20"/>
          <w:lang w:val="en-GB"/>
        </w:rPr>
      </w:pPr>
      <w:r>
        <w:rPr>
          <w:rFonts w:ascii="Times New Roman" w:hAnsi="Times New Roman" w:cs="Times New Roman"/>
          <w:sz w:val="20"/>
          <w:szCs w:val="20"/>
          <w:lang w:val="en-GB"/>
        </w:rPr>
        <w:t>WebRTC leaves the signalling plan to service developers, who are free to implement any call control protocol (e.g., SIP over WebSocket, XMPP (Extensible Messaging and Presence Protocol) over WebSocket, etc). The only requirement is that the session negotiation data be represented by the Session Description Protocol (SDP).</w:t>
      </w:r>
    </w:p>
    <w:p>
      <w:pPr>
        <w:rPr>
          <w:rFonts w:ascii="Times New Roman" w:hAnsi="Times New Roman" w:cs="Times New Roman"/>
          <w:sz w:val="20"/>
          <w:szCs w:val="20"/>
          <w:lang w:val="en-GB"/>
        </w:rPr>
      </w:pPr>
      <w:r>
        <w:rPr>
          <w:rFonts w:ascii="Times New Roman" w:hAnsi="Times New Roman" w:cs="Times New Roman"/>
          <w:sz w:val="20"/>
          <w:szCs w:val="20"/>
          <w:lang w:val="en-GB"/>
        </w:rPr>
        <w:t>Mobile operators could use WebRTC to extend the capabilities of their IMS-based infrastructures and expose their services to a larger number of customers and customer devices. </w:t>
      </w:r>
    </w:p>
    <w:p>
      <w:pPr>
        <w:rPr>
          <w:rFonts w:ascii="Times New Roman" w:hAnsi="Times New Roman" w:cs="Times New Roman"/>
          <w:sz w:val="20"/>
          <w:szCs w:val="20"/>
          <w:lang w:val="en-GB"/>
        </w:rPr>
      </w:pPr>
      <w:bookmarkStart w:id="0" w:name="_Hlk176178047"/>
      <w:r>
        <w:rPr>
          <w:rFonts w:ascii="Times New Roman" w:hAnsi="Times New Roman" w:cs="Times New Roman"/>
          <w:sz w:val="20"/>
          <w:szCs w:val="20"/>
          <w:lang w:val="en-GB"/>
        </w:rPr>
        <w:t>WebRTC clients may have access to IMS through mediation functions for signalling and media. The enhanced P-CSCF (eP-CSCF) is the endpoint for the signalling connection from the WebRTC IMS Client (WIC) and is located in the operator network. The enhanced IMS-AGW (eIMS-AGW) is the endpoint for the media connection from the WIC. eP-CSCF shall adhere to all LI requirements pertaining to the P-CSCF in addition to the LI requirements pertaining to the support of WebRTC access to IMS.</w:t>
      </w:r>
    </w:p>
    <w:bookmarkEnd w:id="0"/>
    <w:p>
      <w:pPr>
        <w:rPr>
          <w:rFonts w:ascii="Times New Roman" w:hAnsi="Times New Roman" w:cs="Times New Roman"/>
          <w:sz w:val="20"/>
          <w:szCs w:val="20"/>
          <w:lang w:val="en-GB"/>
        </w:rPr>
      </w:pPr>
      <w:r>
        <w:rPr>
          <w:rFonts w:ascii="Times New Roman" w:hAnsi="Times New Roman" w:cs="Times New Roman"/>
          <w:sz w:val="20"/>
          <w:szCs w:val="20"/>
          <w:lang w:val="en-GB"/>
        </w:rPr>
        <w:t>When the WIC registers to IMS it may:</w:t>
      </w:r>
    </w:p>
    <w:p>
      <w:pPr>
        <w:pStyle w:val="Paragraphedeliste"/>
        <w:numPr>
          <w:ilvl w:val="0"/>
          <w:numId w:val="1"/>
        </w:numPr>
        <w:rPr>
          <w:rFonts w:ascii="Times New Roman" w:hAnsi="Times New Roman" w:cs="Times New Roman"/>
          <w:sz w:val="20"/>
          <w:szCs w:val="20"/>
          <w:lang w:val="en-GB"/>
        </w:rPr>
      </w:pPr>
      <w:r>
        <w:rPr>
          <w:rFonts w:ascii="Times New Roman" w:hAnsi="Times New Roman" w:cs="Times New Roman"/>
          <w:sz w:val="20"/>
          <w:szCs w:val="20"/>
          <w:lang w:val="en-GB"/>
        </w:rPr>
        <w:t>Identify using its IMPU and IMPI and perform an IMS authentication using either SIP Digest or IMS-AKA, or</w:t>
      </w:r>
    </w:p>
    <w:p>
      <w:pPr>
        <w:pStyle w:val="Paragraphedeliste"/>
        <w:numPr>
          <w:ilvl w:val="0"/>
          <w:numId w:val="1"/>
        </w:numPr>
        <w:rPr>
          <w:rFonts w:ascii="Times New Roman" w:hAnsi="Times New Roman" w:cs="Times New Roman"/>
          <w:sz w:val="20"/>
          <w:szCs w:val="20"/>
          <w:lang w:val="en-GB"/>
        </w:rPr>
      </w:pPr>
      <w:r>
        <w:rPr>
          <w:rFonts w:ascii="Times New Roman" w:hAnsi="Times New Roman" w:cs="Times New Roman"/>
          <w:sz w:val="20"/>
          <w:szCs w:val="20"/>
          <w:lang w:val="en-GB"/>
        </w:rPr>
        <w:t>Identify using a web identity and perform a Web authentication, e.g.,</w:t>
      </w:r>
      <w:r>
        <w:rPr>
          <w:rFonts w:ascii="Times New Roman" w:hAnsi="Times New Roman" w:cs="Times New Roman"/>
          <w:sz w:val="20"/>
          <w:szCs w:val="20"/>
          <w:lang w:val="en-GB" w:eastAsia="zh-CN"/>
        </w:rPr>
        <w:t xml:space="preserve"> OAuth 2.0. The Web authentication protocol is not specified.  The eP-CSF translates the Web identity into associated IMPU and IMPU and performs UE registration towards I/S-CSCF indicating that WIC authentication has already been done. The WIC may or may not have an IMS subscription. If no IMS subscription is associated to the WIC, temporary IMPU/IMPI are assigned to the WIC. Any Web authentication method provide an authorization token with a validity period.</w:t>
      </w:r>
    </w:p>
    <w:p>
      <w:pPr>
        <w:pStyle w:val="Paragraphedeliste"/>
        <w:numPr>
          <w:ilvl w:val="0"/>
          <w:numId w:val="3"/>
        </w:numP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LI needs</w:t>
      </w:r>
    </w:p>
    <w:p>
      <w:pPr>
        <w:ind w:left="360"/>
        <w:rPr>
          <w:rFonts w:ascii="Times New Roman" w:hAnsi="Times New Roman" w:cs="Times New Roman"/>
          <w:sz w:val="20"/>
          <w:szCs w:val="20"/>
          <w:lang w:val="en-GB"/>
        </w:rPr>
      </w:pPr>
      <w:r>
        <w:rPr>
          <w:rFonts w:ascii="Times New Roman" w:hAnsi="Times New Roman" w:cs="Times New Roman"/>
          <w:sz w:val="20"/>
          <w:szCs w:val="20"/>
          <w:lang w:val="en-GB" w:eastAsia="zh-CN"/>
        </w:rPr>
        <w:t>For LI, we consider that the WIC is always associated with an IMS subscription and its IMS profile is provisioned with IMPU/IMPI.</w:t>
      </w:r>
    </w:p>
    <w:p>
      <w:pPr>
        <w:rPr>
          <w:rFonts w:ascii="Times New Roman" w:hAnsi="Times New Roman" w:cs="Times New Roman"/>
          <w:sz w:val="20"/>
          <w:szCs w:val="20"/>
          <w:lang w:val="en-GB"/>
        </w:rPr>
      </w:pPr>
      <w:r>
        <w:rPr>
          <w:rFonts w:ascii="Times New Roman" w:hAnsi="Times New Roman" w:cs="Times New Roman"/>
          <w:sz w:val="20"/>
          <w:szCs w:val="20"/>
          <w:lang w:val="en-GB" w:eastAsia="zh-CN"/>
        </w:rPr>
        <w:t xml:space="preserve">The two scenarios are considered in this CR: IMS authentication and Web authentication. </w:t>
      </w:r>
    </w:p>
    <w:p>
      <w:pPr>
        <w:rPr>
          <w:rFonts w:ascii="Times New Roman" w:hAnsi="Times New Roman" w:cs="Times New Roman"/>
          <w:sz w:val="20"/>
          <w:szCs w:val="20"/>
          <w:lang w:val="en-GB"/>
        </w:rPr>
      </w:pPr>
      <w:r>
        <w:rPr>
          <w:rFonts w:ascii="Times New Roman" w:hAnsi="Times New Roman" w:cs="Times New Roman"/>
          <w:sz w:val="20"/>
          <w:szCs w:val="20"/>
          <w:lang w:val="en-GB"/>
        </w:rPr>
        <w:lastRenderedPageBreak/>
        <w:t>The WebRTC Web Server Function (WWSF) is the initial point of contact in the Web that controls access to the IMS communications services for the user. It provides a web page, which is the user interface (UI) for the user. The WebRTC Authorisation Function (WAF) creates an authentication token for the user and deliver it to the WWSF. The WAF is used in the case of IMS registration scenario using Web Authentication and is not used in the case of IMS registration scenario using IMS Authentication.</w:t>
      </w:r>
    </w:p>
    <w:bookmarkStart w:id="1" w:name="_MON_1459751007"/>
    <w:bookmarkEnd w:id="1"/>
    <w:p>
      <w:pPr>
        <w:rPr>
          <w:rFonts w:ascii="Times New Roman" w:hAnsi="Times New Roman" w:cs="Times New Roman"/>
          <w:sz w:val="20"/>
          <w:szCs w:val="20"/>
          <w:lang w:val="en-GB"/>
        </w:rPr>
      </w:pPr>
      <w:r>
        <w:rPr>
          <w:rFonts w:ascii="Times New Roman" w:hAnsi="Times New Roman" w:cs="Times New Roman"/>
          <w:sz w:val="20"/>
          <w:szCs w:val="20"/>
        </w:rPr>
        <w:object w:dxaOrig="9509" w:dyaOrig="3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65.5pt" o:ole="">
            <v:imagedata r:id="rId5" o:title=""/>
          </v:shape>
          <o:OLEObject Type="Embed" ProgID="Word.Picture.8" ShapeID="_x0000_i1025" DrawAspect="Content" ObjectID="_1789819460" r:id="rId6"/>
        </w:object>
      </w:r>
    </w:p>
    <w:p>
      <w:pPr>
        <w:jc w:val="center"/>
        <w:rPr>
          <w:rFonts w:ascii="Times New Roman" w:hAnsi="Times New Roman" w:cs="Times New Roman"/>
          <w:sz w:val="20"/>
          <w:szCs w:val="20"/>
          <w:lang w:val="en-GB"/>
        </w:rPr>
      </w:pPr>
      <w:r>
        <w:rPr>
          <w:rFonts w:ascii="Times New Roman" w:hAnsi="Times New Roman" w:cs="Times New Roman"/>
          <w:sz w:val="20"/>
          <w:szCs w:val="20"/>
          <w:lang w:val="en-GB"/>
        </w:rPr>
        <w:t>Figure U.1.2-1 in clause U.1.2 of TS 23.228 [13]: Overview of WebRTC IMS architecture.</w:t>
      </w:r>
    </w:p>
    <w:p>
      <w:pPr>
        <w:rPr>
          <w:rFonts w:ascii="Times New Roman" w:hAnsi="Times New Roman" w:cs="Times New Roman"/>
          <w:sz w:val="20"/>
          <w:szCs w:val="20"/>
          <w:lang w:val="en-GB"/>
        </w:rPr>
      </w:pPr>
      <w:r>
        <w:rPr>
          <w:rFonts w:ascii="Times New Roman" w:hAnsi="Times New Roman" w:cs="Times New Roman"/>
          <w:sz w:val="20"/>
          <w:szCs w:val="20"/>
          <w:lang w:val="en-GB"/>
        </w:rPr>
        <w:t>The W1 reference point is between the WIC and the WWSF; it is not specified. The HTTPS protocol is normally used to access the web page providing the User Interface for the WIC and to download the WIC Javascript application to the browser.</w:t>
      </w:r>
    </w:p>
    <w:p>
      <w:pPr>
        <w:rPr>
          <w:rFonts w:ascii="Times New Roman" w:hAnsi="Times New Roman" w:cs="Times New Roman"/>
          <w:sz w:val="20"/>
          <w:szCs w:val="20"/>
          <w:lang w:val="en-GB"/>
        </w:rPr>
      </w:pPr>
      <w:r>
        <w:rPr>
          <w:rFonts w:ascii="Times New Roman" w:hAnsi="Times New Roman" w:cs="Times New Roman"/>
          <w:sz w:val="20"/>
          <w:szCs w:val="20"/>
          <w:lang w:val="en-GB"/>
        </w:rPr>
        <w:t>The W2 reference point is the signalling interface between the UE and the eP-CSCF. SIP over secure WebSocket is a non-mandatory option for W2, where the SIP/SDP procedures are based on Gm with enhancements to support extensions defined for WIC, and secure WebSocket is the supported transport protocol. Other protocols are allowed on W2 for WebRTC access.</w:t>
      </w:r>
    </w:p>
    <w:p>
      <w:pPr>
        <w:rPr>
          <w:rFonts w:ascii="Times New Roman" w:hAnsi="Times New Roman" w:cs="Times New Roman"/>
          <w:sz w:val="20"/>
          <w:szCs w:val="20"/>
          <w:lang w:val="en-GB"/>
        </w:rPr>
      </w:pPr>
      <w:r>
        <w:rPr>
          <w:rFonts w:ascii="Times New Roman" w:hAnsi="Times New Roman" w:cs="Times New Roman"/>
          <w:sz w:val="20"/>
          <w:szCs w:val="20"/>
          <w:lang w:val="en-GB"/>
        </w:rPr>
        <w:t>The W3 reference point is between the UE and eIMS-AGW. It carries the user plane between the UE and the IMS network.</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The W4 reference point is the signalling interface between the WWSF and the WAF; it is not </w:t>
      </w:r>
      <w:proofErr w:type="gramStart"/>
      <w:r>
        <w:rPr>
          <w:rFonts w:ascii="Times New Roman" w:hAnsi="Times New Roman" w:cs="Times New Roman"/>
          <w:sz w:val="20"/>
          <w:szCs w:val="20"/>
          <w:lang w:val="en-GB"/>
        </w:rPr>
        <w:t>specified .</w:t>
      </w:r>
      <w:proofErr w:type="gramEnd"/>
      <w:r>
        <w:rPr>
          <w:rFonts w:ascii="Times New Roman" w:hAnsi="Times New Roman" w:cs="Times New Roman"/>
          <w:sz w:val="20"/>
          <w:szCs w:val="20"/>
          <w:lang w:val="en-GB"/>
        </w:rPr>
        <w:t xml:space="preserve"> The WWSF obtains an authorisation token from the WAF from which the user's identities (IMPU/IMPI), identities of WWSF and WAF, and a lifetime may be derived in the case of IMS registration scenarios based on web authentication.</w:t>
      </w:r>
    </w:p>
    <w:p>
      <w:pPr>
        <w:rPr>
          <w:rFonts w:ascii="Times New Roman" w:hAnsi="Times New Roman" w:cs="Times New Roman"/>
          <w:sz w:val="20"/>
          <w:szCs w:val="20"/>
          <w:lang w:val="en-GB"/>
        </w:rPr>
      </w:pPr>
      <w:r>
        <w:rPr>
          <w:rFonts w:ascii="Times New Roman" w:hAnsi="Times New Roman" w:cs="Times New Roman"/>
          <w:sz w:val="20"/>
          <w:szCs w:val="20"/>
          <w:lang w:val="en-GB"/>
        </w:rPr>
        <w:t>The W5 reference point is an optional signalling interface between the WAF and the eP-CSCF. The W5 reference point is not specified and is implementation specific.</w:t>
      </w:r>
    </w:p>
    <w:p>
      <w:pPr>
        <w:pStyle w:val="Paragraphedeliste"/>
        <w:numPr>
          <w:ilvl w:val="0"/>
          <w:numId w:val="3"/>
        </w:numP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Proposal</w:t>
      </w:r>
    </w:p>
    <w:p>
      <w:pPr>
        <w:rPr>
          <w:rFonts w:ascii="Times New Roman" w:hAnsi="Times New Roman" w:cs="Times New Roman"/>
          <w:sz w:val="20"/>
          <w:szCs w:val="20"/>
          <w:lang w:val="en-GB"/>
        </w:rPr>
      </w:pPr>
      <w:r>
        <w:rPr>
          <w:rFonts w:ascii="Times New Roman" w:hAnsi="Times New Roman" w:cs="Times New Roman"/>
          <w:sz w:val="20"/>
          <w:szCs w:val="20"/>
          <w:lang w:val="en-GB"/>
        </w:rPr>
        <w:t>In the CR</w:t>
      </w:r>
      <w:r>
        <w:rPr>
          <w:lang w:val="en-US"/>
        </w:rPr>
        <w:t xml:space="preserve"> </w:t>
      </w:r>
      <w:r>
        <w:rPr>
          <w:rFonts w:ascii="Times New Roman" w:hAnsi="Times New Roman" w:cs="Times New Roman"/>
          <w:sz w:val="20"/>
          <w:szCs w:val="20"/>
          <w:lang w:val="en-GB"/>
        </w:rPr>
        <w:t>s3i240645, two network functions provide IRI-POIs: WWSF and eP-CSCF.</w:t>
      </w:r>
    </w:p>
    <w:p>
      <w:pPr>
        <w:rPr>
          <w:rFonts w:ascii="Times New Roman" w:hAnsi="Times New Roman" w:cs="Times New Roman"/>
          <w:sz w:val="20"/>
          <w:szCs w:val="20"/>
          <w:lang w:val="en-GB"/>
        </w:rPr>
      </w:pPr>
      <w:r>
        <w:rPr>
          <w:rFonts w:ascii="Times New Roman" w:hAnsi="Times New Roman" w:cs="Times New Roman"/>
          <w:sz w:val="20"/>
          <w:szCs w:val="20"/>
          <w:lang w:val="en-GB"/>
        </w:rPr>
        <w:t>The IRI-POI of WWSF generates xIRIs related to authentication/authorization of the WIC using a Web identity.</w:t>
      </w:r>
    </w:p>
    <w:p>
      <w:pPr>
        <w:rPr>
          <w:rFonts w:ascii="Times New Roman" w:hAnsi="Times New Roman" w:cs="Times New Roman"/>
          <w:sz w:val="20"/>
          <w:szCs w:val="20"/>
          <w:lang w:val="en-GB"/>
        </w:rPr>
      </w:pPr>
      <w:r>
        <w:rPr>
          <w:rFonts w:ascii="Times New Roman" w:hAnsi="Times New Roman" w:cs="Times New Roman"/>
          <w:sz w:val="20"/>
          <w:szCs w:val="20"/>
          <w:lang w:val="en-GB"/>
        </w:rPr>
        <w:t>The IRI-POI of eP-CSCF generates xIRIs related to signaling exchanged between the WIC and the eP-CSCF.</w:t>
      </w:r>
    </w:p>
    <w:p>
      <w:pPr>
        <w:rPr>
          <w:rFonts w:ascii="Times New Roman" w:hAnsi="Times New Roman" w:cs="Times New Roman"/>
          <w:sz w:val="20"/>
          <w:szCs w:val="20"/>
          <w:lang w:val="en-GB"/>
        </w:rPr>
      </w:pPr>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3071F"/>
    <w:multiLevelType w:val="hybridMultilevel"/>
    <w:tmpl w:val="0CE27B2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F9C28BB"/>
    <w:multiLevelType w:val="hybridMultilevel"/>
    <w:tmpl w:val="E1F2ADA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66755873"/>
    <w:multiLevelType w:val="hybridMultilevel"/>
    <w:tmpl w:val="1DD600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2B3E46-5019-41E0-A162-ED1669578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Titre2"/>
    <w:next w:val="Normal"/>
    <w:link w:val="Titre3Car"/>
    <w:qFormat/>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kern w:val="0"/>
      <w:sz w:val="28"/>
      <w:szCs w:val="20"/>
      <w:lang w:val="en-GB" w:eastAsia="en-GB"/>
      <w14:ligatures w14:val="none"/>
    </w:rPr>
  </w:style>
  <w:style w:type="paragraph" w:styleId="Titre4">
    <w:name w:val="heading 4"/>
    <w:basedOn w:val="Titre3"/>
    <w:next w:val="Normal"/>
    <w:link w:val="Titre4Car"/>
    <w:qFormat/>
    <w:pPr>
      <w:ind w:left="1418" w:hanging="1418"/>
      <w:outlineLvl w:val="3"/>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rPr>
      <w:rFonts w:ascii="Arial" w:eastAsia="Times New Roman" w:hAnsi="Arial" w:cs="Times New Roman"/>
      <w:kern w:val="0"/>
      <w:sz w:val="28"/>
      <w:szCs w:val="20"/>
      <w:lang w:val="en-GB" w:eastAsia="en-GB"/>
      <w14:ligatures w14:val="none"/>
    </w:rPr>
  </w:style>
  <w:style w:type="character" w:customStyle="1" w:styleId="Titre4Car">
    <w:name w:val="Titre 4 Car"/>
    <w:basedOn w:val="Policepardfaut"/>
    <w:link w:val="Titre4"/>
    <w:rPr>
      <w:rFonts w:ascii="Arial" w:eastAsia="Times New Roman" w:hAnsi="Arial" w:cs="Times New Roman"/>
      <w:kern w:val="0"/>
      <w:sz w:val="24"/>
      <w:szCs w:val="20"/>
      <w:lang w:val="en-GB" w:eastAsia="en-GB"/>
      <w14:ligatures w14:val="none"/>
    </w:rPr>
  </w:style>
  <w:style w:type="paragraph" w:customStyle="1" w:styleId="NO">
    <w:name w:val="NO"/>
    <w:basedOn w:val="Normal"/>
    <w:link w:val="NOZchn"/>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Zchn">
    <w:name w:val="NO Zchn"/>
    <w:link w:val="NO"/>
    <w:rPr>
      <w:rFonts w:ascii="Times New Roman" w:eastAsia="Times New Roman" w:hAnsi="Times New Roman" w:cs="Times New Roman"/>
      <w:kern w:val="0"/>
      <w:sz w:val="20"/>
      <w:szCs w:val="20"/>
      <w:lang w:val="en-GB" w:eastAsia="en-GB"/>
      <w14:ligatures w14:val="none"/>
    </w:rPr>
  </w:style>
  <w:style w:type="paragraph" w:customStyle="1" w:styleId="B1">
    <w:name w:val="B1"/>
    <w:basedOn w:val="Liste"/>
    <w:link w:val="B1Char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1">
    <w:name w:val="B1 Char1"/>
    <w:link w:val="B1"/>
    <w:rPr>
      <w:rFonts w:ascii="Times New Roman" w:eastAsia="Times New Roman" w:hAnsi="Times New Roman" w:cs="Times New Roman"/>
      <w:kern w:val="0"/>
      <w:sz w:val="20"/>
      <w:szCs w:val="20"/>
      <w:lang w:val="en-GB" w:eastAsia="en-GB"/>
      <w14:ligatures w14:val="none"/>
    </w:rPr>
  </w:style>
  <w:style w:type="character" w:customStyle="1" w:styleId="Titre2Car">
    <w:name w:val="Titre 2 Car"/>
    <w:basedOn w:val="Policepardfaut"/>
    <w:link w:val="Titre2"/>
    <w:uiPriority w:val="9"/>
    <w:semiHidden/>
    <w:rPr>
      <w:rFonts w:asciiTheme="majorHAnsi" w:eastAsiaTheme="majorEastAsia" w:hAnsiTheme="majorHAnsi" w:cstheme="majorBidi"/>
      <w:color w:val="2F5496" w:themeColor="accent1" w:themeShade="BF"/>
      <w:sz w:val="26"/>
      <w:szCs w:val="26"/>
    </w:rPr>
  </w:style>
  <w:style w:type="paragraph" w:styleId="Liste">
    <w:name w:val="List"/>
    <w:basedOn w:val="Normal"/>
    <w:uiPriority w:val="99"/>
    <w:semiHidden/>
    <w:unhideWhenUsed/>
    <w:pPr>
      <w:ind w:left="283" w:hanging="283"/>
      <w:contextualSpacing/>
    </w:pPr>
  </w:style>
  <w:style w:type="paragraph" w:styleId="Paragraphedeliste">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763</Words>
  <Characters>4201</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ZNATY</dc:creator>
  <cp:keywords/>
  <dc:description/>
  <cp:lastModifiedBy>COURBON Pierre</cp:lastModifiedBy>
  <cp:revision>6</cp:revision>
  <dcterms:created xsi:type="dcterms:W3CDTF">2024-10-07T13:11:00Z</dcterms:created>
  <dcterms:modified xsi:type="dcterms:W3CDTF">2024-10-07T13:15:00Z</dcterms:modified>
</cp:coreProperties>
</file>