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270E2F" w14:textId="737AA846" w:rsidR="004934E0" w:rsidRPr="00C04CFA" w:rsidRDefault="00167206" w:rsidP="008E7D27">
      <w:pPr>
        <w:keepNext/>
        <w:tabs>
          <w:tab w:val="right" w:pos="9638"/>
        </w:tabs>
        <w:spacing w:before="120" w:after="120" w:line="360" w:lineRule="auto"/>
        <w:rPr>
          <w:b/>
          <w:bCs/>
          <w:sz w:val="22"/>
          <w:szCs w:val="22"/>
        </w:rPr>
      </w:pPr>
      <w:r>
        <w:rPr>
          <w:b/>
          <w:noProof/>
          <w:sz w:val="24"/>
        </w:rPr>
        <w:t>SA3</w:t>
      </w:r>
      <w:r w:rsidR="007B5D5B">
        <w:rPr>
          <w:b/>
          <w:noProof/>
          <w:sz w:val="24"/>
        </w:rPr>
        <w:t>#95-LI</w:t>
      </w:r>
      <w:r w:rsidR="004934E0" w:rsidRPr="00C04CFA">
        <w:rPr>
          <w:b/>
          <w:bCs/>
          <w:sz w:val="22"/>
          <w:szCs w:val="22"/>
        </w:rPr>
        <w:tab/>
      </w:r>
      <w:r>
        <w:rPr>
          <w:b/>
          <w:bCs/>
          <w:sz w:val="22"/>
          <w:szCs w:val="22"/>
        </w:rPr>
        <w:t xml:space="preserve"> S3i2</w:t>
      </w:r>
      <w:r w:rsidR="00DD35C7">
        <w:rPr>
          <w:b/>
          <w:bCs/>
          <w:sz w:val="22"/>
          <w:szCs w:val="22"/>
        </w:rPr>
        <w:t>4</w:t>
      </w:r>
      <w:r w:rsidR="00473461">
        <w:rPr>
          <w:b/>
          <w:bCs/>
          <w:sz w:val="22"/>
          <w:szCs w:val="22"/>
        </w:rPr>
        <w:t>0</w:t>
      </w:r>
      <w:r w:rsidR="008B4ED1">
        <w:rPr>
          <w:b/>
          <w:bCs/>
          <w:sz w:val="22"/>
          <w:szCs w:val="22"/>
        </w:rPr>
        <w:t>6</w:t>
      </w:r>
      <w:r w:rsidR="00702CD2">
        <w:rPr>
          <w:b/>
          <w:bCs/>
          <w:sz w:val="22"/>
          <w:szCs w:val="22"/>
        </w:rPr>
        <w:t>72</w:t>
      </w:r>
    </w:p>
    <w:p w14:paraId="7157F9DD" w14:textId="02AF96C9" w:rsidR="004934E0" w:rsidRPr="00C04CFA" w:rsidRDefault="00D26E6D" w:rsidP="008E7D27">
      <w:pPr>
        <w:keepNext/>
        <w:pBdr>
          <w:bottom w:val="single" w:sz="6" w:space="0" w:color="auto"/>
        </w:pBdr>
        <w:tabs>
          <w:tab w:val="right" w:pos="9638"/>
        </w:tabs>
        <w:spacing w:before="120" w:after="120" w:line="360" w:lineRule="auto"/>
        <w:rPr>
          <w:b/>
          <w:bCs/>
          <w:sz w:val="22"/>
          <w:szCs w:val="22"/>
        </w:rPr>
      </w:pPr>
      <w:r>
        <w:rPr>
          <w:b/>
          <w:noProof/>
          <w:sz w:val="24"/>
        </w:rPr>
        <w:t>Las Vegas</w:t>
      </w:r>
      <w:r w:rsidR="00DD35C7">
        <w:rPr>
          <w:b/>
          <w:noProof/>
          <w:sz w:val="24"/>
        </w:rPr>
        <w:t xml:space="preserve">; </w:t>
      </w:r>
      <w:r>
        <w:rPr>
          <w:b/>
          <w:noProof/>
          <w:sz w:val="24"/>
        </w:rPr>
        <w:t>October 29-November 1</w:t>
      </w:r>
      <w:r w:rsidR="007B5D5B">
        <w:rPr>
          <w:b/>
          <w:noProof/>
          <w:sz w:val="24"/>
        </w:rPr>
        <w:t>,</w:t>
      </w:r>
      <w:r w:rsidR="00AD0B8D">
        <w:rPr>
          <w:b/>
          <w:noProof/>
          <w:sz w:val="24"/>
        </w:rPr>
        <w:t xml:space="preserve"> </w:t>
      </w:r>
      <w:r w:rsidR="00624F30">
        <w:rPr>
          <w:b/>
          <w:noProof/>
          <w:sz w:val="24"/>
        </w:rPr>
        <w:t>202</w:t>
      </w:r>
      <w:r w:rsidR="00AD0B8D">
        <w:rPr>
          <w:b/>
          <w:noProof/>
          <w:sz w:val="24"/>
        </w:rPr>
        <w:t>4</w:t>
      </w:r>
      <w:r w:rsidR="00643D90" w:rsidRPr="00A81894">
        <w:rPr>
          <w:b/>
          <w:noProof/>
          <w:sz w:val="24"/>
        </w:rPr>
        <w:tab/>
      </w:r>
      <w:r w:rsidR="004934E0" w:rsidRPr="00C04CFA">
        <w:rPr>
          <w:b/>
          <w:bCs/>
          <w:sz w:val="22"/>
          <w:szCs w:val="22"/>
        </w:rPr>
        <w:tab/>
      </w:r>
    </w:p>
    <w:p w14:paraId="5719767D" w14:textId="77777777" w:rsidR="004934E0" w:rsidRPr="00C04CFA" w:rsidRDefault="004934E0" w:rsidP="008E7D27">
      <w:pPr>
        <w:keepNext/>
        <w:spacing w:before="120" w:after="120" w:line="360" w:lineRule="auto"/>
        <w:rPr>
          <w:sz w:val="22"/>
          <w:szCs w:val="22"/>
        </w:rPr>
      </w:pPr>
    </w:p>
    <w:p w14:paraId="06E38623" w14:textId="7E6BC2A2"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619D8F54" w14:textId="1F5DD30D" w:rsidR="00440983" w:rsidRPr="00C04CFA" w:rsidRDefault="00440983" w:rsidP="008E7D27">
      <w:pPr>
        <w:spacing w:before="120" w:after="120" w:line="360" w:lineRule="auto"/>
        <w:ind w:left="2127" w:hanging="2127"/>
        <w:rPr>
          <w:b/>
          <w:sz w:val="22"/>
          <w:szCs w:val="22"/>
        </w:rPr>
      </w:pPr>
      <w:r w:rsidRPr="00C04CFA">
        <w:rPr>
          <w:b/>
          <w:sz w:val="22"/>
          <w:szCs w:val="22"/>
        </w:rPr>
        <w:t>Title:</w:t>
      </w:r>
      <w:r w:rsidRPr="00C04CFA">
        <w:rPr>
          <w:b/>
          <w:sz w:val="22"/>
          <w:szCs w:val="22"/>
        </w:rPr>
        <w:tab/>
      </w:r>
      <w:r w:rsidR="005B6A96">
        <w:rPr>
          <w:b/>
          <w:sz w:val="22"/>
          <w:szCs w:val="22"/>
        </w:rPr>
        <w:t xml:space="preserve">ID Association Caching – </w:t>
      </w:r>
      <w:r w:rsidR="00702CD2">
        <w:rPr>
          <w:b/>
          <w:sz w:val="22"/>
          <w:szCs w:val="22"/>
        </w:rPr>
        <w:t xml:space="preserve">discussion around the </w:t>
      </w:r>
      <w:r w:rsidR="005B6A96">
        <w:rPr>
          <w:b/>
          <w:sz w:val="22"/>
          <w:szCs w:val="22"/>
        </w:rPr>
        <w:t xml:space="preserve">GPSI </w:t>
      </w:r>
      <w:r w:rsidR="00702CD2">
        <w:rPr>
          <w:b/>
          <w:sz w:val="22"/>
          <w:szCs w:val="22"/>
        </w:rPr>
        <w:t xml:space="preserve"> </w:t>
      </w:r>
    </w:p>
    <w:p w14:paraId="74908691" w14:textId="77777777"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77777777"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D706B5">
        <w:rPr>
          <w:b/>
          <w:sz w:val="22"/>
          <w:szCs w:val="22"/>
        </w:rPr>
        <w:t>9</w:t>
      </w:r>
    </w:p>
    <w:p w14:paraId="51B826EF" w14:textId="3CC07F8C"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710A9D">
        <w:rPr>
          <w:b/>
          <w:sz w:val="22"/>
          <w:szCs w:val="22"/>
        </w:rPr>
        <w:t>LI1</w:t>
      </w:r>
      <w:r w:rsidR="00DD35C7">
        <w:rPr>
          <w:b/>
          <w:sz w:val="22"/>
          <w:szCs w:val="22"/>
        </w:rPr>
        <w:t>9</w:t>
      </w:r>
    </w:p>
    <w:p w14:paraId="20BA83AE" w14:textId="0B4B1307" w:rsidR="006F27AE" w:rsidRDefault="00440983" w:rsidP="00F201DF">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541A1D">
        <w:rPr>
          <w:rFonts w:ascii="Arial" w:hAnsi="Arial" w:cs="Arial"/>
          <w:i/>
          <w:sz w:val="18"/>
          <w:szCs w:val="18"/>
        </w:rPr>
        <w:t xml:space="preserve">This document </w:t>
      </w:r>
      <w:r w:rsidR="005B6A96">
        <w:rPr>
          <w:rFonts w:ascii="Arial" w:hAnsi="Arial" w:cs="Arial"/>
          <w:i/>
          <w:sz w:val="18"/>
          <w:szCs w:val="18"/>
        </w:rPr>
        <w:t xml:space="preserve">discusses a few cases around the inclusion of GPSI in the LI_HILR response from ICF to LEA. </w:t>
      </w:r>
    </w:p>
    <w:p w14:paraId="2E5A706C" w14:textId="4839D63B" w:rsidR="00347117" w:rsidRPr="00F201DF" w:rsidRDefault="00702CD2" w:rsidP="00F201DF">
      <w:pPr>
        <w:pBdr>
          <w:bottom w:val="single" w:sz="4" w:space="1" w:color="auto"/>
        </w:pBdr>
        <w:spacing w:before="120" w:after="120"/>
        <w:rPr>
          <w:b/>
          <w:sz w:val="36"/>
          <w:szCs w:val="36"/>
        </w:rPr>
      </w:pPr>
      <w:r>
        <w:rPr>
          <w:b/>
          <w:i/>
          <w:sz w:val="36"/>
          <w:szCs w:val="36"/>
        </w:rPr>
        <w:t>Recap</w:t>
      </w:r>
    </w:p>
    <w:p w14:paraId="1AE3C890" w14:textId="333037F0" w:rsidR="00AA234D" w:rsidRDefault="00512D15" w:rsidP="008A55EB">
      <w:pPr>
        <w:tabs>
          <w:tab w:val="left" w:pos="2660"/>
        </w:tabs>
        <w:jc w:val="both"/>
        <w:rPr>
          <w:bCs/>
          <w:sz w:val="22"/>
          <w:szCs w:val="22"/>
        </w:rPr>
      </w:pPr>
      <w:r>
        <w:rPr>
          <w:bCs/>
          <w:sz w:val="22"/>
          <w:szCs w:val="22"/>
        </w:rPr>
        <w:t>The ID Association Caching capability</w:t>
      </w:r>
      <w:r w:rsidR="00123904">
        <w:rPr>
          <w:bCs/>
          <w:sz w:val="22"/>
          <w:szCs w:val="22"/>
        </w:rPr>
        <w:t xml:space="preserve">, in its initial days, </w:t>
      </w:r>
      <w:r>
        <w:rPr>
          <w:bCs/>
          <w:sz w:val="22"/>
          <w:szCs w:val="22"/>
        </w:rPr>
        <w:t xml:space="preserve"> was allowing the LEA</w:t>
      </w:r>
      <w:r w:rsidR="00123904">
        <w:rPr>
          <w:bCs/>
          <w:sz w:val="22"/>
          <w:szCs w:val="22"/>
        </w:rPr>
        <w:t>s</w:t>
      </w:r>
      <w:r>
        <w:rPr>
          <w:bCs/>
          <w:sz w:val="22"/>
          <w:szCs w:val="22"/>
        </w:rPr>
        <w:t xml:space="preserve"> </w:t>
      </w:r>
      <w:r w:rsidR="00123904">
        <w:rPr>
          <w:bCs/>
          <w:sz w:val="22"/>
          <w:szCs w:val="22"/>
        </w:rPr>
        <w:t xml:space="preserve">to </w:t>
      </w:r>
      <w:r>
        <w:rPr>
          <w:bCs/>
          <w:sz w:val="22"/>
          <w:szCs w:val="22"/>
        </w:rPr>
        <w:t xml:space="preserve">request and get the SUPI associated with a 5G-GUTI </w:t>
      </w:r>
      <w:r w:rsidR="00123904">
        <w:rPr>
          <w:bCs/>
          <w:sz w:val="22"/>
          <w:szCs w:val="22"/>
        </w:rPr>
        <w:t>(or SUCI) and vice versa</w:t>
      </w:r>
      <w:r>
        <w:rPr>
          <w:bCs/>
          <w:sz w:val="22"/>
          <w:szCs w:val="22"/>
        </w:rPr>
        <w:t>. Later, the capability was enhanced to include the PEI (</w:t>
      </w:r>
      <w:r w:rsidR="00123904">
        <w:rPr>
          <w:bCs/>
          <w:sz w:val="22"/>
          <w:szCs w:val="22"/>
        </w:rPr>
        <w:t xml:space="preserve">when </w:t>
      </w:r>
      <w:r>
        <w:rPr>
          <w:bCs/>
          <w:sz w:val="22"/>
          <w:szCs w:val="22"/>
        </w:rPr>
        <w:t xml:space="preserve">known), and recently, to include the GPSI (when known). </w:t>
      </w:r>
    </w:p>
    <w:p w14:paraId="0BA0AE6A" w14:textId="77777777" w:rsidR="00123904" w:rsidRDefault="00512D15" w:rsidP="008A55EB">
      <w:pPr>
        <w:tabs>
          <w:tab w:val="left" w:pos="2660"/>
        </w:tabs>
        <w:jc w:val="both"/>
        <w:rPr>
          <w:bCs/>
          <w:sz w:val="22"/>
          <w:szCs w:val="22"/>
        </w:rPr>
      </w:pPr>
      <w:r>
        <w:rPr>
          <w:bCs/>
          <w:sz w:val="22"/>
          <w:szCs w:val="22"/>
        </w:rPr>
        <w:t xml:space="preserve">The concept used for the ID Association Caching is </w:t>
      </w:r>
      <w:r w:rsidR="001D1E89">
        <w:rPr>
          <w:bCs/>
          <w:sz w:val="22"/>
          <w:szCs w:val="22"/>
        </w:rPr>
        <w:t xml:space="preserve">based on a specific function referred to as IEF in the AMF which provides the associations among different IDs whenever a new 5G-GUTI is assigned to the </w:t>
      </w:r>
      <w:r w:rsidR="00123904">
        <w:rPr>
          <w:bCs/>
          <w:sz w:val="22"/>
          <w:szCs w:val="22"/>
        </w:rPr>
        <w:t>UE</w:t>
      </w:r>
      <w:r w:rsidR="001D1E89">
        <w:rPr>
          <w:bCs/>
          <w:sz w:val="22"/>
          <w:szCs w:val="22"/>
        </w:rPr>
        <w:t xml:space="preserve">. </w:t>
      </w:r>
      <w:r w:rsidR="00123904">
        <w:rPr>
          <w:bCs/>
          <w:sz w:val="22"/>
          <w:szCs w:val="22"/>
        </w:rPr>
        <w:t xml:space="preserve">The IEF sends the association records (known as IEF Association Record) to another specific function referred to as ICF. </w:t>
      </w:r>
    </w:p>
    <w:p w14:paraId="0F3D2F73" w14:textId="77777777" w:rsidR="00123904" w:rsidRDefault="001D1E89" w:rsidP="008A55EB">
      <w:pPr>
        <w:tabs>
          <w:tab w:val="left" w:pos="2660"/>
        </w:tabs>
        <w:jc w:val="both"/>
        <w:rPr>
          <w:bCs/>
          <w:sz w:val="22"/>
          <w:szCs w:val="22"/>
        </w:rPr>
      </w:pPr>
      <w:r>
        <w:rPr>
          <w:bCs/>
          <w:sz w:val="22"/>
          <w:szCs w:val="22"/>
        </w:rPr>
        <w:t xml:space="preserve">A diagram taken from TR 33.929-5 </w:t>
      </w:r>
      <w:r w:rsidR="00123904">
        <w:rPr>
          <w:bCs/>
          <w:sz w:val="22"/>
          <w:szCs w:val="22"/>
        </w:rPr>
        <w:t xml:space="preserve">depicting the concept </w:t>
      </w:r>
      <w:r>
        <w:rPr>
          <w:bCs/>
          <w:sz w:val="22"/>
          <w:szCs w:val="22"/>
        </w:rPr>
        <w:t>is shown below</w:t>
      </w:r>
    </w:p>
    <w:p w14:paraId="254E0D18" w14:textId="33B911F7" w:rsidR="00512D15" w:rsidRPr="00123904" w:rsidRDefault="00123904" w:rsidP="008A55EB">
      <w:pPr>
        <w:tabs>
          <w:tab w:val="left" w:pos="2660"/>
        </w:tabs>
        <w:jc w:val="both"/>
        <w:rPr>
          <w:bCs/>
          <w:i/>
          <w:iCs/>
          <w:sz w:val="22"/>
          <w:szCs w:val="22"/>
        </w:rPr>
      </w:pPr>
      <w:r w:rsidRPr="00123904">
        <w:rPr>
          <w:bCs/>
          <w:i/>
          <w:iCs/>
          <w:sz w:val="22"/>
          <w:szCs w:val="22"/>
        </w:rPr>
        <w:t xml:space="preserve">(since this </w:t>
      </w:r>
      <w:r>
        <w:rPr>
          <w:bCs/>
          <w:i/>
          <w:iCs/>
          <w:sz w:val="22"/>
          <w:szCs w:val="22"/>
        </w:rPr>
        <w:t xml:space="preserve">is </w:t>
      </w:r>
      <w:r w:rsidRPr="00123904">
        <w:rPr>
          <w:bCs/>
          <w:i/>
          <w:iCs/>
          <w:sz w:val="22"/>
          <w:szCs w:val="22"/>
        </w:rPr>
        <w:t xml:space="preserve">meant to be recap, details are </w:t>
      </w:r>
      <w:r>
        <w:rPr>
          <w:bCs/>
          <w:i/>
          <w:iCs/>
          <w:sz w:val="22"/>
          <w:szCs w:val="22"/>
        </w:rPr>
        <w:t>presumed to be self-explanatory</w:t>
      </w:r>
      <w:r w:rsidRPr="00123904">
        <w:rPr>
          <w:bCs/>
          <w:i/>
          <w:iCs/>
          <w:sz w:val="22"/>
          <w:szCs w:val="22"/>
        </w:rPr>
        <w:t>)</w:t>
      </w:r>
      <w:r w:rsidR="001D1E89" w:rsidRPr="00123904">
        <w:rPr>
          <w:bCs/>
          <w:i/>
          <w:iCs/>
          <w:sz w:val="22"/>
          <w:szCs w:val="22"/>
        </w:rPr>
        <w:t xml:space="preserve">: </w:t>
      </w:r>
    </w:p>
    <w:p w14:paraId="2E0D1723" w14:textId="63E3AD1B" w:rsidR="00AA234D" w:rsidRDefault="00CE6E3C" w:rsidP="00AA234D">
      <w:pPr>
        <w:tabs>
          <w:tab w:val="left" w:pos="2660"/>
        </w:tabs>
        <w:jc w:val="center"/>
        <w:rPr>
          <w:bCs/>
          <w:sz w:val="22"/>
          <w:szCs w:val="22"/>
        </w:rPr>
      </w:pPr>
      <w:r>
        <w:object w:dxaOrig="9624" w:dyaOrig="8784" w14:anchorId="5AF90E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55pt;height:472.9pt" o:ole="">
            <v:imagedata r:id="rId8" o:title=""/>
          </v:shape>
          <o:OLEObject Type="Embed" ProgID="Visio.Drawing.15" ShapeID="_x0000_i1025" DrawAspect="Content" ObjectID="_1790688868" r:id="rId9"/>
        </w:object>
      </w:r>
    </w:p>
    <w:p w14:paraId="5FC421A5" w14:textId="36060F21" w:rsidR="00AA234D" w:rsidRDefault="00AA234D" w:rsidP="00AA234D">
      <w:pPr>
        <w:pStyle w:val="Caption"/>
        <w:jc w:val="center"/>
      </w:pPr>
      <w:r>
        <w:t xml:space="preserve">Figure 1: From 3GPP </w:t>
      </w:r>
      <w:r w:rsidR="001D1E89">
        <w:t>TR 33.929 (figure 4.3.4.1-1)</w:t>
      </w:r>
    </w:p>
    <w:p w14:paraId="08D5EA27" w14:textId="4D6A0808" w:rsidR="00AA234D" w:rsidRDefault="001D1E89" w:rsidP="00AA234D">
      <w:pPr>
        <w:tabs>
          <w:tab w:val="left" w:pos="2660"/>
        </w:tabs>
        <w:spacing w:before="120"/>
        <w:jc w:val="both"/>
        <w:rPr>
          <w:bCs/>
          <w:sz w:val="22"/>
          <w:szCs w:val="22"/>
        </w:rPr>
      </w:pPr>
      <w:r>
        <w:rPr>
          <w:bCs/>
          <w:sz w:val="22"/>
          <w:szCs w:val="22"/>
        </w:rPr>
        <w:t xml:space="preserve">As per the initial version of the ID Association Caching, the following information was mandatory in the IEF Association Record: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1D1E89" w14:paraId="116C195B" w14:textId="77777777" w:rsidTr="004C3EA2">
        <w:tc>
          <w:tcPr>
            <w:tcW w:w="1417" w:type="dxa"/>
            <w:tcBorders>
              <w:top w:val="single" w:sz="4" w:space="0" w:color="auto"/>
              <w:left w:val="single" w:sz="4" w:space="0" w:color="auto"/>
              <w:bottom w:val="single" w:sz="4" w:space="0" w:color="auto"/>
              <w:right w:val="single" w:sz="4" w:space="0" w:color="auto"/>
            </w:tcBorders>
            <w:hideMark/>
          </w:tcPr>
          <w:p w14:paraId="5F5557FA" w14:textId="77777777" w:rsidR="001D1E89" w:rsidRDefault="001D1E89" w:rsidP="004C3EA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681CF15A" w14:textId="77777777" w:rsidR="001D1E89" w:rsidRDefault="001D1E89" w:rsidP="004C3EA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3963FA3D" w14:textId="77777777" w:rsidR="001D1E89" w:rsidRDefault="001D1E89" w:rsidP="004C3EA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4B83C941" w14:textId="77777777" w:rsidR="001D1E89" w:rsidRDefault="001D1E89" w:rsidP="004C3EA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19CCAD50" w14:textId="77777777" w:rsidR="001D1E89" w:rsidRDefault="001D1E89" w:rsidP="004C3EA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5C21A2B6" w14:textId="77777777" w:rsidR="001D1E89" w:rsidRDefault="001D1E89" w:rsidP="004C3EA2">
            <w:pPr>
              <w:pStyle w:val="tal0"/>
            </w:pPr>
            <w:r>
              <w:t>N-CGI Time</w:t>
            </w:r>
          </w:p>
        </w:tc>
      </w:tr>
    </w:tbl>
    <w:p w14:paraId="0EDE085E" w14:textId="77777777" w:rsidR="001D1E89" w:rsidRDefault="001D1E89" w:rsidP="001D1E89"/>
    <w:p w14:paraId="7F2FFF6C" w14:textId="04B5C1F4" w:rsidR="001D1E89" w:rsidRDefault="001D1E89" w:rsidP="001D1E89">
      <w:r>
        <w:t xml:space="preserve">And 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CE6E3C" w14:paraId="276269D2" w14:textId="77777777" w:rsidTr="004C3EA2">
        <w:tc>
          <w:tcPr>
            <w:tcW w:w="1276" w:type="dxa"/>
            <w:tcBorders>
              <w:top w:val="single" w:sz="4" w:space="0" w:color="auto"/>
              <w:left w:val="single" w:sz="4" w:space="0" w:color="auto"/>
              <w:bottom w:val="single" w:sz="4" w:space="0" w:color="auto"/>
              <w:right w:val="single" w:sz="4" w:space="0" w:color="auto"/>
            </w:tcBorders>
            <w:hideMark/>
          </w:tcPr>
          <w:p w14:paraId="0B9E056D" w14:textId="77777777" w:rsidR="00CE6E3C" w:rsidRDefault="00CE6E3C" w:rsidP="004C3EA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4842EDEE" w14:textId="77777777" w:rsidR="00CE6E3C" w:rsidRDefault="00CE6E3C" w:rsidP="004C3EA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AAE9A4D" w14:textId="77777777" w:rsidR="00CE6E3C" w:rsidRDefault="00CE6E3C" w:rsidP="004C3EA2">
            <w:pPr>
              <w:pStyle w:val="tal0"/>
            </w:pPr>
            <w:r>
              <w:t>5G TAI List</w:t>
            </w:r>
          </w:p>
        </w:tc>
      </w:tr>
    </w:tbl>
    <w:p w14:paraId="09C953BC" w14:textId="77777777" w:rsidR="00CE6E3C" w:rsidRDefault="00CE6E3C" w:rsidP="001D1E89"/>
    <w:p w14:paraId="0C25E138" w14:textId="682D6A37" w:rsidR="001D1E89" w:rsidRDefault="000148BF" w:rsidP="00AA234D">
      <w:pPr>
        <w:tabs>
          <w:tab w:val="left" w:pos="2660"/>
        </w:tabs>
        <w:spacing w:before="120"/>
        <w:jc w:val="both"/>
      </w:pPr>
      <w:r>
        <w:rPr>
          <w:bCs/>
          <w:sz w:val="22"/>
          <w:szCs w:val="22"/>
        </w:rPr>
        <w:lastRenderedPageBreak/>
        <w:t>Few of the c</w:t>
      </w:r>
      <w:r w:rsidR="001D1E89">
        <w:rPr>
          <w:bCs/>
          <w:sz w:val="22"/>
          <w:szCs w:val="22"/>
        </w:rPr>
        <w:t xml:space="preserve">aching scenarios in support of the above are illustrated in the following diagram taken from TR 33.929-5: </w:t>
      </w:r>
      <w:r w:rsidR="001D1E89">
        <w:object w:dxaOrig="9636" w:dyaOrig="9648" w14:anchorId="251945E4">
          <v:shape id="_x0000_i1026" type="#_x0000_t75" style="width:481.1pt;height:483.25pt" o:ole="">
            <v:imagedata r:id="rId10" o:title=""/>
          </v:shape>
          <o:OLEObject Type="Embed" ProgID="Visio.Drawing.15" ShapeID="_x0000_i1026" DrawAspect="Content" ObjectID="_1790688869" r:id="rId11"/>
        </w:object>
      </w:r>
    </w:p>
    <w:p w14:paraId="5035D12D" w14:textId="355A2950" w:rsidR="001D1E89" w:rsidRDefault="001D1E89" w:rsidP="001D1E89">
      <w:pPr>
        <w:pStyle w:val="Caption"/>
        <w:jc w:val="center"/>
        <w:rPr>
          <w:sz w:val="22"/>
          <w:szCs w:val="22"/>
        </w:rPr>
      </w:pPr>
      <w:r>
        <w:t xml:space="preserve">Figure 2: </w:t>
      </w:r>
      <w:r w:rsidR="000148BF">
        <w:t>Few of the c</w:t>
      </w:r>
      <w:r>
        <w:t>aching scenarios from TR 33.929-5 (figure 4.3.6.1-1)</w:t>
      </w:r>
    </w:p>
    <w:p w14:paraId="7398C845" w14:textId="55FFD6F7" w:rsidR="001D1E89" w:rsidRDefault="001D1E89" w:rsidP="00AA234D">
      <w:pPr>
        <w:tabs>
          <w:tab w:val="left" w:pos="2660"/>
        </w:tabs>
        <w:spacing w:before="120"/>
        <w:jc w:val="both"/>
        <w:rPr>
          <w:bCs/>
          <w:sz w:val="22"/>
          <w:szCs w:val="22"/>
        </w:rPr>
      </w:pPr>
      <w:r>
        <w:rPr>
          <w:bCs/>
          <w:sz w:val="22"/>
          <w:szCs w:val="22"/>
        </w:rPr>
        <w:t>Initially, when the UE registers with the AMF with a SUCI, the AMF gets the SUPI from the UDM for that SUCI and then the AMF gets the PEI from the U</w:t>
      </w:r>
      <w:r w:rsidR="00CE6E3C">
        <w:rPr>
          <w:bCs/>
          <w:sz w:val="22"/>
          <w:szCs w:val="22"/>
        </w:rPr>
        <w:t xml:space="preserve">E. The IEF that way is able to provide the PEI, SUPI, SUCI and the 5G-GUTI among other things to the ICF. </w:t>
      </w:r>
    </w:p>
    <w:p w14:paraId="7397A575" w14:textId="0B73481F" w:rsidR="00CE6E3C" w:rsidRDefault="00CE6E3C" w:rsidP="00AA234D">
      <w:pPr>
        <w:tabs>
          <w:tab w:val="left" w:pos="2660"/>
        </w:tabs>
        <w:spacing w:before="120"/>
        <w:jc w:val="both"/>
        <w:rPr>
          <w:bCs/>
          <w:sz w:val="22"/>
          <w:szCs w:val="22"/>
        </w:rPr>
      </w:pPr>
      <w:r>
        <w:rPr>
          <w:bCs/>
          <w:sz w:val="22"/>
          <w:szCs w:val="22"/>
        </w:rPr>
        <w:t xml:space="preserve">When a new 5G-GUTI is assigned (which may be for another registration request from the UE but using a 5G-GUTI, not SUCI), the AMF does not request (and get) the PEI from the UE and accordingly, the IEF Association Record does not include the PEI. However, the new record in the ICF would include the PEI as well copied from the previous record. The assumption here is that the PEI remains the same. The registration request would have used the SUCI instead of 5G-GUTI for a new PEI. </w:t>
      </w:r>
    </w:p>
    <w:p w14:paraId="54DB6836" w14:textId="448A35EB" w:rsidR="00CE6E3C" w:rsidRDefault="00CE6E3C" w:rsidP="00AA234D">
      <w:pPr>
        <w:tabs>
          <w:tab w:val="left" w:pos="2660"/>
        </w:tabs>
        <w:spacing w:before="120"/>
        <w:jc w:val="both"/>
        <w:rPr>
          <w:bCs/>
          <w:sz w:val="22"/>
          <w:szCs w:val="22"/>
        </w:rPr>
      </w:pPr>
      <w:r>
        <w:rPr>
          <w:bCs/>
          <w:sz w:val="22"/>
          <w:szCs w:val="22"/>
        </w:rPr>
        <w:t xml:space="preserve">Now, CR (S3i210878, SA3LI#83-e-b, 1-5 November of 2021) that introduced the GPSI to the ICF records did so with the following changes: </w:t>
      </w:r>
    </w:p>
    <w:p w14:paraId="2E8A141B" w14:textId="77777777" w:rsidR="00305047" w:rsidRDefault="00305047" w:rsidP="00AA234D">
      <w:pPr>
        <w:tabs>
          <w:tab w:val="left" w:pos="2660"/>
        </w:tabs>
        <w:spacing w:before="120"/>
        <w:jc w:val="both"/>
        <w:rPr>
          <w:bCs/>
          <w:sz w:val="22"/>
          <w:szCs w:val="22"/>
        </w:rPr>
      </w:pPr>
    </w:p>
    <w:p w14:paraId="6D9C4AB6" w14:textId="4BE7168B" w:rsidR="00305047" w:rsidRPr="00305047" w:rsidRDefault="00305047" w:rsidP="00305047">
      <w:pPr>
        <w:pBdr>
          <w:top w:val="single" w:sz="4" w:space="1" w:color="auto"/>
          <w:left w:val="single" w:sz="4" w:space="4" w:color="auto"/>
          <w:bottom w:val="single" w:sz="4" w:space="1" w:color="auto"/>
          <w:right w:val="single" w:sz="4" w:space="4" w:color="auto"/>
        </w:pBdr>
        <w:tabs>
          <w:tab w:val="left" w:pos="2660"/>
        </w:tabs>
        <w:spacing w:before="120"/>
        <w:ind w:left="852"/>
        <w:jc w:val="both"/>
      </w:pPr>
      <w:r w:rsidRPr="00305047">
        <w:rPr>
          <w:bCs/>
          <w:sz w:val="22"/>
          <w:szCs w:val="22"/>
        </w:rPr>
        <w:lastRenderedPageBreak/>
        <w:t xml:space="preserve">Where an IEFAssociationRecord contains a PEI, </w:t>
      </w:r>
      <w:r w:rsidRPr="00305047">
        <w:rPr>
          <w:bCs/>
          <w:color w:val="FF0000"/>
          <w:sz w:val="22"/>
          <w:szCs w:val="22"/>
        </w:rPr>
        <w:t xml:space="preserve">GPSI </w:t>
      </w:r>
      <w:r w:rsidRPr="00305047">
        <w:rPr>
          <w:bCs/>
          <w:sz w:val="22"/>
          <w:szCs w:val="22"/>
        </w:rPr>
        <w:t xml:space="preserve">or a TAI list, the ICF shall store the received values and associate them both the current received SUPI to 5G-GUTI association </w:t>
      </w:r>
      <w:r w:rsidRPr="00305047">
        <w:rPr>
          <w:bCs/>
          <w:sz w:val="22"/>
          <w:szCs w:val="22"/>
          <w:highlight w:val="yellow"/>
        </w:rPr>
        <w:t>and any future association until</w:t>
      </w:r>
      <w:r>
        <w:rPr>
          <w:bCs/>
          <w:sz w:val="22"/>
          <w:szCs w:val="22"/>
        </w:rPr>
        <w:t xml:space="preserve"> </w:t>
      </w:r>
      <w:r w:rsidR="00104D76">
        <w:t>a</w:t>
      </w:r>
      <w:r w:rsidRPr="00305047">
        <w:t xml:space="preserve"> subsequent IEFAssociationRecord is received which updates the PEI, GPSI or TAI list values.</w:t>
      </w:r>
    </w:p>
    <w:p w14:paraId="120685DE" w14:textId="1EE82E00" w:rsidR="00104D76" w:rsidRDefault="00104D76" w:rsidP="00305047">
      <w:pPr>
        <w:tabs>
          <w:tab w:val="left" w:pos="2660"/>
        </w:tabs>
        <w:spacing w:before="120"/>
        <w:jc w:val="both"/>
        <w:rPr>
          <w:bCs/>
          <w:sz w:val="22"/>
          <w:szCs w:val="22"/>
        </w:rPr>
      </w:pPr>
      <w:r>
        <w:rPr>
          <w:bCs/>
          <w:sz w:val="22"/>
          <w:szCs w:val="22"/>
        </w:rPr>
        <w:t xml:space="preserve">Also, there is a NOTE </w:t>
      </w:r>
      <w:r w:rsidR="00751F2D">
        <w:rPr>
          <w:bCs/>
          <w:sz w:val="22"/>
          <w:szCs w:val="22"/>
        </w:rPr>
        <w:t xml:space="preserve">(see below) </w:t>
      </w:r>
      <w:r>
        <w:rPr>
          <w:bCs/>
          <w:sz w:val="22"/>
          <w:szCs w:val="22"/>
        </w:rPr>
        <w:t xml:space="preserve">next to the table that provides the IEF Association Record payload: </w:t>
      </w:r>
    </w:p>
    <w:p w14:paraId="4A05DF63" w14:textId="77777777" w:rsidR="00104D76" w:rsidRPr="00DE4F11" w:rsidRDefault="00104D76" w:rsidP="00751F2D">
      <w:pPr>
        <w:keepLines/>
        <w:pBdr>
          <w:top w:val="single" w:sz="4" w:space="1" w:color="auto"/>
          <w:left w:val="single" w:sz="4" w:space="4" w:color="auto"/>
          <w:bottom w:val="single" w:sz="4" w:space="1" w:color="auto"/>
          <w:right w:val="single" w:sz="4" w:space="4" w:color="auto"/>
        </w:pBdr>
        <w:ind w:left="1135" w:hanging="851"/>
      </w:pPr>
      <w:bookmarkStart w:id="0" w:name="_Hlk55229191"/>
      <w:r w:rsidRPr="00DE4F11">
        <w:t>NOTE 1:</w:t>
      </w:r>
      <w:r w:rsidRPr="00DE4F11">
        <w:tab/>
        <w:t>Shall be provided in first association record to ICF after PEI</w:t>
      </w:r>
      <w:r>
        <w:t xml:space="preserve"> </w:t>
      </w:r>
      <w:r w:rsidRPr="00751F2D">
        <w:rPr>
          <w:color w:val="FF0000"/>
        </w:rPr>
        <w:t xml:space="preserve">or GPSI </w:t>
      </w:r>
      <w:r w:rsidRPr="00DE4F11">
        <w:t>is available and following any change of PEI</w:t>
      </w:r>
      <w:r>
        <w:t xml:space="preserve"> </w:t>
      </w:r>
      <w:r w:rsidRPr="00751F2D">
        <w:rPr>
          <w:color w:val="FF0000"/>
        </w:rPr>
        <w:t>or GPSI</w:t>
      </w:r>
      <w:r w:rsidRPr="00DE4F11">
        <w:t>.</w:t>
      </w:r>
      <w:bookmarkEnd w:id="0"/>
    </w:p>
    <w:p w14:paraId="001AD14C" w14:textId="5A4A27A0" w:rsidR="00CE6E3C" w:rsidRDefault="00305047" w:rsidP="00305047">
      <w:pPr>
        <w:tabs>
          <w:tab w:val="left" w:pos="2660"/>
        </w:tabs>
        <w:spacing w:before="120"/>
        <w:jc w:val="both"/>
        <w:rPr>
          <w:bCs/>
          <w:sz w:val="22"/>
          <w:szCs w:val="22"/>
        </w:rPr>
      </w:pPr>
      <w:r w:rsidRPr="00305047">
        <w:rPr>
          <w:bCs/>
          <w:sz w:val="22"/>
          <w:szCs w:val="22"/>
        </w:rPr>
        <w:t xml:space="preserve">Basically, the CR added </w:t>
      </w:r>
      <w:r w:rsidR="00CE6E3C" w:rsidRPr="00305047">
        <w:rPr>
          <w:bCs/>
          <w:sz w:val="22"/>
          <w:szCs w:val="22"/>
        </w:rPr>
        <w:t>the GPSI to the IEF Association Record</w:t>
      </w:r>
      <w:r w:rsidR="001A1FCF" w:rsidRPr="00305047">
        <w:rPr>
          <w:bCs/>
          <w:sz w:val="22"/>
          <w:szCs w:val="22"/>
        </w:rPr>
        <w:t xml:space="preserve"> with a NOTE saying</w:t>
      </w:r>
      <w:r w:rsidR="00022270">
        <w:rPr>
          <w:bCs/>
          <w:sz w:val="22"/>
          <w:szCs w:val="22"/>
        </w:rPr>
        <w:t xml:space="preserve"> that</w:t>
      </w:r>
      <w:r w:rsidR="001A1FCF" w:rsidRPr="00305047">
        <w:rPr>
          <w:bCs/>
          <w:sz w:val="22"/>
          <w:szCs w:val="22"/>
        </w:rPr>
        <w:t xml:space="preserve"> the GPSI shall be provided </w:t>
      </w:r>
      <w:r w:rsidR="00104D76">
        <w:rPr>
          <w:bCs/>
          <w:sz w:val="22"/>
          <w:szCs w:val="22"/>
        </w:rPr>
        <w:t xml:space="preserve">first time after </w:t>
      </w:r>
      <w:r w:rsidR="001A1FCF" w:rsidRPr="00305047">
        <w:rPr>
          <w:bCs/>
          <w:sz w:val="22"/>
          <w:szCs w:val="22"/>
        </w:rPr>
        <w:t xml:space="preserve">it is available and following any change of GPSI (the text also mentions PEI, but left out of this discussion). </w:t>
      </w:r>
    </w:p>
    <w:p w14:paraId="2B5BE309" w14:textId="354C0539" w:rsidR="00022270" w:rsidRDefault="00104D76" w:rsidP="00305047">
      <w:pPr>
        <w:tabs>
          <w:tab w:val="left" w:pos="2660"/>
        </w:tabs>
        <w:spacing w:before="120"/>
        <w:jc w:val="both"/>
        <w:rPr>
          <w:bCs/>
          <w:sz w:val="22"/>
          <w:szCs w:val="22"/>
        </w:rPr>
      </w:pPr>
      <w:r>
        <w:rPr>
          <w:bCs/>
          <w:sz w:val="22"/>
          <w:szCs w:val="22"/>
        </w:rPr>
        <w:t xml:space="preserve">The figure 2 (of this contribution) modified to include GPSI will look as shown below: </w:t>
      </w:r>
    </w:p>
    <w:p w14:paraId="5003A5D8" w14:textId="404B72D4" w:rsidR="00104D76" w:rsidRDefault="00561200" w:rsidP="00305047">
      <w:pPr>
        <w:tabs>
          <w:tab w:val="left" w:pos="2660"/>
        </w:tabs>
        <w:spacing w:before="120"/>
        <w:jc w:val="both"/>
      </w:pPr>
      <w:r>
        <w:object w:dxaOrig="26833" w:dyaOrig="29161" w14:anchorId="302044F4">
          <v:shape id="_x0000_i1062" type="#_x0000_t75" style="width:481.65pt;height:476.75pt" o:ole="">
            <v:imagedata r:id="rId12" o:title=""/>
          </v:shape>
          <o:OLEObject Type="Embed" ProgID="Visio.Drawing.15" ShapeID="_x0000_i1062" DrawAspect="Content" ObjectID="_1790688870" r:id="rId13"/>
        </w:object>
      </w:r>
    </w:p>
    <w:p w14:paraId="0FDF0EDA" w14:textId="33AE883C" w:rsidR="00104D76" w:rsidRDefault="00104D76" w:rsidP="00104D76">
      <w:pPr>
        <w:pStyle w:val="Caption"/>
        <w:jc w:val="center"/>
        <w:rPr>
          <w:sz w:val="22"/>
          <w:szCs w:val="22"/>
        </w:rPr>
      </w:pPr>
      <w:r>
        <w:t xml:space="preserve">Figure 3: </w:t>
      </w:r>
      <w:r>
        <w:t>Few of the caching scenarios from TR 33.929-5 (figure 4.3.6.1-</w:t>
      </w:r>
      <w:r>
        <w:t>1</w:t>
      </w:r>
      <w:r>
        <w:t>)</w:t>
      </w:r>
      <w:r>
        <w:t>, modified to include GPSI</w:t>
      </w:r>
    </w:p>
    <w:p w14:paraId="739B5EDC" w14:textId="0E0819B4" w:rsidR="00104D76" w:rsidRPr="00305047" w:rsidRDefault="00104D76" w:rsidP="00305047">
      <w:pPr>
        <w:tabs>
          <w:tab w:val="left" w:pos="2660"/>
        </w:tabs>
        <w:spacing w:before="120"/>
        <w:jc w:val="both"/>
        <w:rPr>
          <w:bCs/>
          <w:sz w:val="22"/>
          <w:szCs w:val="22"/>
        </w:rPr>
      </w:pPr>
      <w:r>
        <w:rPr>
          <w:bCs/>
          <w:sz w:val="22"/>
          <w:szCs w:val="22"/>
        </w:rPr>
        <w:lastRenderedPageBreak/>
        <w:t>It is assumed that the AMF would get the Access and Mobility (AM) Subscription Data from the UDM which would include the GPSI among other AM subscription data. It is also assumed that the AMF would subscribe to UDM for any AM Data subscription data change</w:t>
      </w:r>
      <w:r w:rsidR="00751F2D">
        <w:rPr>
          <w:bCs/>
          <w:sz w:val="22"/>
          <w:szCs w:val="22"/>
        </w:rPr>
        <w:t xml:space="preserve"> notification</w:t>
      </w:r>
      <w:r>
        <w:rPr>
          <w:bCs/>
          <w:sz w:val="22"/>
          <w:szCs w:val="22"/>
        </w:rPr>
        <w:t xml:space="preserve">s. </w:t>
      </w:r>
    </w:p>
    <w:p w14:paraId="19E5439C" w14:textId="77777777" w:rsidR="00305047" w:rsidRPr="00305047" w:rsidRDefault="00305047" w:rsidP="00305047">
      <w:pPr>
        <w:pBdr>
          <w:bottom w:val="single" w:sz="4" w:space="1" w:color="auto"/>
        </w:pBdr>
        <w:spacing w:before="120" w:after="120"/>
        <w:rPr>
          <w:b/>
          <w:i/>
          <w:sz w:val="36"/>
          <w:szCs w:val="36"/>
        </w:rPr>
      </w:pPr>
      <w:r w:rsidRPr="00305047">
        <w:rPr>
          <w:b/>
          <w:i/>
          <w:sz w:val="36"/>
          <w:szCs w:val="36"/>
        </w:rPr>
        <w:t>Discussion</w:t>
      </w:r>
    </w:p>
    <w:p w14:paraId="679BFBB3" w14:textId="6200A916" w:rsidR="00305047" w:rsidRDefault="00305047" w:rsidP="00305047">
      <w:pPr>
        <w:tabs>
          <w:tab w:val="left" w:pos="2660"/>
        </w:tabs>
        <w:spacing w:before="120"/>
        <w:jc w:val="both"/>
        <w:rPr>
          <w:bCs/>
          <w:sz w:val="22"/>
          <w:szCs w:val="22"/>
        </w:rPr>
      </w:pPr>
      <w:r>
        <w:rPr>
          <w:bCs/>
          <w:sz w:val="22"/>
          <w:szCs w:val="22"/>
        </w:rPr>
        <w:t>The discussion focusses on the GPSI part</w:t>
      </w:r>
      <w:r w:rsidR="00104D76">
        <w:rPr>
          <w:bCs/>
          <w:sz w:val="22"/>
          <w:szCs w:val="22"/>
        </w:rPr>
        <w:t xml:space="preserve">. </w:t>
      </w:r>
      <w:r>
        <w:rPr>
          <w:bCs/>
          <w:sz w:val="22"/>
          <w:szCs w:val="22"/>
        </w:rPr>
        <w:t xml:space="preserve"> </w:t>
      </w:r>
      <w:r w:rsidR="00104D76">
        <w:rPr>
          <w:bCs/>
          <w:sz w:val="22"/>
          <w:szCs w:val="22"/>
        </w:rPr>
        <w:t xml:space="preserve"> </w:t>
      </w:r>
    </w:p>
    <w:p w14:paraId="23FD78C7" w14:textId="1FA58574" w:rsidR="00305047" w:rsidRDefault="00426B2D" w:rsidP="00305047">
      <w:pPr>
        <w:tabs>
          <w:tab w:val="left" w:pos="2660"/>
        </w:tabs>
        <w:spacing w:before="120"/>
        <w:jc w:val="both"/>
        <w:rPr>
          <w:bCs/>
          <w:sz w:val="22"/>
          <w:szCs w:val="22"/>
        </w:rPr>
      </w:pPr>
      <w:r>
        <w:rPr>
          <w:bCs/>
          <w:sz w:val="22"/>
          <w:szCs w:val="22"/>
        </w:rPr>
        <w:t xml:space="preserve">Another diagram of TR 33.929-5 is modified to show the flow with GPSI included: </w:t>
      </w:r>
    </w:p>
    <w:p w14:paraId="34959EB7" w14:textId="20F4A72B" w:rsidR="00426B2D" w:rsidRDefault="00AB254A" w:rsidP="00305047">
      <w:pPr>
        <w:tabs>
          <w:tab w:val="left" w:pos="2660"/>
        </w:tabs>
        <w:spacing w:before="120"/>
        <w:jc w:val="both"/>
      </w:pPr>
      <w:r>
        <w:object w:dxaOrig="19278" w:dyaOrig="16728" w14:anchorId="0D608D00">
          <v:shape id="_x0000_i1034" type="#_x0000_t75" style="width:482.2pt;height:418.35pt" o:ole="">
            <v:imagedata r:id="rId14" o:title=""/>
          </v:shape>
          <o:OLEObject Type="Embed" ProgID="Visio.Drawing.15" ShapeID="_x0000_i1034" DrawAspect="Content" ObjectID="_1790688871" r:id="rId15"/>
        </w:object>
      </w:r>
    </w:p>
    <w:p w14:paraId="7B08FBFB" w14:textId="13CCE457" w:rsidR="00426B2D" w:rsidRDefault="00426B2D" w:rsidP="00426B2D">
      <w:pPr>
        <w:pStyle w:val="Caption"/>
        <w:jc w:val="center"/>
        <w:rPr>
          <w:sz w:val="22"/>
          <w:szCs w:val="22"/>
        </w:rPr>
      </w:pPr>
      <w:r>
        <w:t xml:space="preserve">Figure </w:t>
      </w:r>
      <w:r w:rsidR="00AB254A">
        <w:t>4</w:t>
      </w:r>
      <w:r>
        <w:t>:</w:t>
      </w:r>
      <w:r w:rsidR="00AB254A">
        <w:t xml:space="preserve"> Another </w:t>
      </w:r>
      <w:r>
        <w:t xml:space="preserve">TR 33.929-5 diagram </w:t>
      </w:r>
      <w:r w:rsidR="00AB254A">
        <w:t xml:space="preserve">(redrawn 4.5.4.2-1), </w:t>
      </w:r>
      <w:r>
        <w:t>is modified to include GPSI</w:t>
      </w:r>
    </w:p>
    <w:p w14:paraId="3968B2EA" w14:textId="62C0986A" w:rsidR="00305047" w:rsidRDefault="00AB254A" w:rsidP="00305047">
      <w:pPr>
        <w:tabs>
          <w:tab w:val="left" w:pos="2660"/>
        </w:tabs>
        <w:spacing w:before="120"/>
        <w:jc w:val="both"/>
        <w:rPr>
          <w:bCs/>
          <w:sz w:val="22"/>
          <w:szCs w:val="22"/>
        </w:rPr>
      </w:pPr>
      <w:r>
        <w:rPr>
          <w:bCs/>
          <w:sz w:val="22"/>
          <w:szCs w:val="22"/>
        </w:rPr>
        <w:t xml:space="preserve">As in figure 3, the </w:t>
      </w:r>
      <w:r w:rsidR="00426B2D">
        <w:rPr>
          <w:bCs/>
          <w:sz w:val="22"/>
          <w:szCs w:val="22"/>
        </w:rPr>
        <w:t xml:space="preserve">figure </w:t>
      </w:r>
      <w:r>
        <w:rPr>
          <w:bCs/>
          <w:sz w:val="22"/>
          <w:szCs w:val="22"/>
        </w:rPr>
        <w:t>4</w:t>
      </w:r>
      <w:r w:rsidR="00426B2D">
        <w:rPr>
          <w:bCs/>
          <w:sz w:val="22"/>
          <w:szCs w:val="22"/>
        </w:rPr>
        <w:t xml:space="preserve"> presumes that during the registration, the AMF gets the </w:t>
      </w:r>
      <w:r>
        <w:rPr>
          <w:bCs/>
          <w:sz w:val="22"/>
          <w:szCs w:val="22"/>
        </w:rPr>
        <w:t xml:space="preserve">AM </w:t>
      </w:r>
      <w:r w:rsidR="00426B2D">
        <w:rPr>
          <w:bCs/>
          <w:sz w:val="22"/>
          <w:szCs w:val="22"/>
        </w:rPr>
        <w:t xml:space="preserve">subscription data </w:t>
      </w:r>
      <w:r>
        <w:rPr>
          <w:bCs/>
          <w:sz w:val="22"/>
          <w:szCs w:val="22"/>
        </w:rPr>
        <w:t xml:space="preserve">for the UE </w:t>
      </w:r>
      <w:r w:rsidR="00426B2D">
        <w:rPr>
          <w:bCs/>
          <w:sz w:val="22"/>
          <w:szCs w:val="22"/>
        </w:rPr>
        <w:t xml:space="preserve">which among other things includes the GPSI (shown as </w:t>
      </w:r>
      <w:r w:rsidR="00426B2D" w:rsidRPr="00426B2D">
        <w:rPr>
          <w:bCs/>
          <w:color w:val="FF0000"/>
          <w:sz w:val="22"/>
          <w:szCs w:val="22"/>
        </w:rPr>
        <w:t>GPSI-1</w:t>
      </w:r>
      <w:r w:rsidR="00426B2D">
        <w:rPr>
          <w:bCs/>
          <w:sz w:val="22"/>
          <w:szCs w:val="22"/>
        </w:rPr>
        <w:t xml:space="preserve">). Accordingly, the IEF Association Record and ICF would contain the </w:t>
      </w:r>
      <w:r w:rsidR="00426B2D" w:rsidRPr="000148BF">
        <w:rPr>
          <w:bCs/>
          <w:color w:val="FF0000"/>
          <w:sz w:val="22"/>
          <w:szCs w:val="22"/>
        </w:rPr>
        <w:t xml:space="preserve">GPSI-1 </w:t>
      </w:r>
      <w:r w:rsidR="00426B2D">
        <w:rPr>
          <w:bCs/>
          <w:sz w:val="22"/>
          <w:szCs w:val="22"/>
        </w:rPr>
        <w:t xml:space="preserve">in the cached record. </w:t>
      </w:r>
      <w:r>
        <w:rPr>
          <w:bCs/>
          <w:sz w:val="22"/>
          <w:szCs w:val="22"/>
        </w:rPr>
        <w:t xml:space="preserve"> </w:t>
      </w:r>
    </w:p>
    <w:p w14:paraId="1CF93127" w14:textId="79EF3DDE" w:rsidR="00426B2D" w:rsidRDefault="00426B2D" w:rsidP="00305047">
      <w:pPr>
        <w:tabs>
          <w:tab w:val="left" w:pos="2660"/>
        </w:tabs>
        <w:spacing w:before="120"/>
        <w:jc w:val="both"/>
        <w:rPr>
          <w:bCs/>
          <w:sz w:val="22"/>
          <w:szCs w:val="22"/>
        </w:rPr>
      </w:pPr>
      <w:r>
        <w:rPr>
          <w:bCs/>
          <w:sz w:val="22"/>
          <w:szCs w:val="22"/>
        </w:rPr>
        <w:t xml:space="preserve">The figure </w:t>
      </w:r>
      <w:r w:rsidR="00AB254A">
        <w:rPr>
          <w:bCs/>
          <w:sz w:val="22"/>
          <w:szCs w:val="22"/>
        </w:rPr>
        <w:t>4</w:t>
      </w:r>
      <w:r>
        <w:rPr>
          <w:bCs/>
          <w:sz w:val="22"/>
          <w:szCs w:val="22"/>
        </w:rPr>
        <w:t xml:space="preserve"> also presumes that the AMF subscribes to the </w:t>
      </w:r>
      <w:r w:rsidR="00AB254A">
        <w:rPr>
          <w:bCs/>
          <w:sz w:val="22"/>
          <w:szCs w:val="22"/>
        </w:rPr>
        <w:t xml:space="preserve">AM </w:t>
      </w:r>
      <w:r>
        <w:rPr>
          <w:bCs/>
          <w:sz w:val="22"/>
          <w:szCs w:val="22"/>
        </w:rPr>
        <w:t xml:space="preserve">subscriber data change notifications. </w:t>
      </w:r>
      <w:r w:rsidR="000148BF">
        <w:rPr>
          <w:bCs/>
          <w:sz w:val="22"/>
          <w:szCs w:val="22"/>
        </w:rPr>
        <w:t xml:space="preserve"> </w:t>
      </w:r>
    </w:p>
    <w:p w14:paraId="11F75B7E" w14:textId="62EA8979" w:rsidR="000148BF" w:rsidRDefault="00426B2D" w:rsidP="00305047">
      <w:pPr>
        <w:tabs>
          <w:tab w:val="left" w:pos="2660"/>
        </w:tabs>
        <w:spacing w:before="120"/>
        <w:jc w:val="both"/>
        <w:rPr>
          <w:bCs/>
          <w:sz w:val="22"/>
          <w:szCs w:val="22"/>
        </w:rPr>
      </w:pPr>
      <w:r>
        <w:rPr>
          <w:bCs/>
          <w:sz w:val="22"/>
          <w:szCs w:val="22"/>
        </w:rPr>
        <w:t>At time T</w:t>
      </w:r>
      <w:r w:rsidR="00AB254A">
        <w:rPr>
          <w:bCs/>
          <w:sz w:val="22"/>
          <w:szCs w:val="22"/>
        </w:rPr>
        <w:t>1</w:t>
      </w:r>
      <w:r>
        <w:rPr>
          <w:bCs/>
          <w:sz w:val="22"/>
          <w:szCs w:val="22"/>
        </w:rPr>
        <w:t xml:space="preserve">, the GPSI for the SUPI-1 is changed to </w:t>
      </w:r>
      <w:r w:rsidRPr="00426B2D">
        <w:rPr>
          <w:bCs/>
          <w:color w:val="FF00FF"/>
          <w:sz w:val="22"/>
          <w:szCs w:val="22"/>
        </w:rPr>
        <w:t>GPSI-2</w:t>
      </w:r>
      <w:r>
        <w:rPr>
          <w:bCs/>
          <w:sz w:val="22"/>
          <w:szCs w:val="22"/>
        </w:rPr>
        <w:t xml:space="preserve">. </w:t>
      </w:r>
    </w:p>
    <w:p w14:paraId="0D5D14E4" w14:textId="5D4110A9" w:rsidR="000148BF" w:rsidRDefault="000148BF" w:rsidP="000148BF">
      <w:pPr>
        <w:pStyle w:val="NO"/>
      </w:pPr>
      <w:r>
        <w:t>NOTE:</w:t>
      </w:r>
      <w:r>
        <w:tab/>
        <w:t>Occurrence of such a</w:t>
      </w:r>
      <w:r w:rsidR="00751F2D">
        <w:t>n event</w:t>
      </w:r>
      <w:r>
        <w:t xml:space="preserve"> can be a rarity, never-the-less, </w:t>
      </w:r>
      <w:r w:rsidR="00AB254A">
        <w:t xml:space="preserve">the illustration shows a possible consequence </w:t>
      </w:r>
      <w:r w:rsidR="00751F2D">
        <w:t xml:space="preserve">of such a change on ID Association Caching, if </w:t>
      </w:r>
      <w:r w:rsidR="00AB254A">
        <w:t>such a change ever happens</w:t>
      </w:r>
      <w:r w:rsidR="00751F2D">
        <w:t xml:space="preserve">. </w:t>
      </w:r>
      <w:r w:rsidR="00AB254A">
        <w:t xml:space="preserve"> </w:t>
      </w:r>
      <w:r w:rsidR="00751F2D">
        <w:t xml:space="preserve"> </w:t>
      </w:r>
    </w:p>
    <w:p w14:paraId="770A6E7A" w14:textId="2970D99D" w:rsidR="00426B2D" w:rsidRDefault="000148BF" w:rsidP="00305047">
      <w:pPr>
        <w:tabs>
          <w:tab w:val="left" w:pos="2660"/>
        </w:tabs>
        <w:spacing w:before="120"/>
        <w:jc w:val="both"/>
        <w:rPr>
          <w:bCs/>
          <w:sz w:val="22"/>
          <w:szCs w:val="22"/>
        </w:rPr>
      </w:pPr>
      <w:r>
        <w:rPr>
          <w:bCs/>
          <w:sz w:val="22"/>
          <w:szCs w:val="22"/>
        </w:rPr>
        <w:lastRenderedPageBreak/>
        <w:t>Another</w:t>
      </w:r>
      <w:r w:rsidR="00426B2D">
        <w:rPr>
          <w:bCs/>
          <w:sz w:val="22"/>
          <w:szCs w:val="22"/>
        </w:rPr>
        <w:t xml:space="preserve"> IEF Association Record</w:t>
      </w:r>
      <w:r>
        <w:rPr>
          <w:bCs/>
          <w:sz w:val="22"/>
          <w:szCs w:val="22"/>
        </w:rPr>
        <w:t>, however,</w:t>
      </w:r>
      <w:r w:rsidR="00426B2D">
        <w:rPr>
          <w:bCs/>
          <w:sz w:val="22"/>
          <w:szCs w:val="22"/>
        </w:rPr>
        <w:t xml:space="preserve"> is sent to the ICF only when the next time a new 5G-GUTI is assigned to the UE</w:t>
      </w:r>
      <w:r w:rsidR="00F3738C">
        <w:rPr>
          <w:bCs/>
          <w:sz w:val="22"/>
          <w:szCs w:val="22"/>
        </w:rPr>
        <w:t xml:space="preserve">. </w:t>
      </w:r>
      <w:r>
        <w:rPr>
          <w:bCs/>
          <w:sz w:val="22"/>
          <w:szCs w:val="22"/>
        </w:rPr>
        <w:t xml:space="preserve">Therefore, any </w:t>
      </w:r>
      <w:r w:rsidR="00F3738C">
        <w:rPr>
          <w:bCs/>
          <w:sz w:val="22"/>
          <w:szCs w:val="22"/>
        </w:rPr>
        <w:t>quer</w:t>
      </w:r>
      <w:r>
        <w:rPr>
          <w:bCs/>
          <w:sz w:val="22"/>
          <w:szCs w:val="22"/>
        </w:rPr>
        <w:t xml:space="preserve">ies </w:t>
      </w:r>
      <w:r w:rsidR="00F3738C">
        <w:rPr>
          <w:bCs/>
          <w:sz w:val="22"/>
          <w:szCs w:val="22"/>
        </w:rPr>
        <w:t>from LEA</w:t>
      </w:r>
      <w:r>
        <w:rPr>
          <w:bCs/>
          <w:sz w:val="22"/>
          <w:szCs w:val="22"/>
        </w:rPr>
        <w:t>s</w:t>
      </w:r>
      <w:r w:rsidR="00F3738C">
        <w:rPr>
          <w:bCs/>
          <w:sz w:val="22"/>
          <w:szCs w:val="22"/>
        </w:rPr>
        <w:t xml:space="preserve"> (shown as (</w:t>
      </w:r>
      <w:r w:rsidR="00AB254A">
        <w:rPr>
          <w:bCs/>
          <w:sz w:val="22"/>
          <w:szCs w:val="22"/>
        </w:rPr>
        <w:t>1</w:t>
      </w:r>
      <w:r w:rsidR="00F3738C">
        <w:rPr>
          <w:bCs/>
          <w:sz w:val="22"/>
          <w:szCs w:val="22"/>
        </w:rPr>
        <w:t xml:space="preserve">)) </w:t>
      </w:r>
      <w:r>
        <w:rPr>
          <w:bCs/>
          <w:sz w:val="22"/>
          <w:szCs w:val="22"/>
        </w:rPr>
        <w:t xml:space="preserve">before the 5G-GUTI is changed again </w:t>
      </w:r>
      <w:r w:rsidR="00F3738C">
        <w:rPr>
          <w:bCs/>
          <w:sz w:val="22"/>
          <w:szCs w:val="22"/>
        </w:rPr>
        <w:t xml:space="preserve">would get them the </w:t>
      </w:r>
      <w:r w:rsidR="00F3738C" w:rsidRPr="00F3738C">
        <w:rPr>
          <w:bCs/>
          <w:color w:val="FF0000"/>
          <w:sz w:val="22"/>
          <w:szCs w:val="22"/>
        </w:rPr>
        <w:t xml:space="preserve">GPSI-1 </w:t>
      </w:r>
      <w:r w:rsidR="00F3738C">
        <w:rPr>
          <w:bCs/>
          <w:sz w:val="22"/>
          <w:szCs w:val="22"/>
        </w:rPr>
        <w:t xml:space="preserve">even though the </w:t>
      </w:r>
      <w:r w:rsidR="00F3738C" w:rsidRPr="00F3738C">
        <w:rPr>
          <w:bCs/>
          <w:color w:val="FF00FF"/>
          <w:sz w:val="22"/>
          <w:szCs w:val="22"/>
        </w:rPr>
        <w:t xml:space="preserve">GPSI-2 </w:t>
      </w:r>
      <w:r w:rsidR="00F3738C">
        <w:rPr>
          <w:bCs/>
          <w:sz w:val="22"/>
          <w:szCs w:val="22"/>
        </w:rPr>
        <w:t xml:space="preserve">is associated with the UE at the observed time indicated by the LEA in the request. </w:t>
      </w:r>
    </w:p>
    <w:p w14:paraId="1D2CF2CB" w14:textId="11554BDB" w:rsidR="00AB254A" w:rsidRDefault="00AB254A" w:rsidP="00305047">
      <w:pPr>
        <w:tabs>
          <w:tab w:val="left" w:pos="2660"/>
        </w:tabs>
        <w:spacing w:before="120"/>
        <w:jc w:val="both"/>
        <w:rPr>
          <w:bCs/>
          <w:sz w:val="22"/>
          <w:szCs w:val="22"/>
        </w:rPr>
      </w:pPr>
      <w:r>
        <w:rPr>
          <w:bCs/>
          <w:sz w:val="22"/>
          <w:szCs w:val="22"/>
        </w:rPr>
        <w:t xml:space="preserve">So, a query could give an incorrect GPSI to the LEAs. </w:t>
      </w:r>
    </w:p>
    <w:p w14:paraId="6FFAFD19" w14:textId="77777777" w:rsidR="004451D0" w:rsidRDefault="00F3738C" w:rsidP="004451D0">
      <w:pPr>
        <w:pBdr>
          <w:top w:val="single" w:sz="4" w:space="1" w:color="auto"/>
          <w:left w:val="single" w:sz="4" w:space="4" w:color="auto"/>
          <w:bottom w:val="single" w:sz="4" w:space="1" w:color="auto"/>
          <w:right w:val="single" w:sz="4" w:space="4" w:color="auto"/>
        </w:pBdr>
        <w:shd w:val="clear" w:color="auto" w:fill="DEEAF6" w:themeFill="accent5" w:themeFillTint="33"/>
        <w:tabs>
          <w:tab w:val="left" w:pos="2660"/>
        </w:tabs>
        <w:spacing w:before="120"/>
        <w:jc w:val="both"/>
        <w:rPr>
          <w:bCs/>
          <w:color w:val="7030A0"/>
          <w:sz w:val="22"/>
          <w:szCs w:val="22"/>
          <w:highlight w:val="yellow"/>
        </w:rPr>
      </w:pPr>
      <w:r w:rsidRPr="000148BF">
        <w:rPr>
          <w:bCs/>
          <w:color w:val="7030A0"/>
          <w:sz w:val="22"/>
          <w:szCs w:val="22"/>
          <w:highlight w:val="yellow"/>
        </w:rPr>
        <w:t>Discussion point</w:t>
      </w:r>
      <w:r w:rsidR="004451D0">
        <w:rPr>
          <w:bCs/>
          <w:color w:val="7030A0"/>
          <w:sz w:val="22"/>
          <w:szCs w:val="22"/>
          <w:highlight w:val="yellow"/>
        </w:rPr>
        <w:t>s</w:t>
      </w:r>
    </w:p>
    <w:p w14:paraId="37AA6848" w14:textId="65644398" w:rsidR="000148BF" w:rsidRDefault="00F3738C" w:rsidP="004451D0">
      <w:pPr>
        <w:pBdr>
          <w:top w:val="single" w:sz="4" w:space="1" w:color="auto"/>
          <w:left w:val="single" w:sz="4" w:space="4" w:color="auto"/>
          <w:bottom w:val="single" w:sz="4" w:space="1" w:color="auto"/>
          <w:right w:val="single" w:sz="4" w:space="4" w:color="auto"/>
        </w:pBdr>
        <w:shd w:val="clear" w:color="auto" w:fill="DEEAF6" w:themeFill="accent5" w:themeFillTint="33"/>
        <w:tabs>
          <w:tab w:val="left" w:pos="2660"/>
        </w:tabs>
        <w:spacing w:before="120"/>
        <w:jc w:val="both"/>
        <w:rPr>
          <w:bCs/>
          <w:color w:val="7030A0"/>
          <w:sz w:val="22"/>
          <w:szCs w:val="22"/>
          <w:highlight w:val="yellow"/>
        </w:rPr>
      </w:pPr>
      <w:r w:rsidRPr="000148BF">
        <w:rPr>
          <w:bCs/>
          <w:color w:val="7030A0"/>
          <w:sz w:val="22"/>
          <w:szCs w:val="22"/>
          <w:highlight w:val="yellow"/>
        </w:rPr>
        <w:t>Should this be fixed</w:t>
      </w:r>
      <w:r w:rsidR="000148BF">
        <w:rPr>
          <w:bCs/>
          <w:color w:val="7030A0"/>
          <w:sz w:val="22"/>
          <w:szCs w:val="22"/>
          <w:highlight w:val="yellow"/>
        </w:rPr>
        <w:t xml:space="preserve"> in the sense make changes to ensure the LEAs would get the current GPSI </w:t>
      </w:r>
      <w:r w:rsidR="004451D0">
        <w:rPr>
          <w:bCs/>
          <w:color w:val="7030A0"/>
          <w:sz w:val="22"/>
          <w:szCs w:val="22"/>
          <w:highlight w:val="yellow"/>
        </w:rPr>
        <w:t>to their queries</w:t>
      </w:r>
      <w:r w:rsidRPr="000148BF">
        <w:rPr>
          <w:bCs/>
          <w:color w:val="7030A0"/>
          <w:sz w:val="22"/>
          <w:szCs w:val="22"/>
          <w:highlight w:val="yellow"/>
        </w:rPr>
        <w:t>?</w:t>
      </w:r>
    </w:p>
    <w:p w14:paraId="0B8A5A92" w14:textId="77777777" w:rsidR="004451D0" w:rsidRDefault="004451D0" w:rsidP="004451D0">
      <w:pPr>
        <w:pBdr>
          <w:top w:val="single" w:sz="4" w:space="1" w:color="auto"/>
          <w:left w:val="single" w:sz="4" w:space="4" w:color="auto"/>
          <w:bottom w:val="single" w:sz="4" w:space="1" w:color="auto"/>
          <w:right w:val="single" w:sz="4" w:space="4" w:color="auto"/>
        </w:pBdr>
        <w:shd w:val="clear" w:color="auto" w:fill="DEEAF6" w:themeFill="accent5" w:themeFillTint="33"/>
        <w:tabs>
          <w:tab w:val="left" w:pos="2660"/>
        </w:tabs>
        <w:spacing w:before="120"/>
        <w:jc w:val="both"/>
        <w:rPr>
          <w:bCs/>
          <w:color w:val="7030A0"/>
          <w:sz w:val="22"/>
          <w:szCs w:val="22"/>
          <w:highlight w:val="yellow"/>
        </w:rPr>
      </w:pPr>
      <w:r>
        <w:rPr>
          <w:bCs/>
          <w:color w:val="7030A0"/>
          <w:sz w:val="22"/>
          <w:szCs w:val="22"/>
          <w:highlight w:val="yellow"/>
        </w:rPr>
        <w:t>OR</w:t>
      </w:r>
    </w:p>
    <w:p w14:paraId="6EB0D20D" w14:textId="4ED6FFB4" w:rsidR="00F3738C" w:rsidRDefault="004451D0" w:rsidP="004451D0">
      <w:pPr>
        <w:pBdr>
          <w:top w:val="single" w:sz="4" w:space="1" w:color="auto"/>
          <w:left w:val="single" w:sz="4" w:space="4" w:color="auto"/>
          <w:bottom w:val="single" w:sz="4" w:space="1" w:color="auto"/>
          <w:right w:val="single" w:sz="4" w:space="4" w:color="auto"/>
        </w:pBdr>
        <w:shd w:val="clear" w:color="auto" w:fill="DEEAF6" w:themeFill="accent5" w:themeFillTint="33"/>
        <w:tabs>
          <w:tab w:val="left" w:pos="2660"/>
        </w:tabs>
        <w:spacing w:before="120"/>
        <w:jc w:val="both"/>
        <w:rPr>
          <w:bCs/>
          <w:color w:val="7030A0"/>
          <w:sz w:val="22"/>
          <w:szCs w:val="22"/>
        </w:rPr>
      </w:pPr>
      <w:r>
        <w:rPr>
          <w:bCs/>
          <w:color w:val="7030A0"/>
          <w:sz w:val="22"/>
          <w:szCs w:val="22"/>
          <w:highlight w:val="yellow"/>
        </w:rPr>
        <w:t>S</w:t>
      </w:r>
      <w:r w:rsidR="00F3738C" w:rsidRPr="000148BF">
        <w:rPr>
          <w:bCs/>
          <w:color w:val="7030A0"/>
          <w:sz w:val="22"/>
          <w:szCs w:val="22"/>
          <w:highlight w:val="yellow"/>
        </w:rPr>
        <w:t>hould the TS be amended to have a NOTE to indicate th</w:t>
      </w:r>
      <w:r w:rsidR="00751F2D">
        <w:rPr>
          <w:bCs/>
          <w:color w:val="7030A0"/>
          <w:sz w:val="22"/>
          <w:szCs w:val="22"/>
          <w:highlight w:val="yellow"/>
        </w:rPr>
        <w:t>at the</w:t>
      </w:r>
      <w:r w:rsidR="00F3738C" w:rsidRPr="000148BF">
        <w:rPr>
          <w:bCs/>
          <w:color w:val="7030A0"/>
          <w:sz w:val="22"/>
          <w:szCs w:val="22"/>
          <w:highlight w:val="yellow"/>
        </w:rPr>
        <w:t xml:space="preserve"> GPSI returned in response </w:t>
      </w:r>
      <w:r>
        <w:rPr>
          <w:bCs/>
          <w:color w:val="7030A0"/>
          <w:sz w:val="22"/>
          <w:szCs w:val="22"/>
          <w:highlight w:val="yellow"/>
        </w:rPr>
        <w:t xml:space="preserve">to a query </w:t>
      </w:r>
      <w:r w:rsidR="00F3738C" w:rsidRPr="000148BF">
        <w:rPr>
          <w:bCs/>
          <w:color w:val="7030A0"/>
          <w:sz w:val="22"/>
          <w:szCs w:val="22"/>
          <w:highlight w:val="yellow"/>
        </w:rPr>
        <w:t xml:space="preserve">may not be </w:t>
      </w:r>
      <w:r w:rsidR="00AB254A">
        <w:rPr>
          <w:bCs/>
          <w:color w:val="7030A0"/>
          <w:sz w:val="22"/>
          <w:szCs w:val="22"/>
          <w:highlight w:val="yellow"/>
        </w:rPr>
        <w:t xml:space="preserve">the </w:t>
      </w:r>
      <w:r w:rsidR="00F3738C" w:rsidRPr="000148BF">
        <w:rPr>
          <w:bCs/>
          <w:color w:val="7030A0"/>
          <w:sz w:val="22"/>
          <w:szCs w:val="22"/>
          <w:highlight w:val="yellow"/>
        </w:rPr>
        <w:t>current GPSI associated with the UE?</w:t>
      </w:r>
    </w:p>
    <w:p w14:paraId="472020CC" w14:textId="0904AD75" w:rsidR="004451D0" w:rsidRDefault="004451D0" w:rsidP="004451D0">
      <w:pPr>
        <w:pBdr>
          <w:top w:val="single" w:sz="4" w:space="1" w:color="auto"/>
          <w:left w:val="single" w:sz="4" w:space="4" w:color="auto"/>
          <w:bottom w:val="single" w:sz="4" w:space="1" w:color="auto"/>
          <w:right w:val="single" w:sz="4" w:space="4" w:color="auto"/>
        </w:pBdr>
        <w:shd w:val="clear" w:color="auto" w:fill="DEEAF6" w:themeFill="accent5" w:themeFillTint="33"/>
        <w:tabs>
          <w:tab w:val="left" w:pos="2660"/>
        </w:tabs>
        <w:spacing w:before="120"/>
        <w:jc w:val="both"/>
        <w:rPr>
          <w:bCs/>
          <w:color w:val="7030A0"/>
          <w:sz w:val="22"/>
          <w:szCs w:val="22"/>
        </w:rPr>
      </w:pPr>
      <w:r>
        <w:rPr>
          <w:bCs/>
          <w:color w:val="7030A0"/>
          <w:sz w:val="22"/>
          <w:szCs w:val="22"/>
        </w:rPr>
        <w:t xml:space="preserve">If </w:t>
      </w:r>
      <w:r w:rsidR="00AB254A">
        <w:rPr>
          <w:bCs/>
          <w:color w:val="7030A0"/>
          <w:sz w:val="22"/>
          <w:szCs w:val="22"/>
        </w:rPr>
        <w:t xml:space="preserve">(in case) </w:t>
      </w:r>
      <w:r>
        <w:rPr>
          <w:bCs/>
          <w:color w:val="7030A0"/>
          <w:sz w:val="22"/>
          <w:szCs w:val="22"/>
        </w:rPr>
        <w:t xml:space="preserve">the AMF does not subscribe to the </w:t>
      </w:r>
      <w:r w:rsidR="00AB254A">
        <w:rPr>
          <w:bCs/>
          <w:color w:val="7030A0"/>
          <w:sz w:val="22"/>
          <w:szCs w:val="22"/>
        </w:rPr>
        <w:t xml:space="preserve">AM </w:t>
      </w:r>
      <w:r>
        <w:rPr>
          <w:bCs/>
          <w:color w:val="7030A0"/>
          <w:sz w:val="22"/>
          <w:szCs w:val="22"/>
        </w:rPr>
        <w:t xml:space="preserve">subscriber data change notifications, then the GPSI will remain out of sync. </w:t>
      </w:r>
      <w:r w:rsidR="00AB254A">
        <w:rPr>
          <w:bCs/>
          <w:color w:val="7030A0"/>
          <w:sz w:val="22"/>
          <w:szCs w:val="22"/>
        </w:rPr>
        <w:t xml:space="preserve"> </w:t>
      </w:r>
    </w:p>
    <w:p w14:paraId="33E7DA3E" w14:textId="494DAD11" w:rsidR="004451D0" w:rsidRPr="000148BF" w:rsidRDefault="004451D0" w:rsidP="00751F2D">
      <w:pPr>
        <w:pStyle w:val="NO"/>
      </w:pPr>
      <w:r>
        <w:t>NOTE:</w:t>
      </w:r>
      <w:r w:rsidR="00751F2D">
        <w:tab/>
      </w:r>
      <w:r>
        <w:t>In most deployments, the AMF subscribe</w:t>
      </w:r>
      <w:r w:rsidR="00AB254A">
        <w:t>s</w:t>
      </w:r>
      <w:r>
        <w:t xml:space="preserve"> to </w:t>
      </w:r>
      <w:r w:rsidR="00AB254A">
        <w:t xml:space="preserve">AM </w:t>
      </w:r>
      <w:r>
        <w:t xml:space="preserve">subscriber data </w:t>
      </w:r>
      <w:r w:rsidR="00AB254A">
        <w:t xml:space="preserve">change </w:t>
      </w:r>
      <w:r>
        <w:t>notifications, however,</w:t>
      </w:r>
      <w:r w:rsidR="00751F2D">
        <w:t xml:space="preserve"> since</w:t>
      </w:r>
      <w:r>
        <w:t xml:space="preserve"> such </w:t>
      </w:r>
      <w:r w:rsidR="00AB254A">
        <w:t xml:space="preserve">a </w:t>
      </w:r>
      <w:r>
        <w:t xml:space="preserve">subscription is </w:t>
      </w:r>
      <w:r w:rsidR="00751F2D">
        <w:t>mandatory according to the standards text</w:t>
      </w:r>
      <w:r w:rsidR="00AB254A">
        <w:t>,</w:t>
      </w:r>
      <w:r>
        <w:t xml:space="preserve"> at least</w:t>
      </w:r>
      <w:r w:rsidR="00AB254A">
        <w:t xml:space="preserve"> </w:t>
      </w:r>
      <w:r w:rsidR="00751F2D">
        <w:t>c</w:t>
      </w:r>
      <w:r>
        <w:t xml:space="preserve">onsiderations </w:t>
      </w:r>
      <w:r w:rsidR="00751F2D">
        <w:t xml:space="preserve">will </w:t>
      </w:r>
      <w:r>
        <w:t xml:space="preserve">have to be made for the case where AMF does not subscribe. </w:t>
      </w:r>
    </w:p>
    <w:p w14:paraId="45726F92" w14:textId="3B341E7E" w:rsidR="00F3738C" w:rsidRDefault="00F3738C" w:rsidP="00F3738C">
      <w:pPr>
        <w:pBdr>
          <w:bottom w:val="single" w:sz="4" w:space="1" w:color="auto"/>
        </w:pBdr>
        <w:spacing w:before="120" w:after="120"/>
        <w:rPr>
          <w:b/>
          <w:i/>
          <w:sz w:val="36"/>
          <w:szCs w:val="36"/>
        </w:rPr>
      </w:pPr>
      <w:r>
        <w:rPr>
          <w:b/>
          <w:i/>
          <w:sz w:val="36"/>
          <w:szCs w:val="36"/>
        </w:rPr>
        <w:t>Feasible solutions</w:t>
      </w:r>
    </w:p>
    <w:p w14:paraId="2413E8A3" w14:textId="77777777" w:rsidR="00912848" w:rsidRPr="00912848" w:rsidRDefault="00912848" w:rsidP="00912848">
      <w:pPr>
        <w:tabs>
          <w:tab w:val="left" w:pos="2660"/>
        </w:tabs>
        <w:spacing w:before="120"/>
        <w:jc w:val="both"/>
        <w:rPr>
          <w:bCs/>
          <w:szCs w:val="22"/>
          <w:u w:val="single"/>
        </w:rPr>
      </w:pPr>
      <w:r w:rsidRPr="00912848">
        <w:rPr>
          <w:bCs/>
          <w:szCs w:val="22"/>
          <w:u w:val="single"/>
        </w:rPr>
        <w:t xml:space="preserve">Method 1: </w:t>
      </w:r>
    </w:p>
    <w:p w14:paraId="07591108" w14:textId="77777777" w:rsidR="00A40D2B" w:rsidRDefault="00912848" w:rsidP="00912848">
      <w:pPr>
        <w:tabs>
          <w:tab w:val="left" w:pos="2660"/>
        </w:tabs>
        <w:spacing w:before="120"/>
        <w:jc w:val="both"/>
        <w:rPr>
          <w:bCs/>
          <w:szCs w:val="22"/>
        </w:rPr>
      </w:pPr>
      <w:r>
        <w:rPr>
          <w:bCs/>
          <w:szCs w:val="22"/>
        </w:rPr>
        <w:t xml:space="preserve">When the AMF receives the </w:t>
      </w:r>
      <w:r w:rsidR="00A40D2B">
        <w:rPr>
          <w:bCs/>
          <w:szCs w:val="22"/>
        </w:rPr>
        <w:t xml:space="preserve">AM </w:t>
      </w:r>
      <w:r>
        <w:rPr>
          <w:bCs/>
          <w:szCs w:val="22"/>
        </w:rPr>
        <w:t>subscriber data change notification</w:t>
      </w:r>
      <w:r w:rsidR="00A40D2B">
        <w:rPr>
          <w:bCs/>
          <w:szCs w:val="22"/>
        </w:rPr>
        <w:t>s</w:t>
      </w:r>
      <w:r>
        <w:rPr>
          <w:bCs/>
          <w:szCs w:val="22"/>
        </w:rPr>
        <w:t xml:space="preserve">, the IEF could send a new Association Record to the ICF that would contain the new </w:t>
      </w:r>
      <w:r w:rsidRPr="00912848">
        <w:rPr>
          <w:bCs/>
          <w:color w:val="FF00FF"/>
          <w:szCs w:val="22"/>
        </w:rPr>
        <w:t xml:space="preserve">GPSI-2. </w:t>
      </w:r>
      <w:r w:rsidR="004451D0" w:rsidRPr="004451D0">
        <w:rPr>
          <w:bCs/>
          <w:szCs w:val="22"/>
        </w:rPr>
        <w:t>But, unlike other situations, the record is updated rather than creating a new record</w:t>
      </w:r>
      <w:r w:rsidR="00A40D2B">
        <w:rPr>
          <w:bCs/>
          <w:szCs w:val="22"/>
        </w:rPr>
        <w:t xml:space="preserve"> within the ICF since the 5G-GUTI is not changed. The concept may have to be modified for the ICF to de-cache the previous record if and only if the 5G-GUTI is changed. </w:t>
      </w:r>
    </w:p>
    <w:p w14:paraId="43222E4A" w14:textId="77777777" w:rsidR="00A40D2B" w:rsidRDefault="00A40D2B" w:rsidP="00912848">
      <w:pPr>
        <w:tabs>
          <w:tab w:val="left" w:pos="2660"/>
        </w:tabs>
        <w:spacing w:before="120"/>
        <w:jc w:val="both"/>
        <w:rPr>
          <w:bCs/>
          <w:szCs w:val="22"/>
        </w:rPr>
      </w:pPr>
      <w:r>
        <w:rPr>
          <w:bCs/>
          <w:szCs w:val="22"/>
        </w:rPr>
        <w:t xml:space="preserve">This method is illustrated in figure 5 below: </w:t>
      </w:r>
    </w:p>
    <w:p w14:paraId="262F3ABF" w14:textId="4735678B" w:rsidR="00A40D2B" w:rsidRDefault="00607743" w:rsidP="00912848">
      <w:pPr>
        <w:tabs>
          <w:tab w:val="left" w:pos="2660"/>
        </w:tabs>
        <w:spacing w:before="120"/>
        <w:jc w:val="both"/>
      </w:pPr>
      <w:r>
        <w:object w:dxaOrig="18960" w:dyaOrig="16032" w14:anchorId="58AB3F3A">
          <v:shape id="_x0000_i1048" type="#_x0000_t75" style="width:481.65pt;height:376.9pt" o:ole="">
            <v:imagedata r:id="rId16" o:title=""/>
          </v:shape>
          <o:OLEObject Type="Embed" ProgID="Visio.Drawing.15" ShapeID="_x0000_i1048" DrawAspect="Content" ObjectID="_1790688872" r:id="rId17"/>
        </w:object>
      </w:r>
    </w:p>
    <w:p w14:paraId="373E57EE" w14:textId="0A13858C" w:rsidR="00912848" w:rsidRDefault="00A40D2B" w:rsidP="00A40D2B">
      <w:pPr>
        <w:pStyle w:val="Caption"/>
        <w:jc w:val="center"/>
        <w:rPr>
          <w:szCs w:val="22"/>
        </w:rPr>
      </w:pPr>
      <w:r>
        <w:t xml:space="preserve">Figure 5: A feasible solution </w:t>
      </w:r>
      <w:r w:rsidR="00332071">
        <w:t xml:space="preserve">(method 1) – new IEF Association Record  </w:t>
      </w:r>
    </w:p>
    <w:p w14:paraId="36BB01D7" w14:textId="7A6E7A37" w:rsidR="00912848" w:rsidRDefault="00912848" w:rsidP="00912848">
      <w:pPr>
        <w:tabs>
          <w:tab w:val="left" w:pos="2660"/>
        </w:tabs>
        <w:spacing w:before="120"/>
        <w:jc w:val="both"/>
      </w:pPr>
    </w:p>
    <w:p w14:paraId="47FEA153" w14:textId="356DA9FE" w:rsidR="00912848" w:rsidRDefault="00A40D2B" w:rsidP="00912848">
      <w:pPr>
        <w:tabs>
          <w:tab w:val="left" w:pos="2660"/>
        </w:tabs>
        <w:spacing w:before="120"/>
        <w:jc w:val="both"/>
        <w:rPr>
          <w:bCs/>
          <w:sz w:val="22"/>
          <w:szCs w:val="22"/>
        </w:rPr>
      </w:pPr>
      <w:r>
        <w:rPr>
          <w:bCs/>
          <w:sz w:val="22"/>
          <w:szCs w:val="22"/>
        </w:rPr>
        <w:t>The</w:t>
      </w:r>
      <w:r w:rsidR="00912848">
        <w:rPr>
          <w:bCs/>
          <w:sz w:val="22"/>
          <w:szCs w:val="22"/>
        </w:rPr>
        <w:t xml:space="preserve"> query from LEA (shown as (</w:t>
      </w:r>
      <w:r>
        <w:rPr>
          <w:bCs/>
          <w:sz w:val="22"/>
          <w:szCs w:val="22"/>
        </w:rPr>
        <w:t>1</w:t>
      </w:r>
      <w:r w:rsidR="00912848">
        <w:rPr>
          <w:bCs/>
          <w:sz w:val="22"/>
          <w:szCs w:val="22"/>
        </w:rPr>
        <w:t xml:space="preserve">)) would get them the </w:t>
      </w:r>
      <w:r w:rsidR="00912848" w:rsidRPr="00912848">
        <w:rPr>
          <w:bCs/>
          <w:color w:val="FF00FF"/>
          <w:sz w:val="22"/>
          <w:szCs w:val="22"/>
        </w:rPr>
        <w:t>GPSI-2</w:t>
      </w:r>
      <w:r w:rsidR="00912848" w:rsidRPr="00F3738C">
        <w:rPr>
          <w:bCs/>
          <w:color w:val="FF0000"/>
          <w:sz w:val="22"/>
          <w:szCs w:val="22"/>
        </w:rPr>
        <w:t xml:space="preserve"> </w:t>
      </w:r>
      <w:r w:rsidR="00912848">
        <w:rPr>
          <w:bCs/>
          <w:sz w:val="22"/>
          <w:szCs w:val="22"/>
        </w:rPr>
        <w:t xml:space="preserve">among other things in the response. </w:t>
      </w:r>
      <w:r w:rsidR="00607743">
        <w:rPr>
          <w:bCs/>
          <w:sz w:val="22"/>
          <w:szCs w:val="22"/>
        </w:rPr>
        <w:t xml:space="preserve"> </w:t>
      </w:r>
    </w:p>
    <w:p w14:paraId="644C1C78" w14:textId="2CCFE9ED" w:rsidR="00912848" w:rsidRPr="00912848" w:rsidRDefault="00912848" w:rsidP="00912848">
      <w:pPr>
        <w:tabs>
          <w:tab w:val="left" w:pos="2660"/>
        </w:tabs>
        <w:spacing w:before="120"/>
        <w:jc w:val="both"/>
        <w:rPr>
          <w:bCs/>
          <w:sz w:val="22"/>
          <w:szCs w:val="22"/>
          <w:u w:val="single"/>
        </w:rPr>
      </w:pPr>
      <w:r w:rsidRPr="00912848">
        <w:rPr>
          <w:bCs/>
          <w:sz w:val="22"/>
          <w:szCs w:val="22"/>
          <w:u w:val="single"/>
        </w:rPr>
        <w:t>Method 2:</w:t>
      </w:r>
    </w:p>
    <w:p w14:paraId="17A55ECF" w14:textId="7B96D1D4" w:rsidR="003E0F28" w:rsidRDefault="00912848" w:rsidP="00912848">
      <w:pPr>
        <w:tabs>
          <w:tab w:val="left" w:pos="2660"/>
        </w:tabs>
        <w:spacing w:before="120"/>
        <w:jc w:val="both"/>
        <w:rPr>
          <w:lang w:eastAsia="en-US"/>
        </w:rPr>
      </w:pPr>
      <w:r>
        <w:rPr>
          <w:lang w:eastAsia="en-US"/>
        </w:rPr>
        <w:t xml:space="preserve">ICF could </w:t>
      </w:r>
      <w:r w:rsidR="003E0F28">
        <w:rPr>
          <w:lang w:eastAsia="en-US"/>
        </w:rPr>
        <w:t xml:space="preserve">subscribe to the subscriber data notifications for the SUPI. </w:t>
      </w:r>
      <w:r w:rsidR="00607743">
        <w:rPr>
          <w:lang w:eastAsia="en-US"/>
        </w:rPr>
        <w:t xml:space="preserve">Such notifications are done for all UEs, perhaps, detectability concern can be dismissed. </w:t>
      </w:r>
      <w:r w:rsidR="004451D0">
        <w:rPr>
          <w:lang w:eastAsia="en-US"/>
        </w:rPr>
        <w:t xml:space="preserve"> </w:t>
      </w:r>
      <w:r w:rsidR="00607743">
        <w:rPr>
          <w:lang w:eastAsia="en-US"/>
        </w:rPr>
        <w:t xml:space="preserve"> </w:t>
      </w:r>
    </w:p>
    <w:p w14:paraId="2BBA268E" w14:textId="4BD5B8D0" w:rsidR="00912848" w:rsidRDefault="00607743" w:rsidP="00912848">
      <w:pPr>
        <w:tabs>
          <w:tab w:val="left" w:pos="2660"/>
        </w:tabs>
        <w:spacing w:before="120"/>
        <w:jc w:val="both"/>
        <w:rPr>
          <w:lang w:eastAsia="en-US"/>
        </w:rPr>
      </w:pPr>
      <w:r>
        <w:rPr>
          <w:lang w:eastAsia="en-US"/>
        </w:rPr>
        <w:t>The</w:t>
      </w:r>
      <w:r w:rsidR="00912848">
        <w:rPr>
          <w:lang w:eastAsia="en-US"/>
        </w:rPr>
        <w:t xml:space="preserve"> figure </w:t>
      </w:r>
      <w:r>
        <w:rPr>
          <w:lang w:eastAsia="en-US"/>
        </w:rPr>
        <w:t>6</w:t>
      </w:r>
      <w:r w:rsidR="00912848">
        <w:rPr>
          <w:lang w:eastAsia="en-US"/>
        </w:rPr>
        <w:t xml:space="preserve"> represents </w:t>
      </w:r>
      <w:r>
        <w:rPr>
          <w:lang w:eastAsia="en-US"/>
        </w:rPr>
        <w:t>method.</w:t>
      </w:r>
    </w:p>
    <w:p w14:paraId="260C7645" w14:textId="4A5FA652" w:rsidR="000F4101" w:rsidRDefault="00561200" w:rsidP="000F4101">
      <w:pPr>
        <w:pStyle w:val="Caption"/>
        <w:jc w:val="center"/>
      </w:pPr>
      <w:r>
        <w:object w:dxaOrig="19440" w:dyaOrig="16398" w14:anchorId="6D8AB25C">
          <v:shape id="_x0000_i1055" type="#_x0000_t75" style="width:486pt;height:410.2pt" o:ole="">
            <v:imagedata r:id="rId18" o:title=""/>
          </v:shape>
          <o:OLEObject Type="Embed" ProgID="Visio.Drawing.15" ShapeID="_x0000_i1055" DrawAspect="Content" ObjectID="_1790688873" r:id="rId19"/>
        </w:object>
      </w:r>
      <w:r w:rsidR="000F4101">
        <w:t xml:space="preserve">Figure </w:t>
      </w:r>
      <w:r w:rsidR="00332071">
        <w:t>6</w:t>
      </w:r>
      <w:r w:rsidR="000F4101">
        <w:t xml:space="preserve">: </w:t>
      </w:r>
      <w:r w:rsidR="00332071">
        <w:t xml:space="preserve">Feasible solution (method 2) - </w:t>
      </w:r>
      <w:r w:rsidR="000F4101">
        <w:t xml:space="preserve">ICF subscribing </w:t>
      </w:r>
      <w:r w:rsidR="00332071">
        <w:t xml:space="preserve"> to AM Subscriber Data change notification</w:t>
      </w:r>
    </w:p>
    <w:p w14:paraId="082655B3" w14:textId="77777777" w:rsidR="00332071" w:rsidRDefault="00332071" w:rsidP="00332071">
      <w:pPr>
        <w:tabs>
          <w:tab w:val="left" w:pos="2660"/>
        </w:tabs>
        <w:spacing w:before="120"/>
        <w:jc w:val="both"/>
        <w:rPr>
          <w:bCs/>
          <w:sz w:val="22"/>
          <w:szCs w:val="22"/>
        </w:rPr>
      </w:pPr>
      <w:r>
        <w:rPr>
          <w:bCs/>
          <w:sz w:val="22"/>
          <w:szCs w:val="22"/>
        </w:rPr>
        <w:t xml:space="preserve">The query from LEA (shown as (1)) would get them the </w:t>
      </w:r>
      <w:r w:rsidRPr="00912848">
        <w:rPr>
          <w:bCs/>
          <w:color w:val="FF00FF"/>
          <w:sz w:val="22"/>
          <w:szCs w:val="22"/>
        </w:rPr>
        <w:t>GPSI-2</w:t>
      </w:r>
      <w:r w:rsidRPr="00F3738C">
        <w:rPr>
          <w:bCs/>
          <w:color w:val="FF0000"/>
          <w:sz w:val="22"/>
          <w:szCs w:val="22"/>
        </w:rPr>
        <w:t xml:space="preserve"> </w:t>
      </w:r>
      <w:r>
        <w:rPr>
          <w:bCs/>
          <w:sz w:val="22"/>
          <w:szCs w:val="22"/>
        </w:rPr>
        <w:t xml:space="preserve">among other things in the response.  </w:t>
      </w:r>
    </w:p>
    <w:p w14:paraId="09DA34D1" w14:textId="01A97CE8" w:rsidR="00332071" w:rsidRDefault="00332071" w:rsidP="00332071">
      <w:pPr>
        <w:tabs>
          <w:tab w:val="left" w:pos="2660"/>
        </w:tabs>
        <w:spacing w:before="120"/>
        <w:jc w:val="both"/>
        <w:rPr>
          <w:bCs/>
          <w:sz w:val="22"/>
          <w:szCs w:val="22"/>
        </w:rPr>
      </w:pPr>
      <w:r>
        <w:rPr>
          <w:bCs/>
          <w:sz w:val="22"/>
          <w:szCs w:val="22"/>
        </w:rPr>
        <w:t xml:space="preserve">In this method, since such a subscription results in notifications for all AM data changes, too many notification events from UDM to ICF may occur. That is a negative consequence of this method even though the ID association caching can be happy. </w:t>
      </w:r>
    </w:p>
    <w:p w14:paraId="2C775FB9" w14:textId="5CDC65A5" w:rsidR="00E8369A" w:rsidRPr="00912848" w:rsidRDefault="00E8369A" w:rsidP="00E8369A">
      <w:pPr>
        <w:tabs>
          <w:tab w:val="left" w:pos="2660"/>
        </w:tabs>
        <w:spacing w:before="120"/>
        <w:jc w:val="both"/>
        <w:rPr>
          <w:bCs/>
          <w:sz w:val="22"/>
          <w:szCs w:val="22"/>
          <w:u w:val="single"/>
        </w:rPr>
      </w:pPr>
      <w:r w:rsidRPr="00912848">
        <w:rPr>
          <w:bCs/>
          <w:sz w:val="22"/>
          <w:szCs w:val="22"/>
          <w:u w:val="single"/>
        </w:rPr>
        <w:t xml:space="preserve">Method </w:t>
      </w:r>
      <w:r>
        <w:rPr>
          <w:bCs/>
          <w:sz w:val="22"/>
          <w:szCs w:val="22"/>
          <w:u w:val="single"/>
        </w:rPr>
        <w:t>3</w:t>
      </w:r>
      <w:r w:rsidRPr="00912848">
        <w:rPr>
          <w:bCs/>
          <w:sz w:val="22"/>
          <w:szCs w:val="22"/>
          <w:u w:val="single"/>
        </w:rPr>
        <w:t>:</w:t>
      </w:r>
    </w:p>
    <w:p w14:paraId="3B9EBD48" w14:textId="370FB372" w:rsidR="00A7746E" w:rsidRDefault="00E8369A" w:rsidP="00E8369A">
      <w:pPr>
        <w:tabs>
          <w:tab w:val="left" w:pos="2660"/>
        </w:tabs>
        <w:spacing w:before="120"/>
        <w:jc w:val="both"/>
        <w:rPr>
          <w:lang w:eastAsia="en-US"/>
        </w:rPr>
      </w:pPr>
      <w:r>
        <w:rPr>
          <w:lang w:eastAsia="en-US"/>
        </w:rPr>
        <w:t xml:space="preserve">Having an IEF-sort of function in the UDM that would update the record in the ICF whenever </w:t>
      </w:r>
      <w:r w:rsidR="00332071">
        <w:rPr>
          <w:lang w:eastAsia="en-US"/>
        </w:rPr>
        <w:t xml:space="preserve">the GPSI associated with the AM subscriber data changes. </w:t>
      </w:r>
      <w:r>
        <w:rPr>
          <w:lang w:eastAsia="en-US"/>
        </w:rPr>
        <w:t xml:space="preserve"> </w:t>
      </w:r>
    </w:p>
    <w:p w14:paraId="6AD977C3" w14:textId="3E090ED2" w:rsidR="00E8369A" w:rsidRDefault="00332071" w:rsidP="00E8369A">
      <w:pPr>
        <w:tabs>
          <w:tab w:val="left" w:pos="2660"/>
        </w:tabs>
        <w:spacing w:before="120"/>
        <w:jc w:val="both"/>
        <w:rPr>
          <w:lang w:eastAsia="en-US"/>
        </w:rPr>
      </w:pPr>
      <w:r>
        <w:rPr>
          <w:lang w:eastAsia="en-US"/>
        </w:rPr>
        <w:t>The</w:t>
      </w:r>
      <w:r w:rsidR="00E8369A">
        <w:rPr>
          <w:lang w:eastAsia="en-US"/>
        </w:rPr>
        <w:t xml:space="preserve"> figure </w:t>
      </w:r>
      <w:r>
        <w:rPr>
          <w:lang w:eastAsia="en-US"/>
        </w:rPr>
        <w:t>7</w:t>
      </w:r>
      <w:r w:rsidR="00E8369A">
        <w:rPr>
          <w:lang w:eastAsia="en-US"/>
        </w:rPr>
        <w:t xml:space="preserve"> represents idea. </w:t>
      </w:r>
    </w:p>
    <w:p w14:paraId="78D3480E" w14:textId="3140831A" w:rsidR="00A7746E" w:rsidRDefault="00A7746E" w:rsidP="00E8369A">
      <w:pPr>
        <w:tabs>
          <w:tab w:val="left" w:pos="2660"/>
        </w:tabs>
        <w:spacing w:before="120"/>
        <w:jc w:val="both"/>
      </w:pPr>
    </w:p>
    <w:p w14:paraId="136BDFDA" w14:textId="36D7097C" w:rsidR="00E8369A" w:rsidRDefault="00561200" w:rsidP="00561200">
      <w:pPr>
        <w:pStyle w:val="Caption"/>
        <w:jc w:val="center"/>
      </w:pPr>
      <w:r>
        <w:object w:dxaOrig="19050" w:dyaOrig="16398" w14:anchorId="08FF7D13">
          <v:shape id="_x0000_i1058" type="#_x0000_t75" style="width:481.1pt;height:414pt" o:ole="">
            <v:imagedata r:id="rId20" o:title=""/>
          </v:shape>
          <o:OLEObject Type="Embed" ProgID="Visio.Drawing.15" ShapeID="_x0000_i1058" DrawAspect="Content" ObjectID="_1790688874" r:id="rId21"/>
        </w:object>
      </w:r>
      <w:r w:rsidRPr="00561200">
        <w:t xml:space="preserve"> </w:t>
      </w:r>
      <w:r>
        <w:t xml:space="preserve">Figure </w:t>
      </w:r>
      <w:r>
        <w:t>7</w:t>
      </w:r>
      <w:r>
        <w:t xml:space="preserve">: Feasible solution (method </w:t>
      </w:r>
      <w:r>
        <w:t>3</w:t>
      </w:r>
      <w:r>
        <w:t xml:space="preserve">) </w:t>
      </w:r>
      <w:r>
        <w:t>–</w:t>
      </w:r>
      <w:r>
        <w:t xml:space="preserve"> I</w:t>
      </w:r>
      <w:r>
        <w:t xml:space="preserve">EF in UDM </w:t>
      </w:r>
      <w:r>
        <w:t xml:space="preserve"> </w:t>
      </w:r>
      <w:r>
        <w:t xml:space="preserve"> </w:t>
      </w:r>
    </w:p>
    <w:p w14:paraId="2F7C6F49" w14:textId="359ACA38" w:rsidR="005248FE" w:rsidRPr="00F201DF" w:rsidRDefault="005248FE" w:rsidP="005248FE">
      <w:pPr>
        <w:pBdr>
          <w:bottom w:val="single" w:sz="4" w:space="1" w:color="auto"/>
        </w:pBdr>
        <w:spacing w:before="120" w:after="120"/>
        <w:rPr>
          <w:b/>
          <w:sz w:val="36"/>
          <w:szCs w:val="36"/>
        </w:rPr>
      </w:pPr>
      <w:r>
        <w:rPr>
          <w:b/>
          <w:i/>
          <w:sz w:val="36"/>
          <w:szCs w:val="36"/>
        </w:rPr>
        <w:t>Summary</w:t>
      </w:r>
      <w:r w:rsidR="009B0AE0">
        <w:rPr>
          <w:b/>
          <w:i/>
          <w:sz w:val="36"/>
          <w:szCs w:val="36"/>
        </w:rPr>
        <w:t xml:space="preserve"> and recommendations</w:t>
      </w:r>
    </w:p>
    <w:p w14:paraId="242A2284" w14:textId="67FA7B5C" w:rsidR="00561200" w:rsidRDefault="005248FE" w:rsidP="00E8369A">
      <w:pPr>
        <w:rPr>
          <w:bCs/>
          <w:sz w:val="22"/>
          <w:szCs w:val="22"/>
        </w:rPr>
      </w:pPr>
      <w:r>
        <w:rPr>
          <w:bCs/>
          <w:sz w:val="22"/>
          <w:szCs w:val="22"/>
        </w:rPr>
        <w:t xml:space="preserve">Without having answers to the issues raised in this contribution, TR 33.929-5 with changes to accommodate GPSI in the record and </w:t>
      </w:r>
      <w:r w:rsidR="00751F2D">
        <w:rPr>
          <w:bCs/>
          <w:sz w:val="22"/>
          <w:szCs w:val="22"/>
        </w:rPr>
        <w:t>HIQR</w:t>
      </w:r>
      <w:r>
        <w:rPr>
          <w:bCs/>
          <w:sz w:val="22"/>
          <w:szCs w:val="22"/>
        </w:rPr>
        <w:t xml:space="preserve"> responses will fail to provide </w:t>
      </w:r>
      <w:r w:rsidR="00751F2D">
        <w:rPr>
          <w:bCs/>
          <w:sz w:val="22"/>
          <w:szCs w:val="22"/>
        </w:rPr>
        <w:t>the</w:t>
      </w:r>
      <w:r w:rsidR="00561200">
        <w:rPr>
          <w:bCs/>
          <w:sz w:val="22"/>
          <w:szCs w:val="22"/>
        </w:rPr>
        <w:t xml:space="preserve"> appropriate </w:t>
      </w:r>
      <w:r>
        <w:rPr>
          <w:bCs/>
          <w:sz w:val="22"/>
          <w:szCs w:val="22"/>
        </w:rPr>
        <w:t>guidance</w:t>
      </w:r>
      <w:r w:rsidR="00561200">
        <w:rPr>
          <w:bCs/>
          <w:sz w:val="22"/>
          <w:szCs w:val="22"/>
        </w:rPr>
        <w:t xml:space="preserve"> with the understanding that a guidance that says "do not trust what </w:t>
      </w:r>
      <w:r w:rsidR="00751F2D">
        <w:rPr>
          <w:bCs/>
          <w:sz w:val="22"/>
          <w:szCs w:val="22"/>
        </w:rPr>
        <w:t xml:space="preserve">you </w:t>
      </w:r>
      <w:r w:rsidR="00561200">
        <w:rPr>
          <w:bCs/>
          <w:sz w:val="22"/>
          <w:szCs w:val="22"/>
        </w:rPr>
        <w:t xml:space="preserve">get" will not be an acceptable guidance. </w:t>
      </w:r>
      <w:r>
        <w:rPr>
          <w:bCs/>
          <w:sz w:val="22"/>
          <w:szCs w:val="22"/>
        </w:rPr>
        <w:t xml:space="preserve"> </w:t>
      </w:r>
    </w:p>
    <w:p w14:paraId="3E6F7A81" w14:textId="5752AA54" w:rsidR="00751F2D" w:rsidRDefault="00751F2D" w:rsidP="00E8369A">
      <w:pPr>
        <w:rPr>
          <w:bCs/>
          <w:sz w:val="22"/>
          <w:szCs w:val="22"/>
        </w:rPr>
      </w:pPr>
      <w:r>
        <w:rPr>
          <w:bCs/>
          <w:sz w:val="22"/>
          <w:szCs w:val="22"/>
        </w:rPr>
        <w:t xml:space="preserve">So, this contribution is seeking guidance on the changes to made to TR 33.929-5. </w:t>
      </w:r>
    </w:p>
    <w:p w14:paraId="3F9100B3" w14:textId="1627732A" w:rsidR="005248FE" w:rsidRPr="00E8369A" w:rsidRDefault="00561200" w:rsidP="00E8369A">
      <w:pPr>
        <w:rPr>
          <w:lang w:eastAsia="en-US"/>
        </w:rPr>
      </w:pPr>
      <w:r>
        <w:rPr>
          <w:bCs/>
          <w:sz w:val="22"/>
          <w:szCs w:val="22"/>
        </w:rPr>
        <w:t xml:space="preserve">Recommend making changes to the normative LI specifications in support </w:t>
      </w:r>
      <w:r w:rsidR="009B0AE0">
        <w:rPr>
          <w:bCs/>
          <w:sz w:val="22"/>
          <w:szCs w:val="22"/>
        </w:rPr>
        <w:t xml:space="preserve">of </w:t>
      </w:r>
      <w:r>
        <w:rPr>
          <w:bCs/>
          <w:sz w:val="22"/>
          <w:szCs w:val="22"/>
        </w:rPr>
        <w:t xml:space="preserve">feasible solution (method 1). </w:t>
      </w:r>
      <w:r w:rsidR="005248FE">
        <w:rPr>
          <w:bCs/>
          <w:sz w:val="22"/>
          <w:szCs w:val="22"/>
        </w:rPr>
        <w:t xml:space="preserve"> </w:t>
      </w:r>
      <w:r w:rsidR="009B0AE0">
        <w:rPr>
          <w:bCs/>
          <w:sz w:val="22"/>
          <w:szCs w:val="22"/>
        </w:rPr>
        <w:t xml:space="preserve">If this is agreed, no further guidance is needed to update the TR 33.929-5. </w:t>
      </w:r>
    </w:p>
    <w:sectPr w:rsidR="005248FE" w:rsidRPr="00E8369A">
      <w:headerReference w:type="even" r:id="rId22"/>
      <w:headerReference w:type="default" r:id="rId23"/>
      <w:footerReference w:type="default" r:id="rId2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F56A42"/>
    <w:multiLevelType w:val="hybridMultilevel"/>
    <w:tmpl w:val="F7F62568"/>
    <w:lvl w:ilvl="0" w:tplc="FAB6DF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07109B"/>
    <w:multiLevelType w:val="hybridMultilevel"/>
    <w:tmpl w:val="6FD6DF62"/>
    <w:lvl w:ilvl="0" w:tplc="F9E691A8">
      <w:start w:val="1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903186"/>
    <w:multiLevelType w:val="hybridMultilevel"/>
    <w:tmpl w:val="3264A3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06206D"/>
    <w:multiLevelType w:val="hybridMultilevel"/>
    <w:tmpl w:val="0B786ADC"/>
    <w:lvl w:ilvl="0" w:tplc="741239E2">
      <w:start w:val="14"/>
      <w:numFmt w:val="bullet"/>
      <w:lvlText w:val="-"/>
      <w:lvlJc w:val="left"/>
      <w:pPr>
        <w:ind w:left="1572" w:hanging="360"/>
      </w:pPr>
      <w:rPr>
        <w:rFonts w:ascii="Times New Roman" w:eastAsia="Times New Roman" w:hAnsi="Times New Roman" w:cs="Times New Roman" w:hint="default"/>
        <w:sz w:val="20"/>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1" w15:restartNumberingAfterBreak="0">
    <w:nsid w:val="47BE75E6"/>
    <w:multiLevelType w:val="hybridMultilevel"/>
    <w:tmpl w:val="51B85108"/>
    <w:lvl w:ilvl="0" w:tplc="10D2B3D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0E4740"/>
    <w:multiLevelType w:val="hybridMultilevel"/>
    <w:tmpl w:val="E968E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6A979A8"/>
    <w:multiLevelType w:val="hybridMultilevel"/>
    <w:tmpl w:val="E998E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DE17371"/>
    <w:multiLevelType w:val="hybridMultilevel"/>
    <w:tmpl w:val="E7F0A992"/>
    <w:lvl w:ilvl="0" w:tplc="9E8CCB1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82635157">
    <w:abstractNumId w:val="16"/>
  </w:num>
  <w:num w:numId="2" w16cid:durableId="64032208">
    <w:abstractNumId w:val="18"/>
  </w:num>
  <w:num w:numId="3" w16cid:durableId="550578688">
    <w:abstractNumId w:val="8"/>
  </w:num>
  <w:num w:numId="4" w16cid:durableId="1112628801">
    <w:abstractNumId w:val="5"/>
  </w:num>
  <w:num w:numId="5" w16cid:durableId="305278245">
    <w:abstractNumId w:val="1"/>
  </w:num>
  <w:num w:numId="6" w16cid:durableId="1893691534">
    <w:abstractNumId w:val="5"/>
  </w:num>
  <w:num w:numId="7" w16cid:durableId="2035837267">
    <w:abstractNumId w:val="5"/>
  </w:num>
  <w:num w:numId="8" w16cid:durableId="1594969936">
    <w:abstractNumId w:val="3"/>
  </w:num>
  <w:num w:numId="9" w16cid:durableId="145319192">
    <w:abstractNumId w:val="6"/>
  </w:num>
  <w:num w:numId="10" w16cid:durableId="642127919">
    <w:abstractNumId w:val="12"/>
  </w:num>
  <w:num w:numId="11" w16cid:durableId="951475533">
    <w:abstractNumId w:val="15"/>
  </w:num>
  <w:num w:numId="12" w16cid:durableId="1168712691">
    <w:abstractNumId w:val="2"/>
  </w:num>
  <w:num w:numId="13" w16cid:durableId="1888450267">
    <w:abstractNumId w:val="14"/>
  </w:num>
  <w:num w:numId="14" w16cid:durableId="528102457">
    <w:abstractNumId w:val="0"/>
  </w:num>
  <w:num w:numId="15" w16cid:durableId="1869026558">
    <w:abstractNumId w:val="9"/>
  </w:num>
  <w:num w:numId="16" w16cid:durableId="201526745">
    <w:abstractNumId w:val="4"/>
  </w:num>
  <w:num w:numId="17" w16cid:durableId="1597398101">
    <w:abstractNumId w:val="17"/>
  </w:num>
  <w:num w:numId="18" w16cid:durableId="1165822243">
    <w:abstractNumId w:val="11"/>
  </w:num>
  <w:num w:numId="19" w16cid:durableId="1980190159">
    <w:abstractNumId w:val="19"/>
  </w:num>
  <w:num w:numId="20" w16cid:durableId="152068689">
    <w:abstractNumId w:val="7"/>
  </w:num>
  <w:num w:numId="21" w16cid:durableId="643393380">
    <w:abstractNumId w:val="10"/>
  </w:num>
  <w:num w:numId="22" w16cid:durableId="684553686">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10F89"/>
    <w:rsid w:val="00011740"/>
    <w:rsid w:val="000148BF"/>
    <w:rsid w:val="00017B39"/>
    <w:rsid w:val="00020339"/>
    <w:rsid w:val="00022270"/>
    <w:rsid w:val="000222BA"/>
    <w:rsid w:val="0002328E"/>
    <w:rsid w:val="00024F20"/>
    <w:rsid w:val="00030037"/>
    <w:rsid w:val="0003196A"/>
    <w:rsid w:val="0003544D"/>
    <w:rsid w:val="00037B82"/>
    <w:rsid w:val="00037C34"/>
    <w:rsid w:val="00044897"/>
    <w:rsid w:val="0004687B"/>
    <w:rsid w:val="00046D97"/>
    <w:rsid w:val="0005220C"/>
    <w:rsid w:val="000575B9"/>
    <w:rsid w:val="00060E94"/>
    <w:rsid w:val="000612FC"/>
    <w:rsid w:val="00063C6D"/>
    <w:rsid w:val="000653D3"/>
    <w:rsid w:val="00066FEB"/>
    <w:rsid w:val="000702FA"/>
    <w:rsid w:val="00070BA8"/>
    <w:rsid w:val="000751A3"/>
    <w:rsid w:val="0007785C"/>
    <w:rsid w:val="00077D47"/>
    <w:rsid w:val="00080A61"/>
    <w:rsid w:val="00081B86"/>
    <w:rsid w:val="0008440D"/>
    <w:rsid w:val="000850FC"/>
    <w:rsid w:val="000860CA"/>
    <w:rsid w:val="000873FF"/>
    <w:rsid w:val="00087FF0"/>
    <w:rsid w:val="000957F2"/>
    <w:rsid w:val="00097A20"/>
    <w:rsid w:val="000A0B54"/>
    <w:rsid w:val="000A58CD"/>
    <w:rsid w:val="000A6400"/>
    <w:rsid w:val="000A6465"/>
    <w:rsid w:val="000B2B16"/>
    <w:rsid w:val="000B302A"/>
    <w:rsid w:val="000B313B"/>
    <w:rsid w:val="000B3595"/>
    <w:rsid w:val="000B36B9"/>
    <w:rsid w:val="000B3C1D"/>
    <w:rsid w:val="000B7D90"/>
    <w:rsid w:val="000C2BCE"/>
    <w:rsid w:val="000D1F82"/>
    <w:rsid w:val="000D2437"/>
    <w:rsid w:val="000D3EE5"/>
    <w:rsid w:val="000D43FA"/>
    <w:rsid w:val="000D4708"/>
    <w:rsid w:val="000D6AA0"/>
    <w:rsid w:val="000D72E0"/>
    <w:rsid w:val="000E097A"/>
    <w:rsid w:val="000E18F5"/>
    <w:rsid w:val="000E1BCE"/>
    <w:rsid w:val="000E494D"/>
    <w:rsid w:val="000E4B76"/>
    <w:rsid w:val="000E4E8E"/>
    <w:rsid w:val="000E4F62"/>
    <w:rsid w:val="000F4101"/>
    <w:rsid w:val="000F56BC"/>
    <w:rsid w:val="000F675D"/>
    <w:rsid w:val="001000AE"/>
    <w:rsid w:val="0010260F"/>
    <w:rsid w:val="00104D76"/>
    <w:rsid w:val="00105D74"/>
    <w:rsid w:val="00105FC8"/>
    <w:rsid w:val="00111280"/>
    <w:rsid w:val="00116717"/>
    <w:rsid w:val="0012358E"/>
    <w:rsid w:val="00123904"/>
    <w:rsid w:val="00123E60"/>
    <w:rsid w:val="0012432B"/>
    <w:rsid w:val="00124B70"/>
    <w:rsid w:val="001252F2"/>
    <w:rsid w:val="00126BC5"/>
    <w:rsid w:val="00131283"/>
    <w:rsid w:val="00134206"/>
    <w:rsid w:val="00134871"/>
    <w:rsid w:val="001349A2"/>
    <w:rsid w:val="00146465"/>
    <w:rsid w:val="00147D03"/>
    <w:rsid w:val="001519BF"/>
    <w:rsid w:val="001525BE"/>
    <w:rsid w:val="00152A6A"/>
    <w:rsid w:val="00152E23"/>
    <w:rsid w:val="00155509"/>
    <w:rsid w:val="001559C8"/>
    <w:rsid w:val="00155C15"/>
    <w:rsid w:val="00156152"/>
    <w:rsid w:val="001562FB"/>
    <w:rsid w:val="00157E37"/>
    <w:rsid w:val="00157F73"/>
    <w:rsid w:val="00160C33"/>
    <w:rsid w:val="001617EE"/>
    <w:rsid w:val="00167206"/>
    <w:rsid w:val="00170D24"/>
    <w:rsid w:val="001724F8"/>
    <w:rsid w:val="00173A2F"/>
    <w:rsid w:val="00175371"/>
    <w:rsid w:val="001772CA"/>
    <w:rsid w:val="0017748C"/>
    <w:rsid w:val="00180186"/>
    <w:rsid w:val="00180883"/>
    <w:rsid w:val="001822B1"/>
    <w:rsid w:val="00186DD4"/>
    <w:rsid w:val="00186E9E"/>
    <w:rsid w:val="00187046"/>
    <w:rsid w:val="00191C05"/>
    <w:rsid w:val="00191C6D"/>
    <w:rsid w:val="00193A3A"/>
    <w:rsid w:val="00193DD0"/>
    <w:rsid w:val="0019465F"/>
    <w:rsid w:val="0019731A"/>
    <w:rsid w:val="001A0E30"/>
    <w:rsid w:val="001A1876"/>
    <w:rsid w:val="001A1FCF"/>
    <w:rsid w:val="001A2496"/>
    <w:rsid w:val="001A397B"/>
    <w:rsid w:val="001A3A57"/>
    <w:rsid w:val="001A3D46"/>
    <w:rsid w:val="001A3D79"/>
    <w:rsid w:val="001A3E09"/>
    <w:rsid w:val="001B0521"/>
    <w:rsid w:val="001B20AF"/>
    <w:rsid w:val="001B4DD0"/>
    <w:rsid w:val="001B65E2"/>
    <w:rsid w:val="001C1017"/>
    <w:rsid w:val="001C2D42"/>
    <w:rsid w:val="001C49FC"/>
    <w:rsid w:val="001C5305"/>
    <w:rsid w:val="001C60A4"/>
    <w:rsid w:val="001C7ABA"/>
    <w:rsid w:val="001C7C73"/>
    <w:rsid w:val="001D1E89"/>
    <w:rsid w:val="001D3745"/>
    <w:rsid w:val="001D4735"/>
    <w:rsid w:val="001E0C88"/>
    <w:rsid w:val="001E5FE1"/>
    <w:rsid w:val="001E65A9"/>
    <w:rsid w:val="001E696E"/>
    <w:rsid w:val="001E6FC8"/>
    <w:rsid w:val="001F0B7C"/>
    <w:rsid w:val="001F0BB1"/>
    <w:rsid w:val="001F5026"/>
    <w:rsid w:val="001F79BC"/>
    <w:rsid w:val="00201553"/>
    <w:rsid w:val="00202098"/>
    <w:rsid w:val="00202758"/>
    <w:rsid w:val="00202C89"/>
    <w:rsid w:val="00203968"/>
    <w:rsid w:val="00207016"/>
    <w:rsid w:val="00210765"/>
    <w:rsid w:val="00210C27"/>
    <w:rsid w:val="00211F93"/>
    <w:rsid w:val="00213A8A"/>
    <w:rsid w:val="00216BE9"/>
    <w:rsid w:val="002171D6"/>
    <w:rsid w:val="00220935"/>
    <w:rsid w:val="00220D09"/>
    <w:rsid w:val="00224AA6"/>
    <w:rsid w:val="00232CFD"/>
    <w:rsid w:val="0024217F"/>
    <w:rsid w:val="0024224A"/>
    <w:rsid w:val="00245AA6"/>
    <w:rsid w:val="00246040"/>
    <w:rsid w:val="002477D8"/>
    <w:rsid w:val="00251B37"/>
    <w:rsid w:val="0025337F"/>
    <w:rsid w:val="00254699"/>
    <w:rsid w:val="00255E01"/>
    <w:rsid w:val="00260F18"/>
    <w:rsid w:val="00261129"/>
    <w:rsid w:val="002631BB"/>
    <w:rsid w:val="002654FE"/>
    <w:rsid w:val="0026573B"/>
    <w:rsid w:val="002715F6"/>
    <w:rsid w:val="00272EC0"/>
    <w:rsid w:val="002743C7"/>
    <w:rsid w:val="002771A6"/>
    <w:rsid w:val="0028056F"/>
    <w:rsid w:val="002829B2"/>
    <w:rsid w:val="00285DA8"/>
    <w:rsid w:val="00287EF5"/>
    <w:rsid w:val="002916EF"/>
    <w:rsid w:val="002946AB"/>
    <w:rsid w:val="00295896"/>
    <w:rsid w:val="002A1336"/>
    <w:rsid w:val="002A2466"/>
    <w:rsid w:val="002A5319"/>
    <w:rsid w:val="002A60A8"/>
    <w:rsid w:val="002B2F16"/>
    <w:rsid w:val="002B337D"/>
    <w:rsid w:val="002B3BAC"/>
    <w:rsid w:val="002B5848"/>
    <w:rsid w:val="002B63FA"/>
    <w:rsid w:val="002B6C7A"/>
    <w:rsid w:val="002B7D2E"/>
    <w:rsid w:val="002B7F5C"/>
    <w:rsid w:val="002C112B"/>
    <w:rsid w:val="002C2675"/>
    <w:rsid w:val="002C4D34"/>
    <w:rsid w:val="002C577F"/>
    <w:rsid w:val="002C6194"/>
    <w:rsid w:val="002D0297"/>
    <w:rsid w:val="002D595F"/>
    <w:rsid w:val="002D6BBE"/>
    <w:rsid w:val="002D77CD"/>
    <w:rsid w:val="002E7C6F"/>
    <w:rsid w:val="002F12B1"/>
    <w:rsid w:val="002F27DB"/>
    <w:rsid w:val="002F563F"/>
    <w:rsid w:val="003013E7"/>
    <w:rsid w:val="00305047"/>
    <w:rsid w:val="003053CE"/>
    <w:rsid w:val="00305CA1"/>
    <w:rsid w:val="00305F3B"/>
    <w:rsid w:val="00312EC6"/>
    <w:rsid w:val="00313AFD"/>
    <w:rsid w:val="00314544"/>
    <w:rsid w:val="00314BC3"/>
    <w:rsid w:val="00316377"/>
    <w:rsid w:val="0031648F"/>
    <w:rsid w:val="00323A53"/>
    <w:rsid w:val="00325D9A"/>
    <w:rsid w:val="00326F1A"/>
    <w:rsid w:val="00330264"/>
    <w:rsid w:val="00332071"/>
    <w:rsid w:val="003377DA"/>
    <w:rsid w:val="00337943"/>
    <w:rsid w:val="00340348"/>
    <w:rsid w:val="003448E8"/>
    <w:rsid w:val="00346901"/>
    <w:rsid w:val="00347117"/>
    <w:rsid w:val="00350825"/>
    <w:rsid w:val="003514CD"/>
    <w:rsid w:val="00351BC6"/>
    <w:rsid w:val="00351FC6"/>
    <w:rsid w:val="003521FA"/>
    <w:rsid w:val="00352296"/>
    <w:rsid w:val="00352B25"/>
    <w:rsid w:val="003538FE"/>
    <w:rsid w:val="003553E9"/>
    <w:rsid w:val="00356D87"/>
    <w:rsid w:val="00362982"/>
    <w:rsid w:val="00363D86"/>
    <w:rsid w:val="00367BB2"/>
    <w:rsid w:val="00367FD0"/>
    <w:rsid w:val="00371145"/>
    <w:rsid w:val="003716A1"/>
    <w:rsid w:val="003746FA"/>
    <w:rsid w:val="00374C1E"/>
    <w:rsid w:val="00375AF5"/>
    <w:rsid w:val="00375D15"/>
    <w:rsid w:val="0037676C"/>
    <w:rsid w:val="00376B54"/>
    <w:rsid w:val="00381662"/>
    <w:rsid w:val="003878DD"/>
    <w:rsid w:val="00390B4B"/>
    <w:rsid w:val="00392031"/>
    <w:rsid w:val="00392C4F"/>
    <w:rsid w:val="00393D0A"/>
    <w:rsid w:val="003940EC"/>
    <w:rsid w:val="003940F6"/>
    <w:rsid w:val="00394EBF"/>
    <w:rsid w:val="00396B07"/>
    <w:rsid w:val="003A018C"/>
    <w:rsid w:val="003A0FFB"/>
    <w:rsid w:val="003A2C8B"/>
    <w:rsid w:val="003A3772"/>
    <w:rsid w:val="003A518E"/>
    <w:rsid w:val="003A5FD2"/>
    <w:rsid w:val="003A7D21"/>
    <w:rsid w:val="003B2322"/>
    <w:rsid w:val="003B318A"/>
    <w:rsid w:val="003B4D12"/>
    <w:rsid w:val="003B781C"/>
    <w:rsid w:val="003C0345"/>
    <w:rsid w:val="003C18DF"/>
    <w:rsid w:val="003C43EC"/>
    <w:rsid w:val="003C4D64"/>
    <w:rsid w:val="003D0661"/>
    <w:rsid w:val="003D1AB3"/>
    <w:rsid w:val="003D3C85"/>
    <w:rsid w:val="003D4F43"/>
    <w:rsid w:val="003D71F4"/>
    <w:rsid w:val="003E01E7"/>
    <w:rsid w:val="003E0F28"/>
    <w:rsid w:val="003E2D35"/>
    <w:rsid w:val="003E3394"/>
    <w:rsid w:val="003E56A4"/>
    <w:rsid w:val="003E5D43"/>
    <w:rsid w:val="003F12D4"/>
    <w:rsid w:val="003F31E7"/>
    <w:rsid w:val="003F486B"/>
    <w:rsid w:val="003F4CD8"/>
    <w:rsid w:val="003F515C"/>
    <w:rsid w:val="003F7A2B"/>
    <w:rsid w:val="00401753"/>
    <w:rsid w:val="00401D14"/>
    <w:rsid w:val="00402065"/>
    <w:rsid w:val="004027F0"/>
    <w:rsid w:val="00402F7B"/>
    <w:rsid w:val="00404542"/>
    <w:rsid w:val="00404F8A"/>
    <w:rsid w:val="00404FF9"/>
    <w:rsid w:val="00406404"/>
    <w:rsid w:val="0040696E"/>
    <w:rsid w:val="00407CF5"/>
    <w:rsid w:val="00411B6A"/>
    <w:rsid w:val="00413F64"/>
    <w:rsid w:val="00416D95"/>
    <w:rsid w:val="00420BA1"/>
    <w:rsid w:val="00421567"/>
    <w:rsid w:val="004234A4"/>
    <w:rsid w:val="00423973"/>
    <w:rsid w:val="0042637B"/>
    <w:rsid w:val="00426B2D"/>
    <w:rsid w:val="00436998"/>
    <w:rsid w:val="00440983"/>
    <w:rsid w:val="00440EF6"/>
    <w:rsid w:val="004423AF"/>
    <w:rsid w:val="00442443"/>
    <w:rsid w:val="00443403"/>
    <w:rsid w:val="00444A9A"/>
    <w:rsid w:val="004451D0"/>
    <w:rsid w:val="004456B1"/>
    <w:rsid w:val="004464AF"/>
    <w:rsid w:val="0044777E"/>
    <w:rsid w:val="00453F65"/>
    <w:rsid w:val="00454BFA"/>
    <w:rsid w:val="00457151"/>
    <w:rsid w:val="0046162B"/>
    <w:rsid w:val="00462211"/>
    <w:rsid w:val="00462F6A"/>
    <w:rsid w:val="00467075"/>
    <w:rsid w:val="00470EDD"/>
    <w:rsid w:val="0047230D"/>
    <w:rsid w:val="00472B63"/>
    <w:rsid w:val="00473461"/>
    <w:rsid w:val="00474B2E"/>
    <w:rsid w:val="00477D3A"/>
    <w:rsid w:val="00482569"/>
    <w:rsid w:val="00484750"/>
    <w:rsid w:val="00491577"/>
    <w:rsid w:val="004919E8"/>
    <w:rsid w:val="00491A87"/>
    <w:rsid w:val="004934E0"/>
    <w:rsid w:val="004950C7"/>
    <w:rsid w:val="004A0A62"/>
    <w:rsid w:val="004A2E8B"/>
    <w:rsid w:val="004A5DA6"/>
    <w:rsid w:val="004B035A"/>
    <w:rsid w:val="004B10F9"/>
    <w:rsid w:val="004B3EA6"/>
    <w:rsid w:val="004B4BBE"/>
    <w:rsid w:val="004C0716"/>
    <w:rsid w:val="004C1C76"/>
    <w:rsid w:val="004C34C8"/>
    <w:rsid w:val="004C3BBE"/>
    <w:rsid w:val="004D0C39"/>
    <w:rsid w:val="004D1067"/>
    <w:rsid w:val="004D2CE3"/>
    <w:rsid w:val="004D583E"/>
    <w:rsid w:val="004D5AB6"/>
    <w:rsid w:val="004D63ED"/>
    <w:rsid w:val="004D6627"/>
    <w:rsid w:val="004D70CB"/>
    <w:rsid w:val="004E199D"/>
    <w:rsid w:val="004E5D4A"/>
    <w:rsid w:val="004F2EE5"/>
    <w:rsid w:val="004F7B80"/>
    <w:rsid w:val="005019B5"/>
    <w:rsid w:val="00501D10"/>
    <w:rsid w:val="00502CCD"/>
    <w:rsid w:val="00504DFF"/>
    <w:rsid w:val="00511B4C"/>
    <w:rsid w:val="00512D15"/>
    <w:rsid w:val="00513927"/>
    <w:rsid w:val="00520743"/>
    <w:rsid w:val="00521E63"/>
    <w:rsid w:val="00522D3F"/>
    <w:rsid w:val="005247AD"/>
    <w:rsid w:val="005248FE"/>
    <w:rsid w:val="00525295"/>
    <w:rsid w:val="00526E29"/>
    <w:rsid w:val="00530707"/>
    <w:rsid w:val="005326B5"/>
    <w:rsid w:val="005335DF"/>
    <w:rsid w:val="00540C42"/>
    <w:rsid w:val="00541287"/>
    <w:rsid w:val="00541A1D"/>
    <w:rsid w:val="00543A72"/>
    <w:rsid w:val="005476DA"/>
    <w:rsid w:val="005478B4"/>
    <w:rsid w:val="00547EB7"/>
    <w:rsid w:val="005509C5"/>
    <w:rsid w:val="005537D4"/>
    <w:rsid w:val="00553B4C"/>
    <w:rsid w:val="0055515B"/>
    <w:rsid w:val="005607A4"/>
    <w:rsid w:val="00561200"/>
    <w:rsid w:val="00561948"/>
    <w:rsid w:val="0056208B"/>
    <w:rsid w:val="00565772"/>
    <w:rsid w:val="00567F0C"/>
    <w:rsid w:val="00571EAB"/>
    <w:rsid w:val="005755FC"/>
    <w:rsid w:val="00575C82"/>
    <w:rsid w:val="00576AD1"/>
    <w:rsid w:val="00577335"/>
    <w:rsid w:val="005808F3"/>
    <w:rsid w:val="00580A4D"/>
    <w:rsid w:val="005862B8"/>
    <w:rsid w:val="005931C5"/>
    <w:rsid w:val="005935A7"/>
    <w:rsid w:val="00593696"/>
    <w:rsid w:val="00593BCF"/>
    <w:rsid w:val="005A21EF"/>
    <w:rsid w:val="005A22E6"/>
    <w:rsid w:val="005A247A"/>
    <w:rsid w:val="005A26F1"/>
    <w:rsid w:val="005A5027"/>
    <w:rsid w:val="005A64C0"/>
    <w:rsid w:val="005A6C7A"/>
    <w:rsid w:val="005B07D5"/>
    <w:rsid w:val="005B5220"/>
    <w:rsid w:val="005B6712"/>
    <w:rsid w:val="005B6A96"/>
    <w:rsid w:val="005D044B"/>
    <w:rsid w:val="005D35B8"/>
    <w:rsid w:val="005D385C"/>
    <w:rsid w:val="005D45C6"/>
    <w:rsid w:val="005D62BD"/>
    <w:rsid w:val="005D79E5"/>
    <w:rsid w:val="005E1524"/>
    <w:rsid w:val="005E34D8"/>
    <w:rsid w:val="005E44C2"/>
    <w:rsid w:val="005F0112"/>
    <w:rsid w:val="005F1A15"/>
    <w:rsid w:val="005F4E68"/>
    <w:rsid w:val="005F6631"/>
    <w:rsid w:val="005F7B19"/>
    <w:rsid w:val="0060045C"/>
    <w:rsid w:val="00601EA1"/>
    <w:rsid w:val="00603E75"/>
    <w:rsid w:val="00604298"/>
    <w:rsid w:val="00607743"/>
    <w:rsid w:val="006108D5"/>
    <w:rsid w:val="00613EC4"/>
    <w:rsid w:val="00613F55"/>
    <w:rsid w:val="006204D2"/>
    <w:rsid w:val="00623E1D"/>
    <w:rsid w:val="00624F30"/>
    <w:rsid w:val="006258D4"/>
    <w:rsid w:val="006266EE"/>
    <w:rsid w:val="006270FE"/>
    <w:rsid w:val="0063271A"/>
    <w:rsid w:val="006338B4"/>
    <w:rsid w:val="006345A6"/>
    <w:rsid w:val="006352EC"/>
    <w:rsid w:val="00637024"/>
    <w:rsid w:val="00637813"/>
    <w:rsid w:val="006426BB"/>
    <w:rsid w:val="00642FFC"/>
    <w:rsid w:val="0064339E"/>
    <w:rsid w:val="00643D90"/>
    <w:rsid w:val="00644A2F"/>
    <w:rsid w:val="00654165"/>
    <w:rsid w:val="00654502"/>
    <w:rsid w:val="00654A00"/>
    <w:rsid w:val="00657938"/>
    <w:rsid w:val="006602DD"/>
    <w:rsid w:val="006612B2"/>
    <w:rsid w:val="00661C12"/>
    <w:rsid w:val="00661D3C"/>
    <w:rsid w:val="00663C22"/>
    <w:rsid w:val="00665D7A"/>
    <w:rsid w:val="00666233"/>
    <w:rsid w:val="00670B55"/>
    <w:rsid w:val="00671D5F"/>
    <w:rsid w:val="0067243F"/>
    <w:rsid w:val="00674A41"/>
    <w:rsid w:val="00675B79"/>
    <w:rsid w:val="00675E03"/>
    <w:rsid w:val="00680444"/>
    <w:rsid w:val="006848B2"/>
    <w:rsid w:val="006868ED"/>
    <w:rsid w:val="00692A03"/>
    <w:rsid w:val="006A1E86"/>
    <w:rsid w:val="006A3147"/>
    <w:rsid w:val="006A5E44"/>
    <w:rsid w:val="006A69BD"/>
    <w:rsid w:val="006A6CEE"/>
    <w:rsid w:val="006B11B2"/>
    <w:rsid w:val="006B2F46"/>
    <w:rsid w:val="006B410D"/>
    <w:rsid w:val="006B7884"/>
    <w:rsid w:val="006C2861"/>
    <w:rsid w:val="006C3211"/>
    <w:rsid w:val="006C4FDB"/>
    <w:rsid w:val="006D1442"/>
    <w:rsid w:val="006D1A3B"/>
    <w:rsid w:val="006D210E"/>
    <w:rsid w:val="006D215D"/>
    <w:rsid w:val="006E3065"/>
    <w:rsid w:val="006E75FF"/>
    <w:rsid w:val="006E78B9"/>
    <w:rsid w:val="006E7DFE"/>
    <w:rsid w:val="006F1F8A"/>
    <w:rsid w:val="006F2768"/>
    <w:rsid w:val="006F27AE"/>
    <w:rsid w:val="006F58BB"/>
    <w:rsid w:val="00700FAB"/>
    <w:rsid w:val="00702CD2"/>
    <w:rsid w:val="007064D0"/>
    <w:rsid w:val="00707B44"/>
    <w:rsid w:val="00710451"/>
    <w:rsid w:val="00710A9D"/>
    <w:rsid w:val="00710CC2"/>
    <w:rsid w:val="00710D9F"/>
    <w:rsid w:val="00714232"/>
    <w:rsid w:val="00714820"/>
    <w:rsid w:val="00721607"/>
    <w:rsid w:val="00722E09"/>
    <w:rsid w:val="00726D57"/>
    <w:rsid w:val="007273B2"/>
    <w:rsid w:val="00731738"/>
    <w:rsid w:val="0073482C"/>
    <w:rsid w:val="007349B2"/>
    <w:rsid w:val="00735166"/>
    <w:rsid w:val="00742414"/>
    <w:rsid w:val="0074281A"/>
    <w:rsid w:val="00743E23"/>
    <w:rsid w:val="00744174"/>
    <w:rsid w:val="007458F9"/>
    <w:rsid w:val="00746AC4"/>
    <w:rsid w:val="00751F2D"/>
    <w:rsid w:val="00760712"/>
    <w:rsid w:val="00763A30"/>
    <w:rsid w:val="0076456E"/>
    <w:rsid w:val="0076505C"/>
    <w:rsid w:val="00773760"/>
    <w:rsid w:val="007739AF"/>
    <w:rsid w:val="007743E4"/>
    <w:rsid w:val="0078119B"/>
    <w:rsid w:val="00783A27"/>
    <w:rsid w:val="00784934"/>
    <w:rsid w:val="007857C1"/>
    <w:rsid w:val="00785F81"/>
    <w:rsid w:val="007864EE"/>
    <w:rsid w:val="00787081"/>
    <w:rsid w:val="007875BB"/>
    <w:rsid w:val="0079100D"/>
    <w:rsid w:val="00794A6F"/>
    <w:rsid w:val="00796B43"/>
    <w:rsid w:val="00797EB3"/>
    <w:rsid w:val="007A1498"/>
    <w:rsid w:val="007A15EB"/>
    <w:rsid w:val="007A2225"/>
    <w:rsid w:val="007A49BB"/>
    <w:rsid w:val="007A7603"/>
    <w:rsid w:val="007A7AAC"/>
    <w:rsid w:val="007B05C6"/>
    <w:rsid w:val="007B31E9"/>
    <w:rsid w:val="007B3AC8"/>
    <w:rsid w:val="007B424E"/>
    <w:rsid w:val="007B5391"/>
    <w:rsid w:val="007B5D5B"/>
    <w:rsid w:val="007C0964"/>
    <w:rsid w:val="007C45A0"/>
    <w:rsid w:val="007C5632"/>
    <w:rsid w:val="007C67DC"/>
    <w:rsid w:val="007D101A"/>
    <w:rsid w:val="007D18C4"/>
    <w:rsid w:val="007D1A35"/>
    <w:rsid w:val="007D5067"/>
    <w:rsid w:val="007D7495"/>
    <w:rsid w:val="007E0D91"/>
    <w:rsid w:val="007E1730"/>
    <w:rsid w:val="007E3D4B"/>
    <w:rsid w:val="007E4E34"/>
    <w:rsid w:val="007E4E65"/>
    <w:rsid w:val="007E7088"/>
    <w:rsid w:val="007F18EA"/>
    <w:rsid w:val="007F1B43"/>
    <w:rsid w:val="007F266D"/>
    <w:rsid w:val="007F33AA"/>
    <w:rsid w:val="007F5D52"/>
    <w:rsid w:val="00800B64"/>
    <w:rsid w:val="0080273C"/>
    <w:rsid w:val="00803CE9"/>
    <w:rsid w:val="00804760"/>
    <w:rsid w:val="0080554D"/>
    <w:rsid w:val="0080645E"/>
    <w:rsid w:val="00811F87"/>
    <w:rsid w:val="00813767"/>
    <w:rsid w:val="008162BE"/>
    <w:rsid w:val="008220E9"/>
    <w:rsid w:val="008227B1"/>
    <w:rsid w:val="00822A2E"/>
    <w:rsid w:val="00823030"/>
    <w:rsid w:val="00823145"/>
    <w:rsid w:val="0082733C"/>
    <w:rsid w:val="0083149D"/>
    <w:rsid w:val="0083321A"/>
    <w:rsid w:val="00834E58"/>
    <w:rsid w:val="00841698"/>
    <w:rsid w:val="00843F53"/>
    <w:rsid w:val="00844D8B"/>
    <w:rsid w:val="008464BB"/>
    <w:rsid w:val="00850677"/>
    <w:rsid w:val="00850C48"/>
    <w:rsid w:val="00855700"/>
    <w:rsid w:val="00856B9B"/>
    <w:rsid w:val="008573F0"/>
    <w:rsid w:val="00860D29"/>
    <w:rsid w:val="0086392C"/>
    <w:rsid w:val="008645B0"/>
    <w:rsid w:val="00864973"/>
    <w:rsid w:val="008657ED"/>
    <w:rsid w:val="008660D3"/>
    <w:rsid w:val="008676A4"/>
    <w:rsid w:val="00871479"/>
    <w:rsid w:val="008714DC"/>
    <w:rsid w:val="008715B1"/>
    <w:rsid w:val="00872C05"/>
    <w:rsid w:val="00872F72"/>
    <w:rsid w:val="00873611"/>
    <w:rsid w:val="0087413F"/>
    <w:rsid w:val="00874C13"/>
    <w:rsid w:val="00876F03"/>
    <w:rsid w:val="00877082"/>
    <w:rsid w:val="008839C1"/>
    <w:rsid w:val="008858A8"/>
    <w:rsid w:val="00885E21"/>
    <w:rsid w:val="008861FE"/>
    <w:rsid w:val="00894B86"/>
    <w:rsid w:val="008961E2"/>
    <w:rsid w:val="00896618"/>
    <w:rsid w:val="008A0D02"/>
    <w:rsid w:val="008A1B90"/>
    <w:rsid w:val="008A4724"/>
    <w:rsid w:val="008A55EB"/>
    <w:rsid w:val="008A6A25"/>
    <w:rsid w:val="008A7541"/>
    <w:rsid w:val="008B30AB"/>
    <w:rsid w:val="008B31EF"/>
    <w:rsid w:val="008B407F"/>
    <w:rsid w:val="008B4ED1"/>
    <w:rsid w:val="008B51B7"/>
    <w:rsid w:val="008B6434"/>
    <w:rsid w:val="008B7FB1"/>
    <w:rsid w:val="008C02E0"/>
    <w:rsid w:val="008C1143"/>
    <w:rsid w:val="008C2883"/>
    <w:rsid w:val="008C33E3"/>
    <w:rsid w:val="008C35C5"/>
    <w:rsid w:val="008C3A9D"/>
    <w:rsid w:val="008C401B"/>
    <w:rsid w:val="008C75CA"/>
    <w:rsid w:val="008D1223"/>
    <w:rsid w:val="008D471F"/>
    <w:rsid w:val="008D51DA"/>
    <w:rsid w:val="008D5C55"/>
    <w:rsid w:val="008D79F6"/>
    <w:rsid w:val="008E06D1"/>
    <w:rsid w:val="008E42EE"/>
    <w:rsid w:val="008E6551"/>
    <w:rsid w:val="008E6635"/>
    <w:rsid w:val="008E7D27"/>
    <w:rsid w:val="008F4108"/>
    <w:rsid w:val="008F41EB"/>
    <w:rsid w:val="008F67AD"/>
    <w:rsid w:val="00903600"/>
    <w:rsid w:val="009052C5"/>
    <w:rsid w:val="00910F9B"/>
    <w:rsid w:val="00912058"/>
    <w:rsid w:val="00912848"/>
    <w:rsid w:val="00913E1F"/>
    <w:rsid w:val="0091613D"/>
    <w:rsid w:val="0091712B"/>
    <w:rsid w:val="00920996"/>
    <w:rsid w:val="00921992"/>
    <w:rsid w:val="00921E3D"/>
    <w:rsid w:val="009223DE"/>
    <w:rsid w:val="00922ECA"/>
    <w:rsid w:val="00923041"/>
    <w:rsid w:val="00923F0B"/>
    <w:rsid w:val="00924410"/>
    <w:rsid w:val="009247FB"/>
    <w:rsid w:val="009267AD"/>
    <w:rsid w:val="009309AE"/>
    <w:rsid w:val="00935939"/>
    <w:rsid w:val="009366B1"/>
    <w:rsid w:val="00937890"/>
    <w:rsid w:val="00940DD6"/>
    <w:rsid w:val="00942440"/>
    <w:rsid w:val="00942785"/>
    <w:rsid w:val="00946C90"/>
    <w:rsid w:val="00952E61"/>
    <w:rsid w:val="00953FF0"/>
    <w:rsid w:val="009542E3"/>
    <w:rsid w:val="009554F5"/>
    <w:rsid w:val="0095570D"/>
    <w:rsid w:val="009565A2"/>
    <w:rsid w:val="009622BD"/>
    <w:rsid w:val="00964157"/>
    <w:rsid w:val="00964319"/>
    <w:rsid w:val="009666CA"/>
    <w:rsid w:val="0096737B"/>
    <w:rsid w:val="00967ABF"/>
    <w:rsid w:val="00970E37"/>
    <w:rsid w:val="00972C6E"/>
    <w:rsid w:val="00974393"/>
    <w:rsid w:val="00974E39"/>
    <w:rsid w:val="00975763"/>
    <w:rsid w:val="0098034E"/>
    <w:rsid w:val="0098325D"/>
    <w:rsid w:val="009849FE"/>
    <w:rsid w:val="00987847"/>
    <w:rsid w:val="00987B92"/>
    <w:rsid w:val="009901A3"/>
    <w:rsid w:val="00993C18"/>
    <w:rsid w:val="00995DD7"/>
    <w:rsid w:val="009A0710"/>
    <w:rsid w:val="009A2D4C"/>
    <w:rsid w:val="009A3319"/>
    <w:rsid w:val="009A4F2F"/>
    <w:rsid w:val="009B0AE0"/>
    <w:rsid w:val="009B148D"/>
    <w:rsid w:val="009B22C0"/>
    <w:rsid w:val="009B4B4D"/>
    <w:rsid w:val="009C06B5"/>
    <w:rsid w:val="009C120A"/>
    <w:rsid w:val="009C2AB7"/>
    <w:rsid w:val="009C3567"/>
    <w:rsid w:val="009D13D0"/>
    <w:rsid w:val="009D2848"/>
    <w:rsid w:val="009D346E"/>
    <w:rsid w:val="009D7376"/>
    <w:rsid w:val="009D76A7"/>
    <w:rsid w:val="009E0A41"/>
    <w:rsid w:val="009E2523"/>
    <w:rsid w:val="009E2935"/>
    <w:rsid w:val="009E4FDB"/>
    <w:rsid w:val="009E5B19"/>
    <w:rsid w:val="009F21DA"/>
    <w:rsid w:val="009F2A68"/>
    <w:rsid w:val="009F2EB4"/>
    <w:rsid w:val="009F4A5A"/>
    <w:rsid w:val="009F52A8"/>
    <w:rsid w:val="00A004CB"/>
    <w:rsid w:val="00A035D7"/>
    <w:rsid w:val="00A0364E"/>
    <w:rsid w:val="00A05C19"/>
    <w:rsid w:val="00A138E8"/>
    <w:rsid w:val="00A15034"/>
    <w:rsid w:val="00A1660B"/>
    <w:rsid w:val="00A23DA2"/>
    <w:rsid w:val="00A25A2F"/>
    <w:rsid w:val="00A25B04"/>
    <w:rsid w:val="00A2612D"/>
    <w:rsid w:val="00A26CF5"/>
    <w:rsid w:val="00A314E0"/>
    <w:rsid w:val="00A31E48"/>
    <w:rsid w:val="00A34B88"/>
    <w:rsid w:val="00A36461"/>
    <w:rsid w:val="00A36645"/>
    <w:rsid w:val="00A40D2B"/>
    <w:rsid w:val="00A41677"/>
    <w:rsid w:val="00A42DF4"/>
    <w:rsid w:val="00A468A9"/>
    <w:rsid w:val="00A46FC2"/>
    <w:rsid w:val="00A476C0"/>
    <w:rsid w:val="00A50B38"/>
    <w:rsid w:val="00A51EE2"/>
    <w:rsid w:val="00A541D0"/>
    <w:rsid w:val="00A554AD"/>
    <w:rsid w:val="00A56435"/>
    <w:rsid w:val="00A5762C"/>
    <w:rsid w:val="00A62D1F"/>
    <w:rsid w:val="00A655CC"/>
    <w:rsid w:val="00A66A15"/>
    <w:rsid w:val="00A73EFB"/>
    <w:rsid w:val="00A74CBD"/>
    <w:rsid w:val="00A761AA"/>
    <w:rsid w:val="00A7746E"/>
    <w:rsid w:val="00A83839"/>
    <w:rsid w:val="00A852F8"/>
    <w:rsid w:val="00A8610E"/>
    <w:rsid w:val="00A87A41"/>
    <w:rsid w:val="00A9073A"/>
    <w:rsid w:val="00A91A71"/>
    <w:rsid w:val="00A948B7"/>
    <w:rsid w:val="00A9497D"/>
    <w:rsid w:val="00A9565B"/>
    <w:rsid w:val="00A95B4B"/>
    <w:rsid w:val="00A95D24"/>
    <w:rsid w:val="00A96AF5"/>
    <w:rsid w:val="00AA0347"/>
    <w:rsid w:val="00AA234D"/>
    <w:rsid w:val="00AA2FAA"/>
    <w:rsid w:val="00AB01BE"/>
    <w:rsid w:val="00AB032D"/>
    <w:rsid w:val="00AB1C8D"/>
    <w:rsid w:val="00AB24DE"/>
    <w:rsid w:val="00AB254A"/>
    <w:rsid w:val="00AB2920"/>
    <w:rsid w:val="00AB40B1"/>
    <w:rsid w:val="00AB7F0C"/>
    <w:rsid w:val="00AC08FA"/>
    <w:rsid w:val="00AC106D"/>
    <w:rsid w:val="00AC2044"/>
    <w:rsid w:val="00AC20EF"/>
    <w:rsid w:val="00AC35D0"/>
    <w:rsid w:val="00AC3C62"/>
    <w:rsid w:val="00AC5056"/>
    <w:rsid w:val="00AC5FEA"/>
    <w:rsid w:val="00AC65A5"/>
    <w:rsid w:val="00AC6AE8"/>
    <w:rsid w:val="00AC7DE0"/>
    <w:rsid w:val="00AC7FBB"/>
    <w:rsid w:val="00AD0B8D"/>
    <w:rsid w:val="00AD2319"/>
    <w:rsid w:val="00AD2A19"/>
    <w:rsid w:val="00AE0D69"/>
    <w:rsid w:val="00AE2FF3"/>
    <w:rsid w:val="00AE3E2C"/>
    <w:rsid w:val="00AE63EF"/>
    <w:rsid w:val="00AE68C3"/>
    <w:rsid w:val="00AF25B6"/>
    <w:rsid w:val="00AF39A2"/>
    <w:rsid w:val="00B00638"/>
    <w:rsid w:val="00B06B9A"/>
    <w:rsid w:val="00B07F11"/>
    <w:rsid w:val="00B10122"/>
    <w:rsid w:val="00B13250"/>
    <w:rsid w:val="00B146AB"/>
    <w:rsid w:val="00B166C6"/>
    <w:rsid w:val="00B2034C"/>
    <w:rsid w:val="00B216DB"/>
    <w:rsid w:val="00B21E36"/>
    <w:rsid w:val="00B22312"/>
    <w:rsid w:val="00B239DC"/>
    <w:rsid w:val="00B25A62"/>
    <w:rsid w:val="00B317F5"/>
    <w:rsid w:val="00B31D69"/>
    <w:rsid w:val="00B32FC5"/>
    <w:rsid w:val="00B34061"/>
    <w:rsid w:val="00B35484"/>
    <w:rsid w:val="00B3601D"/>
    <w:rsid w:val="00B37248"/>
    <w:rsid w:val="00B410F7"/>
    <w:rsid w:val="00B41627"/>
    <w:rsid w:val="00B42458"/>
    <w:rsid w:val="00B427A3"/>
    <w:rsid w:val="00B44446"/>
    <w:rsid w:val="00B44583"/>
    <w:rsid w:val="00B44DC8"/>
    <w:rsid w:val="00B44E83"/>
    <w:rsid w:val="00B4579C"/>
    <w:rsid w:val="00B5188C"/>
    <w:rsid w:val="00B542C9"/>
    <w:rsid w:val="00B57BE8"/>
    <w:rsid w:val="00B61217"/>
    <w:rsid w:val="00B6221D"/>
    <w:rsid w:val="00B643D8"/>
    <w:rsid w:val="00B657C0"/>
    <w:rsid w:val="00B72E1B"/>
    <w:rsid w:val="00B72F5E"/>
    <w:rsid w:val="00B76583"/>
    <w:rsid w:val="00B822EB"/>
    <w:rsid w:val="00B828AD"/>
    <w:rsid w:val="00B82A2C"/>
    <w:rsid w:val="00B86D3E"/>
    <w:rsid w:val="00B91F6F"/>
    <w:rsid w:val="00B95FB4"/>
    <w:rsid w:val="00B9713B"/>
    <w:rsid w:val="00BA3787"/>
    <w:rsid w:val="00BA4D09"/>
    <w:rsid w:val="00BA723B"/>
    <w:rsid w:val="00BB4E11"/>
    <w:rsid w:val="00BB5076"/>
    <w:rsid w:val="00BC010F"/>
    <w:rsid w:val="00BC1025"/>
    <w:rsid w:val="00BC59E3"/>
    <w:rsid w:val="00BC5DDB"/>
    <w:rsid w:val="00BC62BF"/>
    <w:rsid w:val="00BC6890"/>
    <w:rsid w:val="00BC7F55"/>
    <w:rsid w:val="00BD0AB5"/>
    <w:rsid w:val="00BD2CD1"/>
    <w:rsid w:val="00BD769C"/>
    <w:rsid w:val="00BD7CF0"/>
    <w:rsid w:val="00BE0E55"/>
    <w:rsid w:val="00BE1CFA"/>
    <w:rsid w:val="00BE2C23"/>
    <w:rsid w:val="00BE2E41"/>
    <w:rsid w:val="00BF3C5F"/>
    <w:rsid w:val="00BF3F7C"/>
    <w:rsid w:val="00BF3FD1"/>
    <w:rsid w:val="00BF3FF7"/>
    <w:rsid w:val="00BF4626"/>
    <w:rsid w:val="00BF5B4E"/>
    <w:rsid w:val="00BF5CC5"/>
    <w:rsid w:val="00BF6C50"/>
    <w:rsid w:val="00C03CEA"/>
    <w:rsid w:val="00C04CFA"/>
    <w:rsid w:val="00C05092"/>
    <w:rsid w:val="00C12D2A"/>
    <w:rsid w:val="00C147C5"/>
    <w:rsid w:val="00C15CAB"/>
    <w:rsid w:val="00C17225"/>
    <w:rsid w:val="00C20146"/>
    <w:rsid w:val="00C2488A"/>
    <w:rsid w:val="00C25A88"/>
    <w:rsid w:val="00C26232"/>
    <w:rsid w:val="00C30543"/>
    <w:rsid w:val="00C30F4C"/>
    <w:rsid w:val="00C3268C"/>
    <w:rsid w:val="00C334FA"/>
    <w:rsid w:val="00C36949"/>
    <w:rsid w:val="00C36FD2"/>
    <w:rsid w:val="00C4431D"/>
    <w:rsid w:val="00C4665D"/>
    <w:rsid w:val="00C4735A"/>
    <w:rsid w:val="00C47B70"/>
    <w:rsid w:val="00C54A8A"/>
    <w:rsid w:val="00C54D21"/>
    <w:rsid w:val="00C601A7"/>
    <w:rsid w:val="00C60D1A"/>
    <w:rsid w:val="00C616A0"/>
    <w:rsid w:val="00C63486"/>
    <w:rsid w:val="00C70C3A"/>
    <w:rsid w:val="00C74917"/>
    <w:rsid w:val="00C75339"/>
    <w:rsid w:val="00C75EDD"/>
    <w:rsid w:val="00C80457"/>
    <w:rsid w:val="00C80E55"/>
    <w:rsid w:val="00C833ED"/>
    <w:rsid w:val="00C85441"/>
    <w:rsid w:val="00C859E7"/>
    <w:rsid w:val="00C86E8A"/>
    <w:rsid w:val="00C950E4"/>
    <w:rsid w:val="00C95FF9"/>
    <w:rsid w:val="00C96C2A"/>
    <w:rsid w:val="00C978E3"/>
    <w:rsid w:val="00CA0A5C"/>
    <w:rsid w:val="00CA1CB7"/>
    <w:rsid w:val="00CA1E8F"/>
    <w:rsid w:val="00CA2A57"/>
    <w:rsid w:val="00CA5187"/>
    <w:rsid w:val="00CA56F0"/>
    <w:rsid w:val="00CA702D"/>
    <w:rsid w:val="00CB1097"/>
    <w:rsid w:val="00CB4C6B"/>
    <w:rsid w:val="00CB5EDF"/>
    <w:rsid w:val="00CC1397"/>
    <w:rsid w:val="00CC260A"/>
    <w:rsid w:val="00CC39C7"/>
    <w:rsid w:val="00CC5766"/>
    <w:rsid w:val="00CC6699"/>
    <w:rsid w:val="00CC66CE"/>
    <w:rsid w:val="00CD1358"/>
    <w:rsid w:val="00CD155D"/>
    <w:rsid w:val="00CD4164"/>
    <w:rsid w:val="00CD4BE0"/>
    <w:rsid w:val="00CD6879"/>
    <w:rsid w:val="00CD69E8"/>
    <w:rsid w:val="00CD7536"/>
    <w:rsid w:val="00CD7A7C"/>
    <w:rsid w:val="00CE01E0"/>
    <w:rsid w:val="00CE05AD"/>
    <w:rsid w:val="00CE0CC9"/>
    <w:rsid w:val="00CE389F"/>
    <w:rsid w:val="00CE404C"/>
    <w:rsid w:val="00CE6E3C"/>
    <w:rsid w:val="00CE71CC"/>
    <w:rsid w:val="00CF1E52"/>
    <w:rsid w:val="00CF1FC0"/>
    <w:rsid w:val="00CF453E"/>
    <w:rsid w:val="00D01DAC"/>
    <w:rsid w:val="00D02BF3"/>
    <w:rsid w:val="00D02F5C"/>
    <w:rsid w:val="00D04EC8"/>
    <w:rsid w:val="00D0609C"/>
    <w:rsid w:val="00D1388D"/>
    <w:rsid w:val="00D203DD"/>
    <w:rsid w:val="00D2130B"/>
    <w:rsid w:val="00D21BEB"/>
    <w:rsid w:val="00D21D35"/>
    <w:rsid w:val="00D2279C"/>
    <w:rsid w:val="00D2493E"/>
    <w:rsid w:val="00D24D1D"/>
    <w:rsid w:val="00D26814"/>
    <w:rsid w:val="00D26896"/>
    <w:rsid w:val="00D26BCF"/>
    <w:rsid w:val="00D26BD0"/>
    <w:rsid w:val="00D26E6D"/>
    <w:rsid w:val="00D31BDD"/>
    <w:rsid w:val="00D31CBC"/>
    <w:rsid w:val="00D3266F"/>
    <w:rsid w:val="00D3554B"/>
    <w:rsid w:val="00D3630A"/>
    <w:rsid w:val="00D41609"/>
    <w:rsid w:val="00D42455"/>
    <w:rsid w:val="00D42D20"/>
    <w:rsid w:val="00D50B0D"/>
    <w:rsid w:val="00D5284F"/>
    <w:rsid w:val="00D52C9D"/>
    <w:rsid w:val="00D53D48"/>
    <w:rsid w:val="00D553C9"/>
    <w:rsid w:val="00D55586"/>
    <w:rsid w:val="00D568D8"/>
    <w:rsid w:val="00D63BFA"/>
    <w:rsid w:val="00D64110"/>
    <w:rsid w:val="00D6422F"/>
    <w:rsid w:val="00D6623A"/>
    <w:rsid w:val="00D67A65"/>
    <w:rsid w:val="00D704DD"/>
    <w:rsid w:val="00D706B5"/>
    <w:rsid w:val="00D709AF"/>
    <w:rsid w:val="00D72928"/>
    <w:rsid w:val="00D7423B"/>
    <w:rsid w:val="00D806CB"/>
    <w:rsid w:val="00D81610"/>
    <w:rsid w:val="00D85B36"/>
    <w:rsid w:val="00D85D29"/>
    <w:rsid w:val="00D864B9"/>
    <w:rsid w:val="00D87FF5"/>
    <w:rsid w:val="00D91658"/>
    <w:rsid w:val="00D94962"/>
    <w:rsid w:val="00D971AA"/>
    <w:rsid w:val="00D97F97"/>
    <w:rsid w:val="00DA4F93"/>
    <w:rsid w:val="00DA5AEF"/>
    <w:rsid w:val="00DA72DB"/>
    <w:rsid w:val="00DA7804"/>
    <w:rsid w:val="00DB1BC6"/>
    <w:rsid w:val="00DB2555"/>
    <w:rsid w:val="00DB3412"/>
    <w:rsid w:val="00DB36B5"/>
    <w:rsid w:val="00DB4286"/>
    <w:rsid w:val="00DB46FA"/>
    <w:rsid w:val="00DB72F0"/>
    <w:rsid w:val="00DB76A2"/>
    <w:rsid w:val="00DC09C0"/>
    <w:rsid w:val="00DC0B3B"/>
    <w:rsid w:val="00DC2126"/>
    <w:rsid w:val="00DC22CC"/>
    <w:rsid w:val="00DC2663"/>
    <w:rsid w:val="00DC4C4F"/>
    <w:rsid w:val="00DC7B3B"/>
    <w:rsid w:val="00DD1140"/>
    <w:rsid w:val="00DD2098"/>
    <w:rsid w:val="00DD35C7"/>
    <w:rsid w:val="00DD51ED"/>
    <w:rsid w:val="00DD7403"/>
    <w:rsid w:val="00DE11C3"/>
    <w:rsid w:val="00DE3457"/>
    <w:rsid w:val="00DE364F"/>
    <w:rsid w:val="00DE4015"/>
    <w:rsid w:val="00DE5508"/>
    <w:rsid w:val="00DE65D3"/>
    <w:rsid w:val="00DF222F"/>
    <w:rsid w:val="00DF7FB6"/>
    <w:rsid w:val="00E0019F"/>
    <w:rsid w:val="00E00EA3"/>
    <w:rsid w:val="00E01445"/>
    <w:rsid w:val="00E12CA4"/>
    <w:rsid w:val="00E13B94"/>
    <w:rsid w:val="00E14646"/>
    <w:rsid w:val="00E15DFA"/>
    <w:rsid w:val="00E2099E"/>
    <w:rsid w:val="00E217A2"/>
    <w:rsid w:val="00E22291"/>
    <w:rsid w:val="00E24093"/>
    <w:rsid w:val="00E26529"/>
    <w:rsid w:val="00E26FB1"/>
    <w:rsid w:val="00E344C0"/>
    <w:rsid w:val="00E34A96"/>
    <w:rsid w:val="00E35A5F"/>
    <w:rsid w:val="00E35D89"/>
    <w:rsid w:val="00E370FC"/>
    <w:rsid w:val="00E3783D"/>
    <w:rsid w:val="00E435CF"/>
    <w:rsid w:val="00E46DA7"/>
    <w:rsid w:val="00E5351C"/>
    <w:rsid w:val="00E54857"/>
    <w:rsid w:val="00E56277"/>
    <w:rsid w:val="00E602BF"/>
    <w:rsid w:val="00E60BDC"/>
    <w:rsid w:val="00E61AEF"/>
    <w:rsid w:val="00E62141"/>
    <w:rsid w:val="00E647FE"/>
    <w:rsid w:val="00E67418"/>
    <w:rsid w:val="00E73E70"/>
    <w:rsid w:val="00E744DC"/>
    <w:rsid w:val="00E813BF"/>
    <w:rsid w:val="00E8369A"/>
    <w:rsid w:val="00E851B0"/>
    <w:rsid w:val="00E85264"/>
    <w:rsid w:val="00E85973"/>
    <w:rsid w:val="00E902FC"/>
    <w:rsid w:val="00E934A0"/>
    <w:rsid w:val="00EA2783"/>
    <w:rsid w:val="00EA39C3"/>
    <w:rsid w:val="00EA6D75"/>
    <w:rsid w:val="00EB143C"/>
    <w:rsid w:val="00EB2F10"/>
    <w:rsid w:val="00EC14F3"/>
    <w:rsid w:val="00EC1E0E"/>
    <w:rsid w:val="00EC2CF0"/>
    <w:rsid w:val="00EC4208"/>
    <w:rsid w:val="00EC79DD"/>
    <w:rsid w:val="00ED0BD7"/>
    <w:rsid w:val="00ED488E"/>
    <w:rsid w:val="00ED5E0C"/>
    <w:rsid w:val="00ED5E14"/>
    <w:rsid w:val="00EE11B4"/>
    <w:rsid w:val="00EE3B2E"/>
    <w:rsid w:val="00EE4CA2"/>
    <w:rsid w:val="00EF0413"/>
    <w:rsid w:val="00EF0D4E"/>
    <w:rsid w:val="00EF1F94"/>
    <w:rsid w:val="00EF4060"/>
    <w:rsid w:val="00EF40F9"/>
    <w:rsid w:val="00EF45BF"/>
    <w:rsid w:val="00EF540A"/>
    <w:rsid w:val="00F02981"/>
    <w:rsid w:val="00F0330D"/>
    <w:rsid w:val="00F05FC0"/>
    <w:rsid w:val="00F074BA"/>
    <w:rsid w:val="00F115C0"/>
    <w:rsid w:val="00F11909"/>
    <w:rsid w:val="00F13649"/>
    <w:rsid w:val="00F13992"/>
    <w:rsid w:val="00F161EA"/>
    <w:rsid w:val="00F201DF"/>
    <w:rsid w:val="00F20679"/>
    <w:rsid w:val="00F22C92"/>
    <w:rsid w:val="00F23A5E"/>
    <w:rsid w:val="00F30141"/>
    <w:rsid w:val="00F31A41"/>
    <w:rsid w:val="00F3738C"/>
    <w:rsid w:val="00F40201"/>
    <w:rsid w:val="00F5100E"/>
    <w:rsid w:val="00F52ACC"/>
    <w:rsid w:val="00F53BA0"/>
    <w:rsid w:val="00F57202"/>
    <w:rsid w:val="00F6100A"/>
    <w:rsid w:val="00F67877"/>
    <w:rsid w:val="00F7048F"/>
    <w:rsid w:val="00F705C2"/>
    <w:rsid w:val="00F73A91"/>
    <w:rsid w:val="00F75948"/>
    <w:rsid w:val="00F76A51"/>
    <w:rsid w:val="00F83B11"/>
    <w:rsid w:val="00F84356"/>
    <w:rsid w:val="00F858E7"/>
    <w:rsid w:val="00F860C7"/>
    <w:rsid w:val="00F8778A"/>
    <w:rsid w:val="00F9126D"/>
    <w:rsid w:val="00F918F3"/>
    <w:rsid w:val="00F91C92"/>
    <w:rsid w:val="00F96365"/>
    <w:rsid w:val="00FA11BB"/>
    <w:rsid w:val="00FA1772"/>
    <w:rsid w:val="00FA1B4F"/>
    <w:rsid w:val="00FA41AF"/>
    <w:rsid w:val="00FA4A8D"/>
    <w:rsid w:val="00FA65B9"/>
    <w:rsid w:val="00FA7355"/>
    <w:rsid w:val="00FB06D0"/>
    <w:rsid w:val="00FB434B"/>
    <w:rsid w:val="00FB5348"/>
    <w:rsid w:val="00FB64B6"/>
    <w:rsid w:val="00FB6D3F"/>
    <w:rsid w:val="00FB7C0F"/>
    <w:rsid w:val="00FB7E45"/>
    <w:rsid w:val="00FC0526"/>
    <w:rsid w:val="00FC19FD"/>
    <w:rsid w:val="00FC25B7"/>
    <w:rsid w:val="00FC61D2"/>
    <w:rsid w:val="00FC6466"/>
    <w:rsid w:val="00FC6C3D"/>
    <w:rsid w:val="00FC7945"/>
    <w:rsid w:val="00FD13AB"/>
    <w:rsid w:val="00FD2271"/>
    <w:rsid w:val="00FD2816"/>
    <w:rsid w:val="00FD2849"/>
    <w:rsid w:val="00FD3B79"/>
    <w:rsid w:val="00FD6EDF"/>
    <w:rsid w:val="00FE0136"/>
    <w:rsid w:val="00FE19F7"/>
    <w:rsid w:val="00FE1A84"/>
    <w:rsid w:val="00FE1B0B"/>
    <w:rsid w:val="00FE21FD"/>
    <w:rsid w:val="00FE2619"/>
    <w:rsid w:val="00FE2C50"/>
    <w:rsid w:val="00FE486A"/>
    <w:rsid w:val="00FE6463"/>
    <w:rsid w:val="00FE704B"/>
    <w:rsid w:val="00FF1D22"/>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customStyle="1" w:styleId="tal0">
    <w:name w:val="tal"/>
    <w:basedOn w:val="Normal"/>
    <w:rsid w:val="001D1E89"/>
    <w:pPr>
      <w:keepNext/>
      <w:overflowPunct/>
      <w:autoSpaceDE/>
      <w:autoSpaceDN/>
      <w:adjustRightInd/>
      <w:spacing w:after="0"/>
      <w:textAlignment w:val="auto"/>
    </w:pPr>
    <w:rPr>
      <w:rFonts w:ascii="Arial" w:eastAsia="SimSun" w:hAnsi="Arial" w:cs="Arial"/>
      <w:color w:val="auto"/>
      <w:sz w:val="18"/>
      <w:szCs w:val="1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09332941">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3781182">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191</TotalTime>
  <Pages>9</Pages>
  <Words>1333</Words>
  <Characters>6714</Characters>
  <Application>Microsoft Office Word</Application>
  <DocSecurity>0</DocSecurity>
  <Lines>55</Lines>
  <Paragraphs>16</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8031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6</cp:revision>
  <cp:lastPrinted>2023-03-29T20:53:00Z</cp:lastPrinted>
  <dcterms:created xsi:type="dcterms:W3CDTF">2024-10-16T19:42:00Z</dcterms:created>
  <dcterms:modified xsi:type="dcterms:W3CDTF">2024-10-17T20:46:00Z</dcterms:modified>
</cp:coreProperties>
</file>