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/>
      </w:pPr>
      <w:bookmarkStart w:colFirst="0" w:colLast="0" w:name="_heading=h.26in1rg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3GPP TSG-SA3 Meeting #118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S3-243907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Hyderabad, India 14 – 18 October 2024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 xml:space="preserve">  </w:t>
      </w:r>
    </w:p>
    <w:p w:rsidR="00000000" w:rsidDel="00000000" w:rsidP="00000000" w:rsidRDefault="00000000" w:rsidRPr="00000000" w14:paraId="00000004">
      <w:pPr>
        <w:keepNext w:val="1"/>
        <w:pBdr>
          <w:bottom w:color="000000" w:space="1" w:sz="4" w:val="single"/>
        </w:pBdr>
        <w:tabs>
          <w:tab w:val="right" w:leader="none" w:pos="9639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Google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A server-initiated ACME certificate renewal for 5G SBA</w:t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</w:p>
    <w:p w:rsidR="00000000" w:rsidDel="00000000" w:rsidP="00000000" w:rsidRDefault="00000000" w:rsidRPr="00000000" w14:paraId="00000008">
      <w:pPr>
        <w:keepNext w:val="1"/>
        <w:pBdr>
          <w:bottom w:color="000000" w:space="1" w:sz="4" w:val="single"/>
        </w:pBdr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5.4</w:t>
      </w:r>
    </w:p>
    <w:p w:rsidR="00000000" w:rsidDel="00000000" w:rsidP="00000000" w:rsidRDefault="00000000" w:rsidRPr="00000000" w14:paraId="00000009">
      <w:pPr>
        <w:pStyle w:val="Heading1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fff99" w:val="clear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Approval of a new solution to address KI#5 in TR 33.776.</w:t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color w:val="000000"/>
          <w:rtl w:val="0"/>
        </w:rPr>
        <w:t xml:space="preserve">[1]</w:t>
        <w:tab/>
      </w:r>
      <w:r w:rsidDel="00000000" w:rsidR="00000000" w:rsidRPr="00000000">
        <w:rPr>
          <w:rtl w:val="0"/>
        </w:rPr>
        <w:t xml:space="preserve">3GPP TR 33.776: “Study of ACME for Automated Certificate Management in SBA”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  <w:t xml:space="preserve">[2]</w:t>
        <w:tab/>
        <w:t xml:space="preserve">IETF RFC 8555: “Automatic Certificate Management Environment (ACME)”, 2019</w:t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  <w:t xml:space="preserve">[3]</w:t>
        <w:tab/>
        <w:t xml:space="preserve">3GPP TS 33.310: “Network Domain Security (NDS); Authentication Framework (AF)”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This contribution proposes a solution that addresses Key Issue #5 - Certificate renewal, as defined in TR 33.776 [1]. The solution is based on use of the ACME protocol, as defined in RFC 8555 [2].</w:t>
      </w:r>
    </w:p>
    <w:p w:rsidR="00000000" w:rsidDel="00000000" w:rsidP="00000000" w:rsidRDefault="00000000" w:rsidRPr="00000000" w14:paraId="00000012">
      <w:pPr>
        <w:pStyle w:val="Heading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4</w:t>
        <w:tab/>
        <w:t xml:space="preserve">Detailed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</w:t>
        <w:tab/>
        <w:t xml:space="preserve">BEGINNING OF CHANGES (all text new) ***</w:t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6.x</w:t>
        <w:tab/>
        <w:t xml:space="preserve">Solution #x: A server-initiated ACME certificate renewal 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heading=h.2yixh8g6e7f9" w:id="2"/>
      <w:bookmarkEnd w:id="2"/>
      <w:r w:rsidDel="00000000" w:rsidR="00000000" w:rsidRPr="00000000">
        <w:rPr>
          <w:rtl w:val="0"/>
        </w:rPr>
        <w:t xml:space="preserve">6.x.1</w:t>
        <w:tab/>
        <w:t xml:space="preserve">Introduction</w:t>
      </w:r>
    </w:p>
    <w:p w:rsidR="00000000" w:rsidDel="00000000" w:rsidP="00000000" w:rsidRDefault="00000000" w:rsidRPr="00000000" w14:paraId="00000016">
      <w:pPr>
        <w:keepLines w:val="1"/>
        <w:rPr/>
      </w:pPr>
      <w:r w:rsidDel="00000000" w:rsidR="00000000" w:rsidRPr="00000000">
        <w:rPr>
          <w:rtl w:val="0"/>
        </w:rPr>
        <w:t xml:space="preserve">This solution addresses KI#5 </w:t>
      </w:r>
    </w:p>
    <w:p w:rsidR="00000000" w:rsidDel="00000000" w:rsidP="00000000" w:rsidRDefault="00000000" w:rsidRPr="00000000" w14:paraId="00000017">
      <w:pPr>
        <w:pStyle w:val="Heading4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6.x.2.1</w:t>
        <w:tab/>
        <w:t xml:space="preserve">Solution overview</w:t>
      </w:r>
    </w:p>
    <w:p w:rsidR="00000000" w:rsidDel="00000000" w:rsidP="00000000" w:rsidRDefault="00000000" w:rsidRPr="00000000" w14:paraId="00000018">
      <w:pPr>
        <w:rPr/>
      </w:pPr>
      <w:bookmarkStart w:colFirst="0" w:colLast="0" w:name="_heading=h.30j0zll" w:id="4"/>
      <w:bookmarkEnd w:id="4"/>
      <w:r w:rsidDel="00000000" w:rsidR="00000000" w:rsidRPr="00000000">
        <w:rPr>
          <w:rtl w:val="0"/>
        </w:rPr>
        <w:t xml:space="preserve">A certificate renewal in the context of 5G SBA with ACME may be defined as issuance of a new certificate to replace the old certificate. This solution uses similar call flows as client-initiated ACME-based certificate renewal procedure. However, unlike client-initiated  ACME-based certificate renewal as described in RFC 8555 [2], this solution proposes a server-initiated ACME certificate renewal procedure.     </w:t>
      </w:r>
    </w:p>
    <w:p w:rsidR="00000000" w:rsidDel="00000000" w:rsidP="00000000" w:rsidRDefault="00000000" w:rsidRPr="00000000" w14:paraId="00000019">
      <w:pPr>
        <w:pStyle w:val="Heading4"/>
        <w:rPr/>
      </w:pPr>
      <w:r w:rsidDel="00000000" w:rsidR="00000000" w:rsidRPr="00000000">
        <w:rPr>
          <w:rtl w:val="0"/>
        </w:rPr>
        <w:t xml:space="preserve">6.x.2.1.1 A server-initiated ACME certificate renewal procedure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Figure 6.x.2.1.1-1 depicts a CA/RA (ACME Server) initiated certificate renewal process. Note that 5G NF acts as an ACME client and the CA/RA is the ACME server.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/>
        <w:drawing>
          <wp:inline distB="0" distT="0" distL="0" distR="0">
            <wp:extent cx="6103984" cy="5034424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3984" cy="50344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>
          <w:rtl w:val="0"/>
        </w:rPr>
        <w:t xml:space="preserve">Figure 6.x.2.1.1 An ACME Server initiated certificate renewal procedure</w:t>
      </w:r>
    </w:p>
    <w:p w:rsidR="00000000" w:rsidDel="00000000" w:rsidP="00000000" w:rsidRDefault="00000000" w:rsidRPr="00000000" w14:paraId="0000001E">
      <w:pPr>
        <w:rPr/>
      </w:pPr>
      <w:bookmarkStart w:colFirst="0" w:colLast="0" w:name="_heading=h.vdzezr3jb8i7" w:id="5"/>
      <w:bookmarkEnd w:id="5"/>
      <w:r w:rsidDel="00000000" w:rsidR="00000000" w:rsidRPr="00000000">
        <w:rPr>
          <w:rtl w:val="0"/>
        </w:rPr>
        <w:t xml:space="preserve">0. the 5G NF (an ACME client) has been through a certification enrolment process and has received a signed certificate from the CA/RA as described in Solution #5 of 3GPP TR 33.776 v0.4.0 [1].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1. The CA/RA (an ACME Server) is pre-configured with certificate renewal policies and conditions. The conditions may be part of the renewal policies. The certificate renewal may be initiated based on these policies and conditions, for instance: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6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for renewal (e.g., 11:59 PM EST)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6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Remaining valid-time for an issued certificate (e.g., 2/3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rd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of the valid time).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6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AI/ML prediction and data analysis recommendation trigger.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6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Security vulnerability or risk condition trigger.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line="240" w:lineRule="auto"/>
        <w:ind w:left="766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Scheduled renewal period (e.g., Short-lived certificate).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bookmarkStart w:colFirst="0" w:colLast="0" w:name="_heading=h.15wb3rx1mre" w:id="6"/>
      <w:bookmarkEnd w:id="6"/>
      <w:r w:rsidDel="00000000" w:rsidR="00000000" w:rsidRPr="00000000">
        <w:rPr>
          <w:rtl w:val="0"/>
        </w:rPr>
        <w:t xml:space="preserve">The server keeps track of these conditions for a client or a set of clients. Furthermore, certificate renewal may be constrained with conditions. For example: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Rule="auto"/>
        <w:ind w:left="720" w:hanging="360"/>
        <w:rPr/>
      </w:pPr>
      <w:bookmarkStart w:colFirst="0" w:colLast="0" w:name="_heading=h.545easa21awd" w:id="7"/>
      <w:bookmarkEnd w:id="7"/>
      <w:r w:rsidDel="00000000" w:rsidR="00000000" w:rsidRPr="00000000">
        <w:rPr>
          <w:rtl w:val="0"/>
        </w:rPr>
        <w:t xml:space="preserve">Renewal window (e.g., between 12:00 AM July 1, 2025 - July 31, 2025)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bookmarkStart w:colFirst="0" w:colLast="0" w:name="_heading=h.3qh8hrjkwqaf" w:id="8"/>
      <w:bookmarkEnd w:id="8"/>
      <w:r w:rsidDel="00000000" w:rsidR="00000000" w:rsidRPr="00000000">
        <w:rPr>
          <w:rtl w:val="0"/>
        </w:rPr>
        <w:t xml:space="preserve">Area or segment for renewal (e.g., sector A, geographical region B, 5G Core #5, etc.)</w:t>
      </w:r>
    </w:p>
    <w:p w:rsidR="00000000" w:rsidDel="00000000" w:rsidP="00000000" w:rsidRDefault="00000000" w:rsidRPr="00000000" w14:paraId="00000028">
      <w:pPr>
        <w:rPr/>
      </w:pPr>
      <w:bookmarkStart w:colFirst="0" w:colLast="0" w:name="_heading=h.tyjcwt" w:id="9"/>
      <w:bookmarkEnd w:id="9"/>
      <w:r w:rsidDel="00000000" w:rsidR="00000000" w:rsidRPr="00000000">
        <w:rPr>
          <w:rtl w:val="0"/>
        </w:rPr>
        <w:t xml:space="preserve">2. The ACME Server may have been pre-configured with a list of ACME Clients that are pre-authorized for certificate renewal. The list may contain the ACME Client identifiers and corresponding security certificates identifiers. The certificate renewal procedure reuses the pre-authorization procedure for certificate issuance described in RFC 8555 [2].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3. The ACME Server detects a trigger for certificate renewal. This trigger to renew the certificate is activated based on policies described in Step 1.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4. The ACME Server checks if an ACME client is pre-authorized for certificate renewal, and if true, sends an indication for certificate renewal. The server also includes a “pre-authorized” indicator to inform that no authorization challenge is required.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5. The ACME Client identifies the certificate renewal request with a ‘pre-authorized’ indicator to learn that no authorization challenge is needed. The ACME client sends a CSR to the server and then downloads the certificate as described in Solution #5 of TR 33.766 [1].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6. If the ACME Client is not pre-authorized, the ACME server sends an authorization challenge [1, 2] along with an indication for certificate renewal.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7. ACME client successfully completes the challenge validation procedure and sends a Certificate Signing Request (CSR) similar to the Steps 3 and 4 in Solution #5 of TR 33.766 [1].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7.a.  If the response from the ACME client indicates that the challenge was not completed successfully, the server sends an indication informing a failure and a new authorization challenge request (go back to Step 6). 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Eventually, if the challenge is not completed successfully prior to the expiration time initially provided by the server or updated by the server, the order will be dropped by the server.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6. Provided that the challenge validation is completed successfully the server sends acknowledgement and the client downloads the certificate as described in Steps 5 and Step 6 in Solution #5 of TR 33.766 [1].</w:t>
      </w:r>
    </w:p>
    <w:p w:rsidR="00000000" w:rsidDel="00000000" w:rsidP="00000000" w:rsidRDefault="00000000" w:rsidRPr="00000000" w14:paraId="00000031">
      <w:pPr>
        <w:pStyle w:val="Heading3"/>
        <w:rPr/>
      </w:pPr>
      <w:bookmarkStart w:colFirst="0" w:colLast="0" w:name="_heading=h.lnxbz9" w:id="10"/>
      <w:bookmarkEnd w:id="10"/>
      <w:r w:rsidDel="00000000" w:rsidR="00000000" w:rsidRPr="00000000">
        <w:rPr>
          <w:rtl w:val="0"/>
        </w:rPr>
        <w:t xml:space="preserve">6.x.3 Evaluation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This solution addresses KI#5.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This solution impacts 5G core network functions.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Pre-defined certificate renewal policies and conditions in the CA/RA trigger the process for certificate renewal.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 5G NF may be pre-authorized by a CA/RA for certificate renewals. In such a scenario, the CA/RA may not involve challenge validation steps.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If not pre-authorized, the CA/RA sends the certificate renewal indication to a 5G NF. The CA/RA sends challenge objects to the 5G NF which it needs to complete successfully. 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The CA/RA may resend a challenge validation request to the 5G NF if the previous challenge was unsuccessful.</w:t>
      </w:r>
    </w:p>
    <w:p w:rsidR="00000000" w:rsidDel="00000000" w:rsidP="00000000" w:rsidRDefault="00000000" w:rsidRPr="00000000" w14:paraId="00000038">
      <w:pPr>
        <w:rPr>
          <w:sz w:val="18"/>
          <w:szCs w:val="18"/>
        </w:rPr>
      </w:pPr>
      <w:r w:rsidDel="00000000" w:rsidR="00000000" w:rsidRPr="00000000">
        <w:rPr>
          <w:rtl w:val="0"/>
        </w:rPr>
        <w:t xml:space="preserve">Upon receiving a renewal request, the 5G NF completes the challenge and sends a resulting response along with a certificate signing request to the CA/RA. The CA/RA issues to the 5G NF, a signed certificate.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</w:t>
        <w:tab/>
        <w:t xml:space="preserve">END OF CHANGES</w:t>
        <w:tab/>
        <w:t xml:space="preserve">***</w:t>
      </w:r>
    </w:p>
    <w:p w:rsidR="00000000" w:rsidDel="00000000" w:rsidP="00000000" w:rsidRDefault="00000000" w:rsidRPr="00000000" w14:paraId="0000003B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567" w:top="567" w:left="1134" w:right="1134" w:header="68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66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0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2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6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8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2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</w:pBdr>
      <w:spacing w:before="240" w:lineRule="auto"/>
      <w:ind w:left="1134" w:hanging="1134"/>
    </w:pPr>
    <w:rPr>
      <w:rFonts w:ascii="Arial" w:cs="Arial" w:eastAsia="Arial" w:hAnsi="Arial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</w:pBdr>
      <w:spacing w:before="180" w:lineRule="auto"/>
      <w:ind w:left="1134" w:hanging="1134"/>
    </w:pPr>
    <w:rPr>
      <w:rFonts w:ascii="Arial" w:cs="Arial" w:eastAsia="Arial" w:hAnsi="Arial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</w:pBdr>
      <w:spacing w:before="120" w:lineRule="auto"/>
      <w:ind w:left="1134" w:hanging="1134"/>
    </w:pPr>
    <w:rPr>
      <w:rFonts w:ascii="Arial" w:cs="Arial" w:eastAsia="Arial" w:hAnsi="Arial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</w:pBdr>
      <w:spacing w:before="120" w:lineRule="auto"/>
      <w:ind w:left="1418" w:hanging="1418"/>
    </w:pPr>
    <w:rPr>
      <w:rFonts w:ascii="Arial" w:cs="Arial" w:eastAsia="Arial" w:hAnsi="Arial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</w:pBdr>
      <w:spacing w:before="120" w:lineRule="auto"/>
      <w:ind w:left="1701" w:hanging="1701"/>
    </w:pPr>
    <w:rPr>
      <w:rFonts w:ascii="Arial" w:cs="Arial" w:eastAsia="Arial" w:hAnsi="Arial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</w:pBdr>
      <w:spacing w:before="120" w:lineRule="auto"/>
      <w:ind w:left="1985" w:hanging="1985"/>
    </w:pPr>
    <w:rPr>
      <w:rFonts w:ascii="Arial" w:cs="Arial" w:eastAsia="Arial" w:hAnsi="Arial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24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8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134" w:right="0" w:hanging="1134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418" w:right="0" w:hanging="1418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701" w:right="0" w:hanging="1701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120" w:line="240" w:lineRule="auto"/>
      <w:ind w:left="1985" w:right="0" w:hanging="1985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C5621"/>
  </w:style>
  <w:style w:type="paragraph" w:styleId="Heading1">
    <w:name w:val="heading 1"/>
    <w:next w:val="Normal"/>
    <w:link w:val="Heading1Char"/>
    <w:uiPriority w:val="9"/>
    <w:qFormat w:val="1"/>
    <w:pPr>
      <w:keepNext w:val="1"/>
      <w:keepLines w:val="1"/>
      <w:pBdr>
        <w:top w:color="auto" w:space="3" w:sz="12" w:val="single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uiPriority w:val="9"/>
    <w:unhideWhenUsed w:val="1"/>
    <w:qFormat w:val="1"/>
    <w:pPr>
      <w:pBdr>
        <w:top w:color="auto" w:space="0" w:sz="0" w:val="none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unhideWhenUsed w:val="1"/>
    <w:qFormat w:val="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 w:val="1"/>
    <w:qFormat w:val="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unhideWhenUsed w:val="1"/>
    <w:qFormat w:val="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 w:val="1"/>
    <w:unhideWhenUsed w:val="1"/>
    <w:qFormat w:val="1"/>
    <w:pPr>
      <w:outlineLvl w:val="5"/>
    </w:pPr>
  </w:style>
  <w:style w:type="paragraph" w:styleId="Heading7">
    <w:name w:val="heading 7"/>
    <w:basedOn w:val="H6"/>
    <w:next w:val="Normal"/>
    <w:qFormat w:val="1"/>
    <w:pPr>
      <w:outlineLvl w:val="6"/>
    </w:pPr>
  </w:style>
  <w:style w:type="paragraph" w:styleId="Heading8">
    <w:name w:val="heading 8"/>
    <w:basedOn w:val="Heading1"/>
    <w:next w:val="Normal"/>
    <w:qFormat w:val="1"/>
    <w:pPr>
      <w:ind w:left="0" w:firstLine="0"/>
      <w:outlineLvl w:val="7"/>
    </w:pPr>
  </w:style>
  <w:style w:type="paragraph" w:styleId="Heading9">
    <w:name w:val="heading 9"/>
    <w:basedOn w:val="Heading8"/>
    <w:next w:val="Normal"/>
    <w:qFormat w:val="1"/>
    <w:p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 w:val="1"/>
    <w:pPr>
      <w:spacing w:before="180"/>
      <w:ind w:left="2693" w:hanging="2693"/>
    </w:pPr>
    <w:rPr>
      <w:b w:val="1"/>
    </w:rPr>
  </w:style>
  <w:style w:type="paragraph" w:styleId="TOC1">
    <w:name w:val="toc 1"/>
    <w:semiHidden w:val="1"/>
    <w:pPr>
      <w:keepNext w:val="1"/>
      <w:keepLines w:val="1"/>
      <w:widowControl w:val="0"/>
      <w:tabs>
        <w:tab w:val="right" w:leader="dot" w:pos="9639"/>
      </w:tabs>
      <w:spacing w:before="120"/>
      <w:ind w:left="567" w:right="425" w:hanging="567"/>
    </w:pPr>
    <w:rPr>
      <w:noProof w:val="1"/>
      <w:sz w:val="22"/>
    </w:rPr>
  </w:style>
  <w:style w:type="paragraph" w:styleId="ZT" w:customStyle="1">
    <w:name w:val="ZT"/>
    <w:pPr>
      <w:framePr w:lines="0" w:wrap="notBeside" w:hAnchor="margin" w:yAlign="center"/>
      <w:widowControl w:val="0"/>
      <w:spacing w:line="240" w:lineRule="atLeast"/>
      <w:jc w:val="right"/>
    </w:pPr>
    <w:rPr>
      <w:rFonts w:ascii="Arial" w:hAnsi="Arial"/>
      <w:b w:val="1"/>
      <w:sz w:val="34"/>
    </w:rPr>
  </w:style>
  <w:style w:type="paragraph" w:styleId="TOC5">
    <w:name w:val="toc 5"/>
    <w:basedOn w:val="TOC4"/>
    <w:semiHidden w:val="1"/>
    <w:pPr>
      <w:ind w:left="1701" w:hanging="1701"/>
    </w:pPr>
  </w:style>
  <w:style w:type="paragraph" w:styleId="TOC4">
    <w:name w:val="toc 4"/>
    <w:basedOn w:val="TOC3"/>
    <w:semiHidden w:val="1"/>
    <w:pPr>
      <w:ind w:left="1418" w:hanging="1418"/>
    </w:pPr>
  </w:style>
  <w:style w:type="paragraph" w:styleId="TOC3">
    <w:name w:val="toc 3"/>
    <w:basedOn w:val="TOC2"/>
    <w:semiHidden w:val="1"/>
    <w:pPr>
      <w:ind w:left="1134" w:hanging="1134"/>
    </w:pPr>
  </w:style>
  <w:style w:type="paragraph" w:styleId="TOC2">
    <w:name w:val="toc 2"/>
    <w:basedOn w:val="TOC1"/>
    <w:semiHidden w:val="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 w:val="1"/>
    <w:pPr>
      <w:ind w:left="284"/>
    </w:pPr>
  </w:style>
  <w:style w:type="paragraph" w:styleId="Index1">
    <w:name w:val="index 1"/>
    <w:basedOn w:val="Normal"/>
    <w:semiHidden w:val="1"/>
    <w:pPr>
      <w:keepLines w:val="1"/>
      <w:spacing w:after="0"/>
    </w:pPr>
  </w:style>
  <w:style w:type="paragraph" w:styleId="ZH" w:customStyle="1">
    <w:name w:val="ZH"/>
    <w:pPr>
      <w:framePr w:lines="0" w:wrap="notBeside" w:hAnchor="margin" w:vAnchor="page" w:xAlign="center" w:y="6805"/>
      <w:widowControl w:val="0"/>
    </w:pPr>
    <w:rPr>
      <w:rFonts w:ascii="Arial" w:hAnsi="Arial"/>
      <w:noProof w:val="1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 w:val="1"/>
      <w:noProof w:val="1"/>
      <w:sz w:val="18"/>
    </w:rPr>
  </w:style>
  <w:style w:type="character" w:styleId="FootnoteReference">
    <w:name w:val="footnote reference"/>
    <w:semiHidden w:val="1"/>
    <w:rPr>
      <w:b w:val="1"/>
      <w:position w:val="6"/>
      <w:sz w:val="16"/>
    </w:rPr>
  </w:style>
  <w:style w:type="paragraph" w:styleId="FootnoteText">
    <w:name w:val="footnote text"/>
    <w:basedOn w:val="Normal"/>
    <w:semiHidden w:val="1"/>
    <w:pPr>
      <w:keepLines w:val="1"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 w:val="1"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Normal"/>
    <w:pPr>
      <w:keepNext w:val="1"/>
      <w:keepLines w:val="1"/>
      <w:spacing w:after="0"/>
    </w:pPr>
    <w:rPr>
      <w:rFonts w:ascii="Arial" w:hAnsi="Arial"/>
      <w:sz w:val="18"/>
    </w:rPr>
  </w:style>
  <w:style w:type="paragraph" w:styleId="TF" w:customStyle="1">
    <w:name w:val="TF"/>
    <w:aliases w:val="left"/>
    <w:basedOn w:val="TH"/>
    <w:link w:val="TFChar"/>
    <w:pPr>
      <w:keepNext w:val="0"/>
      <w:spacing w:after="240" w:before="0"/>
    </w:pPr>
  </w:style>
  <w:style w:type="paragraph" w:styleId="TH" w:customStyle="1">
    <w:name w:val="TH"/>
    <w:basedOn w:val="Normal"/>
    <w:pPr>
      <w:keepNext w:val="1"/>
      <w:keepLines w:val="1"/>
      <w:spacing w:before="60"/>
      <w:jc w:val="center"/>
    </w:pPr>
    <w:rPr>
      <w:rFonts w:ascii="Arial" w:hAnsi="Arial"/>
      <w:b w:val="1"/>
    </w:rPr>
  </w:style>
  <w:style w:type="paragraph" w:styleId="NO" w:customStyle="1">
    <w:name w:val="NO"/>
    <w:basedOn w:val="Normal"/>
    <w:link w:val="NOChar"/>
    <w:qFormat w:val="1"/>
    <w:pPr>
      <w:keepLines w:val="1"/>
      <w:ind w:left="1135" w:hanging="851"/>
    </w:pPr>
  </w:style>
  <w:style w:type="paragraph" w:styleId="TOC9">
    <w:name w:val="toc 9"/>
    <w:basedOn w:val="TOC8"/>
    <w:semiHidden w:val="1"/>
    <w:pPr>
      <w:ind w:left="1418" w:hanging="1418"/>
    </w:pPr>
  </w:style>
  <w:style w:type="paragraph" w:styleId="EX" w:customStyle="1">
    <w:name w:val="EX"/>
    <w:basedOn w:val="Normal"/>
    <w:pPr>
      <w:keepLines w:val="1"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 w:val="1"/>
      <w:keepLines w:val="1"/>
      <w:spacing w:line="180" w:lineRule="exact"/>
    </w:pPr>
    <w:rPr>
      <w:rFonts w:ascii="MS LineDraw" w:hAnsi="MS LineDraw"/>
      <w:noProof w:val="1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 w:val="1"/>
    <w:pPr>
      <w:ind w:left="1985" w:hanging="1985"/>
    </w:pPr>
  </w:style>
  <w:style w:type="paragraph" w:styleId="TOC7">
    <w:name w:val="toc 7"/>
    <w:basedOn w:val="TOC6"/>
    <w:next w:val="Normal"/>
    <w:semiHidden w:val="1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EQ" w:customStyle="1">
    <w:name w:val="EQ"/>
    <w:basedOn w:val="Normal"/>
    <w:next w:val="Normal"/>
    <w:pPr>
      <w:keepLines w:val="1"/>
      <w:tabs>
        <w:tab w:val="center" w:pos="4536"/>
        <w:tab w:val="right" w:pos="9072"/>
      </w:tabs>
    </w:pPr>
    <w:rPr>
      <w:noProof w:val="1"/>
    </w:rPr>
  </w:style>
  <w:style w:type="paragraph" w:styleId="NF" w:customStyle="1">
    <w:name w:val="NF"/>
    <w:basedOn w:val="NO"/>
    <w:pPr>
      <w:keepNext w:val="1"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 w:val="1"/>
      <w:sz w:val="16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lines="0" w:w="10206" w:h="794" w:wrap="notBeside" w:hAnchor="margin" w:vAnchor="page" w:y="1135" w:hRule="exact"/>
      <w:widowControl w:val="0"/>
      <w:pBdr>
        <w:bottom w:color="auto" w:space="1" w:sz="12" w:val="single"/>
      </w:pBdr>
      <w:jc w:val="right"/>
    </w:pPr>
    <w:rPr>
      <w:rFonts w:ascii="Arial" w:hAnsi="Arial"/>
      <w:noProof w:val="1"/>
      <w:sz w:val="40"/>
    </w:rPr>
  </w:style>
  <w:style w:type="paragraph" w:styleId="ZB" w:customStyle="1">
    <w:name w:val="ZB"/>
    <w:pPr>
      <w:framePr w:lines="0"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 w:val="1"/>
      <w:noProof w:val="1"/>
    </w:rPr>
  </w:style>
  <w:style w:type="paragraph" w:styleId="ZD" w:customStyle="1">
    <w:name w:val="ZD"/>
    <w:pPr>
      <w:framePr w:lines="0" w:wrap="notBeside" w:hAnchor="margin" w:vAnchor="page" w:y="15764"/>
      <w:widowControl w:val="0"/>
    </w:pPr>
    <w:rPr>
      <w:rFonts w:ascii="Arial" w:hAnsi="Arial"/>
      <w:noProof w:val="1"/>
      <w:sz w:val="32"/>
    </w:rPr>
  </w:style>
  <w:style w:type="paragraph" w:styleId="ZU" w:customStyle="1">
    <w:name w:val="ZU"/>
    <w:pPr>
      <w:framePr w:lines="0" w:w="10206" w:wrap="notBeside" w:hAnchor="margin" w:vAnchor="page" w:y="6238"/>
      <w:widowControl w:val="0"/>
      <w:pBdr>
        <w:top w:color="auto" w:space="1" w:sz="12" w:val="single"/>
      </w:pBdr>
      <w:jc w:val="right"/>
    </w:pPr>
    <w:rPr>
      <w:rFonts w:ascii="Arial" w:hAnsi="Arial"/>
      <w:noProof w:val="1"/>
    </w:rPr>
  </w:style>
  <w:style w:type="paragraph" w:styleId="ZV" w:customStyle="1">
    <w:name w:val="ZV"/>
    <w:basedOn w:val="ZU"/>
    <w:pPr>
      <w:framePr w:lines="0"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lines="0" w:wrap="notBeside" w:hAnchor="margin" w:vAnchor="page" w:xAlign="right" w:y="6805"/>
      <w:widowControl w:val="0"/>
      <w:jc w:val="right"/>
    </w:pPr>
    <w:rPr>
      <w:rFonts w:ascii="Arial" w:hAnsi="Arial"/>
      <w:noProof w:val="1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qFormat w:val="1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  <w:link w:val="B1Char"/>
    <w:qFormat w:val="1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 w:val="1"/>
    </w:rPr>
  </w:style>
  <w:style w:type="paragraph" w:styleId="ZTD" w:customStyle="1">
    <w:name w:val="ZTD"/>
    <w:basedOn w:val="ZB"/>
    <w:pPr>
      <w:framePr w:lines="0"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</w:rPr>
  </w:style>
  <w:style w:type="paragraph" w:styleId="tdoc-header" w:customStyle="1">
    <w:name w:val="tdoc-header"/>
    <w:rPr>
      <w:rFonts w:ascii="Arial" w:hAnsi="Arial"/>
      <w:noProof w:val="1"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 w:val="1"/>
    <w:rPr>
      <w:sz w:val="16"/>
    </w:rPr>
  </w:style>
  <w:style w:type="paragraph" w:styleId="CommentText">
    <w:name w:val="annotation text"/>
    <w:basedOn w:val="Normal"/>
    <w:link w:val="CommentTextChar"/>
    <w:semiHidden w:val="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 w:val="1"/>
    <w:rPr>
      <w:rFonts w:ascii="Tahoma" w:cs="Tahoma" w:hAnsi="Tahoma"/>
      <w:sz w:val="16"/>
      <w:szCs w:val="16"/>
    </w:rPr>
  </w:style>
  <w:style w:type="paragraph" w:styleId="code" w:customStyle="1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 w:val="1"/>
    </w:rPr>
  </w:style>
  <w:style w:type="character" w:styleId="msoins0" w:customStyle="1">
    <w:name w:val="msoins"/>
    <w:basedOn w:val="DefaultParagraphFont"/>
  </w:style>
  <w:style w:type="paragraph" w:styleId="Reference" w:customStyle="1">
    <w:name w:val="Reference"/>
    <w:basedOn w:val="Normal"/>
    <w:pPr>
      <w:tabs>
        <w:tab w:val="left" w:pos="851"/>
      </w:tabs>
      <w:ind w:left="851" w:hanging="851"/>
    </w:pPr>
  </w:style>
  <w:style w:type="character" w:styleId="B1Char" w:customStyle="1">
    <w:name w:val="B1 Char"/>
    <w:link w:val="B1"/>
    <w:locked w:val="1"/>
    <w:rsid w:val="00335A35"/>
    <w:rPr>
      <w:rFonts w:ascii="Times New Roman" w:hAnsi="Times New Roman"/>
      <w:lang w:eastAsia="en-US" w:val="en-GB"/>
    </w:rPr>
  </w:style>
  <w:style w:type="character" w:styleId="TFChar" w:customStyle="1">
    <w:name w:val="TF Char"/>
    <w:link w:val="TF"/>
    <w:rsid w:val="00B8090B"/>
    <w:rPr>
      <w:rFonts w:ascii="Arial" w:hAnsi="Arial"/>
      <w:b w:val="1"/>
      <w:lang w:eastAsia="en-US" w:val="en-GB"/>
    </w:rPr>
  </w:style>
  <w:style w:type="character" w:styleId="EditorsNoteChar" w:customStyle="1">
    <w:name w:val="Editor's Note Char"/>
    <w:link w:val="EditorsNote"/>
    <w:locked w:val="1"/>
    <w:rsid w:val="003453D1"/>
    <w:rPr>
      <w:rFonts w:ascii="Times New Roman" w:hAnsi="Times New Roman"/>
      <w:color w:val="ff0000"/>
      <w:lang w:eastAsia="en-US" w:val="en-GB"/>
    </w:rPr>
  </w:style>
  <w:style w:type="character" w:styleId="Heading3Char" w:customStyle="1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eastAsia="en-US" w:val="en-GB"/>
    </w:rPr>
  </w:style>
  <w:style w:type="character" w:styleId="EditorsNoteCharChar" w:customStyle="1">
    <w:name w:val="Editor's Note Char Char"/>
    <w:rsid w:val="00D079FE"/>
    <w:rPr>
      <w:color w:val="ff0000"/>
      <w:lang w:eastAsia="en-US"/>
    </w:rPr>
  </w:style>
  <w:style w:type="character" w:styleId="Heading1Char" w:customStyle="1">
    <w:name w:val="Heading 1 Char"/>
    <w:basedOn w:val="DefaultParagraphFont"/>
    <w:link w:val="Heading1"/>
    <w:rsid w:val="000901E8"/>
    <w:rPr>
      <w:rFonts w:ascii="Arial" w:hAnsi="Arial"/>
      <w:sz w:val="36"/>
      <w:lang w:eastAsia="en-US" w:val="en-GB"/>
    </w:rPr>
  </w:style>
  <w:style w:type="paragraph" w:styleId="Revision">
    <w:name w:val="Revision"/>
    <w:hidden w:val="1"/>
    <w:uiPriority w:val="99"/>
    <w:semiHidden w:val="1"/>
    <w:rsid w:val="00F03F8F"/>
  </w:style>
  <w:style w:type="character" w:styleId="NOChar" w:customStyle="1">
    <w:name w:val="NO Char"/>
    <w:link w:val="NO"/>
    <w:qFormat w:val="1"/>
    <w:rsid w:val="00CE57A6"/>
    <w:rPr>
      <w:rFonts w:ascii="Times New Roman" w:hAnsi="Times New Roman"/>
      <w:lang w:eastAsia="en-US" w:val="en-GB"/>
    </w:rPr>
  </w:style>
  <w:style w:type="paragraph" w:styleId="CommentSubject">
    <w:name w:val="annotation subject"/>
    <w:basedOn w:val="CommentText"/>
    <w:next w:val="CommentText"/>
    <w:link w:val="CommentSubjectChar"/>
    <w:semiHidden w:val="1"/>
    <w:unhideWhenUsed w:val="1"/>
    <w:rsid w:val="00DC3A2C"/>
    <w:rPr>
      <w:b w:val="1"/>
      <w:bCs w:val="1"/>
    </w:rPr>
  </w:style>
  <w:style w:type="character" w:styleId="CommentTextChar" w:customStyle="1">
    <w:name w:val="Comment Text Char"/>
    <w:basedOn w:val="DefaultParagraphFont"/>
    <w:link w:val="CommentText"/>
    <w:semiHidden w:val="1"/>
    <w:rsid w:val="00DC3A2C"/>
    <w:rPr>
      <w:rFonts w:ascii="Times New Roman" w:hAnsi="Times New Roman"/>
      <w:lang w:eastAsia="en-US" w:val="en-GB"/>
    </w:rPr>
  </w:style>
  <w:style w:type="character" w:styleId="CommentSubjectChar" w:customStyle="1">
    <w:name w:val="Comment Subject Char"/>
    <w:basedOn w:val="CommentTextChar"/>
    <w:link w:val="CommentSubject"/>
    <w:semiHidden w:val="1"/>
    <w:rsid w:val="00DC3A2C"/>
    <w:rPr>
      <w:rFonts w:ascii="Times New Roman" w:hAnsi="Times New Roman"/>
      <w:b w:val="1"/>
      <w:bCs w:val="1"/>
      <w:lang w:eastAsia="en-US" w:val="en-GB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 w:val="1"/>
    <w:rsid w:val="00B9787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2nxkki87BgNK+mNLKz7mHVkzNg==">CgMxLjAyCWguMjZpbjFyZzIIaC5namRneHMyDmguMnlpeGg4ZzZlN2Y5MgloLjN6bnlzaDcyCWguMzBqMHpsbDIOaC52ZHplenIzamI4aTcyDWguMTV3YjNyeDFtcmUyDmguNTQ1ZWFzYTIxYXdkMg5oLjNxaDhocmprd3FhZjIIaC50eWpjd3QyCGgubG54Yno5OAByITFqX3pSQ1dreEg3WTg0X2VTam9DOVk0aEhFaXFZR1h1Tw==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2024-09-17T17:49:00Z</dcterms:created>
  <dc:creator>Zander Lei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</Properties>
</file>