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3C49C6F5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A307E6">
        <w:rPr>
          <w:rFonts w:cs="Arial"/>
          <w:b/>
          <w:bCs/>
          <w:noProof/>
          <w:sz w:val="24"/>
          <w:szCs w:val="24"/>
        </w:rPr>
        <w:t>1</w:t>
      </w:r>
      <w:r w:rsidR="00710B87">
        <w:rPr>
          <w:rFonts w:cs="Arial"/>
          <w:b/>
          <w:noProof/>
          <w:sz w:val="24"/>
        </w:rPr>
        <w:tab/>
      </w:r>
      <w:r w:rsidR="0004269E" w:rsidRPr="0004269E">
        <w:rPr>
          <w:rFonts w:cs="Arial"/>
          <w:b/>
          <w:noProof/>
          <w:sz w:val="24"/>
        </w:rPr>
        <w:t>S2-2402693</w:t>
      </w:r>
    </w:p>
    <w:p w14:paraId="172141BB" w14:textId="7D524BD2" w:rsidR="00710B87" w:rsidRDefault="000D7BBC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A307E6">
        <w:rPr>
          <w:rFonts w:cs="Arial"/>
          <w:b/>
          <w:bCs/>
          <w:sz w:val="24"/>
          <w:szCs w:val="24"/>
        </w:rPr>
        <w:t>6 February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 w:rsidR="00A307E6">
        <w:rPr>
          <w:rFonts w:cs="Arial"/>
          <w:b/>
          <w:bCs/>
          <w:sz w:val="24"/>
          <w:szCs w:val="24"/>
        </w:rPr>
        <w:t>1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A307E6">
        <w:rPr>
          <w:rFonts w:cs="Arial"/>
          <w:b/>
          <w:bCs/>
          <w:sz w:val="24"/>
          <w:szCs w:val="24"/>
        </w:rPr>
        <w:t>March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 w:rsidR="00A307E6">
        <w:rPr>
          <w:rFonts w:cs="Arial"/>
          <w:b/>
          <w:bCs/>
          <w:sz w:val="24"/>
          <w:szCs w:val="24"/>
        </w:rPr>
        <w:t>Athens, Greece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4BD92AFE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5A04F9">
        <w:rPr>
          <w:rFonts w:ascii="Arial" w:hAnsi="Arial" w:cs="Arial"/>
          <w:b/>
        </w:rPr>
        <w:t>New s</w:t>
      </w:r>
      <w:r w:rsidR="00A307E6">
        <w:rPr>
          <w:rFonts w:ascii="Arial" w:hAnsi="Arial" w:cs="Arial"/>
          <w:b/>
        </w:rPr>
        <w:t xml:space="preserve">olution for </w:t>
      </w:r>
      <w:proofErr w:type="spellStart"/>
      <w:r w:rsidR="00A307E6">
        <w:rPr>
          <w:rFonts w:ascii="Arial" w:hAnsi="Arial" w:cs="Arial"/>
          <w:b/>
        </w:rPr>
        <w:t>KI#</w:t>
      </w:r>
      <w:r w:rsidR="001026CD">
        <w:rPr>
          <w:rFonts w:ascii="Arial" w:hAnsi="Arial" w:cs="Arial"/>
          <w:b/>
        </w:rPr>
        <w:t>3</w:t>
      </w:r>
      <w:proofErr w:type="spellEnd"/>
      <w:r w:rsidR="00A307E6">
        <w:rPr>
          <w:rFonts w:ascii="Arial" w:hAnsi="Arial" w:cs="Arial"/>
          <w:b/>
        </w:rPr>
        <w:t xml:space="preserve">: </w:t>
      </w:r>
      <w:r w:rsidR="00951899">
        <w:rPr>
          <w:rFonts w:ascii="Arial" w:hAnsi="Arial" w:cs="Arial"/>
          <w:b/>
        </w:rPr>
        <w:t xml:space="preserve">dynamic configuration </w:t>
      </w:r>
      <w:r w:rsidR="001026CD">
        <w:rPr>
          <w:rFonts w:ascii="Arial" w:hAnsi="Arial" w:cs="Arial"/>
          <w:b/>
        </w:rPr>
        <w:t xml:space="preserve">of </w:t>
      </w:r>
      <w:proofErr w:type="spellStart"/>
      <w:r w:rsidR="001026CD">
        <w:rPr>
          <w:rFonts w:ascii="Arial" w:hAnsi="Arial" w:cs="Arial"/>
          <w:b/>
        </w:rPr>
        <w:t>NTZ</w:t>
      </w:r>
      <w:proofErr w:type="spellEnd"/>
      <w:r w:rsidR="001026CD">
        <w:rPr>
          <w:rFonts w:ascii="Arial" w:hAnsi="Arial" w:cs="Arial"/>
          <w:b/>
        </w:rPr>
        <w:t xml:space="preserve"> policies</w:t>
      </w:r>
      <w:r w:rsidR="00951899">
        <w:rPr>
          <w:rFonts w:ascii="Arial" w:hAnsi="Arial" w:cs="Arial"/>
          <w:b/>
        </w:rPr>
        <w:t xml:space="preserve"> for non-transmit zones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5AC721F9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951899">
        <w:rPr>
          <w:rFonts w:ascii="Arial" w:hAnsi="Arial" w:cs="Arial"/>
          <w:b/>
        </w:rPr>
        <w:t>10</w:t>
      </w:r>
    </w:p>
    <w:p w14:paraId="54A868D8" w14:textId="62D0CD71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C829A3" w:rsidRPr="00374B9F">
        <w:rPr>
          <w:rFonts w:ascii="Arial" w:hAnsi="Arial" w:cs="Arial"/>
          <w:b/>
        </w:rPr>
        <w:t>FS_</w:t>
      </w:r>
      <w:r w:rsidR="00951899">
        <w:rPr>
          <w:rFonts w:ascii="Arial" w:hAnsi="Arial" w:cs="Arial"/>
          <w:b/>
        </w:rPr>
        <w:t>UAS</w:t>
      </w:r>
      <w:r w:rsidR="004756A4">
        <w:rPr>
          <w:rFonts w:ascii="Arial" w:hAnsi="Arial" w:cs="Arial"/>
          <w:b/>
        </w:rPr>
        <w:t>_Ph3</w:t>
      </w:r>
      <w:proofErr w:type="spellEnd"/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2C4D7048" w14:textId="27C1B7A8" w:rsidR="00951899" w:rsidRDefault="00DA51A5" w:rsidP="00A468A4">
      <w:pPr>
        <w:rPr>
          <w:lang w:eastAsia="ko-KR"/>
        </w:rPr>
      </w:pPr>
      <w:r>
        <w:rPr>
          <w:lang w:eastAsia="ko-KR"/>
        </w:rPr>
        <w:t xml:space="preserve">This solution addresses the objectives of Key Issue </w:t>
      </w:r>
      <w:r w:rsidR="005305D9">
        <w:rPr>
          <w:lang w:eastAsia="ko-KR"/>
        </w:rPr>
        <w:t>3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and in particular</w:t>
      </w:r>
      <w:r w:rsidR="00177642">
        <w:rPr>
          <w:lang w:eastAsia="ko-KR"/>
        </w:rPr>
        <w:t>,</w:t>
      </w:r>
      <w:r>
        <w:rPr>
          <w:lang w:eastAsia="ko-KR"/>
        </w:rPr>
        <w:t xml:space="preserve"> </w:t>
      </w:r>
      <w:r w:rsidR="00951899">
        <w:rPr>
          <w:lang w:eastAsia="ko-KR"/>
        </w:rPr>
        <w:t>describing</w:t>
      </w:r>
      <w:proofErr w:type="gramEnd"/>
      <w:r>
        <w:rPr>
          <w:lang w:eastAsia="ko-KR"/>
        </w:rPr>
        <w:t xml:space="preserve"> </w:t>
      </w:r>
      <w:r w:rsidR="00951899">
        <w:rPr>
          <w:lang w:eastAsia="ko-KR"/>
        </w:rPr>
        <w:t xml:space="preserve">the behaviour of the UE and </w:t>
      </w:r>
      <w:proofErr w:type="spellStart"/>
      <w:r w:rsidR="00951899">
        <w:rPr>
          <w:lang w:eastAsia="ko-KR"/>
        </w:rPr>
        <w:t>5GC</w:t>
      </w:r>
      <w:proofErr w:type="spellEnd"/>
      <w:r w:rsidR="00951899">
        <w:rPr>
          <w:lang w:eastAsia="ko-KR"/>
        </w:rPr>
        <w:t xml:space="preserve"> when the UE is in a non-</w:t>
      </w:r>
      <w:proofErr w:type="spellStart"/>
      <w:r w:rsidR="00951899">
        <w:rPr>
          <w:lang w:eastAsia="ko-KR"/>
        </w:rPr>
        <w:t>tranmit</w:t>
      </w:r>
      <w:proofErr w:type="spellEnd"/>
      <w:r w:rsidR="00951899">
        <w:rPr>
          <w:lang w:eastAsia="ko-KR"/>
        </w:rPr>
        <w:t xml:space="preserve"> zone.</w:t>
      </w:r>
    </w:p>
    <w:p w14:paraId="579030DB" w14:textId="0D749DDF" w:rsidR="00951899" w:rsidRDefault="00951899" w:rsidP="00A468A4">
      <w:pPr>
        <w:rPr>
          <w:lang w:eastAsia="ko-KR"/>
        </w:rPr>
      </w:pPr>
      <w:r>
        <w:rPr>
          <w:lang w:eastAsia="ko-KR"/>
        </w:rPr>
        <w:t xml:space="preserve">The main proposal is that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provides updated </w:t>
      </w:r>
      <w:proofErr w:type="spellStart"/>
      <w:r w:rsidR="00EC4655">
        <w:rPr>
          <w:lang w:eastAsia="ko-KR"/>
        </w:rPr>
        <w:t>NTZ</w:t>
      </w:r>
      <w:proofErr w:type="spellEnd"/>
      <w:r>
        <w:rPr>
          <w:lang w:eastAsia="ko-KR"/>
        </w:rPr>
        <w:t xml:space="preserve"> policies when it is </w:t>
      </w:r>
      <w:r w:rsidR="00177642">
        <w:rPr>
          <w:lang w:eastAsia="ko-KR"/>
        </w:rPr>
        <w:t>determined</w:t>
      </w:r>
      <w:r>
        <w:rPr>
          <w:lang w:eastAsia="ko-KR"/>
        </w:rPr>
        <w:t xml:space="preserve"> that the </w:t>
      </w:r>
      <w:r w:rsidR="00177642">
        <w:rPr>
          <w:lang w:eastAsia="ko-KR"/>
        </w:rPr>
        <w:t>UE</w:t>
      </w:r>
      <w:r>
        <w:rPr>
          <w:lang w:eastAsia="ko-KR"/>
        </w:rPr>
        <w:t xml:space="preserve"> enters (or is about to enter an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</w:t>
      </w:r>
      <w:r w:rsidR="00177642">
        <w:rPr>
          <w:lang w:eastAsia="ko-KR"/>
        </w:rPr>
        <w:t>areas</w:t>
      </w:r>
      <w:r>
        <w:rPr>
          <w:lang w:eastAsia="ko-KR"/>
        </w:rPr>
        <w:t>).</w:t>
      </w:r>
    </w:p>
    <w:p w14:paraId="37AB946F" w14:textId="72294D59" w:rsidR="00951899" w:rsidRPr="00177642" w:rsidRDefault="00177642" w:rsidP="00A468A4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Configuration of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>area</w:t>
      </w:r>
    </w:p>
    <w:p w14:paraId="48898965" w14:textId="738BCA96" w:rsidR="00951899" w:rsidRDefault="00177642" w:rsidP="00A468A4">
      <w:pPr>
        <w:rPr>
          <w:lang w:eastAsia="ko-KR"/>
        </w:rPr>
      </w:pPr>
      <w:r>
        <w:rPr>
          <w:lang w:eastAsia="ko-KR"/>
        </w:rPr>
        <w:t xml:space="preserve">It is first needed to describe how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network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areas. It is proposed that either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is known at the network operator (out of scope of 3GPP) or may </w:t>
      </w:r>
      <w:proofErr w:type="spellStart"/>
      <w:r>
        <w:rPr>
          <w:lang w:eastAsia="ko-KR"/>
        </w:rPr>
        <w:t>provided</w:t>
      </w:r>
      <w:proofErr w:type="spellEnd"/>
      <w:r>
        <w:rPr>
          <w:lang w:eastAsia="ko-KR"/>
        </w:rPr>
        <w:t xml:space="preserve"> by the USS operator (using the existing </w:t>
      </w:r>
      <w:proofErr w:type="spellStart"/>
      <w:r>
        <w:rPr>
          <w:lang w:eastAsia="ko-KR"/>
        </w:rPr>
        <w:t>Nnef_AMPolicy_Influence</w:t>
      </w:r>
      <w:proofErr w:type="spellEnd"/>
      <w:r>
        <w:rPr>
          <w:lang w:eastAsia="ko-KR"/>
        </w:rPr>
        <w:t xml:space="preserve"> procedure).</w:t>
      </w:r>
    </w:p>
    <w:p w14:paraId="75FF66B4" w14:textId="23876809" w:rsidR="00A7655E" w:rsidRDefault="00A7655E" w:rsidP="00A468A4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contains information on restricted and/or allowed frequency bands and a geographical area of 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area.</w:t>
      </w:r>
    </w:p>
    <w:p w14:paraId="73080CA0" w14:textId="78C81E2B" w:rsidR="00177642" w:rsidRPr="00177642" w:rsidRDefault="00177642" w:rsidP="00A468A4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Applying dynamic </w:t>
      </w:r>
      <w:proofErr w:type="spellStart"/>
      <w:r w:rsidR="0057682E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 xml:space="preserve">policies </w:t>
      </w:r>
      <w:r w:rsidRPr="00177642">
        <w:rPr>
          <w:b/>
          <w:bCs/>
          <w:u w:val="single"/>
          <w:lang w:eastAsia="ko-KR"/>
        </w:rPr>
        <w:t>in</w:t>
      </w:r>
      <w:r>
        <w:rPr>
          <w:b/>
          <w:bCs/>
          <w:u w:val="single"/>
          <w:lang w:eastAsia="ko-KR"/>
        </w:rPr>
        <w:t xml:space="preserve"> an</w:t>
      </w:r>
      <w:r w:rsidRPr="00177642">
        <w:rPr>
          <w:b/>
          <w:bCs/>
          <w:u w:val="single"/>
          <w:lang w:eastAsia="ko-KR"/>
        </w:rPr>
        <w:t xml:space="preserve">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area</w:t>
      </w:r>
    </w:p>
    <w:p w14:paraId="47ACB2CE" w14:textId="342551BB" w:rsidR="009F548A" w:rsidRPr="009F548A" w:rsidRDefault="00177642" w:rsidP="001C4C35">
      <w:pPr>
        <w:rPr>
          <w:color w:val="000000"/>
          <w:lang w:eastAsia="ja-JP"/>
        </w:rPr>
      </w:pPr>
      <w:r>
        <w:rPr>
          <w:lang w:eastAsia="ko-KR"/>
        </w:rPr>
        <w:t xml:space="preserve">Once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PCF) may decide to </w:t>
      </w:r>
      <w:r w:rsidR="00A7655E">
        <w:rPr>
          <w:lang w:eastAsia="ko-KR"/>
        </w:rPr>
        <w:t>provision</w:t>
      </w:r>
      <w:r>
        <w:rPr>
          <w:lang w:eastAsia="ko-KR"/>
        </w:rPr>
        <w:t xml:space="preserve"> </w:t>
      </w:r>
      <w:proofErr w:type="spellStart"/>
      <w:r w:rsidR="001026CD">
        <w:rPr>
          <w:lang w:eastAsia="ko-KR"/>
        </w:rPr>
        <w:t>NTZ</w:t>
      </w:r>
      <w:proofErr w:type="spellEnd"/>
      <w:r w:rsidR="001026CD">
        <w:rPr>
          <w:lang w:eastAsia="ko-KR"/>
        </w:rPr>
        <w:t xml:space="preserve"> </w:t>
      </w:r>
      <w:r>
        <w:rPr>
          <w:lang w:eastAsia="ko-KR"/>
        </w:rPr>
        <w:t xml:space="preserve">policies when the UE enters </w:t>
      </w:r>
      <w:r w:rsidR="001C4C35">
        <w:rPr>
          <w:lang w:eastAsia="ko-KR"/>
        </w:rPr>
        <w:t xml:space="preserve">(or about to enter an </w:t>
      </w:r>
      <w:proofErr w:type="spellStart"/>
      <w:r w:rsidR="001C4C35">
        <w:rPr>
          <w:lang w:eastAsia="ko-KR"/>
        </w:rPr>
        <w:t>NTZ</w:t>
      </w:r>
      <w:proofErr w:type="spellEnd"/>
      <w:r w:rsidR="001C4C35">
        <w:rPr>
          <w:lang w:eastAsia="ko-KR"/>
        </w:rPr>
        <w:t xml:space="preserve"> area). </w:t>
      </w:r>
      <w:r w:rsidR="00A7655E">
        <w:rPr>
          <w:lang w:eastAsia="ko-KR"/>
        </w:rPr>
        <w:t xml:space="preserve">The PCF provides </w:t>
      </w:r>
      <w:proofErr w:type="spellStart"/>
      <w:r w:rsidR="00A7655E">
        <w:rPr>
          <w:lang w:eastAsia="ko-KR"/>
        </w:rPr>
        <w:t>NTZ</w:t>
      </w:r>
      <w:proofErr w:type="spellEnd"/>
      <w:r w:rsidR="00A7655E">
        <w:rPr>
          <w:lang w:eastAsia="ko-KR"/>
        </w:rPr>
        <w:t xml:space="preserve"> policies as part of the Access and Mobility management policy information.</w:t>
      </w:r>
    </w:p>
    <w:p w14:paraId="433F2209" w14:textId="77777777" w:rsidR="005305D9" w:rsidRDefault="005305D9" w:rsidP="00A468A4">
      <w:pPr>
        <w:rPr>
          <w:lang w:eastAsia="ko-KR"/>
        </w:rPr>
      </w:pPr>
    </w:p>
    <w:p w14:paraId="573645D0" w14:textId="590F8925" w:rsidR="009A674D" w:rsidRPr="00374B9F" w:rsidRDefault="00003AE5" w:rsidP="00A7655E">
      <w:pPr>
        <w:rPr>
          <w:lang w:eastAsia="ko-KR"/>
        </w:rPr>
      </w:pPr>
      <w:r>
        <w:rPr>
          <w:lang w:eastAsia="ko-KR"/>
        </w:rPr>
        <w:t>Further details for the solution are provided below:</w:t>
      </w: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02820DA2" w14:textId="77777777" w:rsidR="00B85048" w:rsidRDefault="00B85048" w:rsidP="00B85048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2987386"/>
      <w:bookmarkStart w:id="6" w:name="_Toc157527822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</w:p>
    <w:p w14:paraId="50D1F9A9" w14:textId="27998432" w:rsidR="005305D9" w:rsidRPr="007177BE" w:rsidRDefault="005305D9" w:rsidP="005305D9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commentRangeStart w:id="7"/>
      <w:r w:rsidRPr="007177BE">
        <w:rPr>
          <w:rFonts w:ascii="Arial" w:eastAsiaTheme="minorEastAsia" w:hAnsi="Arial"/>
          <w:b/>
        </w:rPr>
        <w:t xml:space="preserve">Table 6.0-1: Mapping of Solutions to Key </w:t>
      </w:r>
      <w:proofErr w:type="spellStart"/>
      <w:r w:rsidRPr="007177BE">
        <w:rPr>
          <w:rFonts w:ascii="Arial" w:eastAsiaTheme="minorEastAsia" w:hAnsi="Arial"/>
          <w:b/>
        </w:rPr>
        <w:t>Issues</w:t>
      </w:r>
      <w:commentRangeEnd w:id="7"/>
      <w:r>
        <w:rPr>
          <w:rStyle w:val="CommentReference"/>
        </w:rPr>
        <w:commentReference w:id="7"/>
      </w:r>
      <w:r>
        <w:rPr>
          <w:rFonts w:ascii="Arial" w:eastAsiaTheme="minorEastAsia" w:hAnsi="Arial"/>
          <w:b/>
        </w:rPr>
        <w:t>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5305D9" w:rsidRPr="007177BE" w14:paraId="2AED0B9F" w14:textId="77777777" w:rsidTr="00F71B56">
        <w:trPr>
          <w:cantSplit/>
          <w:jc w:val="center"/>
        </w:trPr>
        <w:tc>
          <w:tcPr>
            <w:tcW w:w="1129" w:type="dxa"/>
          </w:tcPr>
          <w:p w14:paraId="22639E1D" w14:textId="4FBD2DF9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Theme="minorEastAsia" w:hAnsi="Arial"/>
                <w:b/>
                <w:sz w:val="16"/>
                <w:szCs w:val="16"/>
              </w:rPr>
              <w:t>t</w:t>
            </w:r>
            <w:r w:rsidRPr="007177BE">
              <w:rPr>
                <w:rFonts w:ascii="Arial" w:eastAsiaTheme="minorEastAsia" w:hAnsi="Arial"/>
                <w:b/>
                <w:sz w:val="16"/>
                <w:szCs w:val="16"/>
              </w:rPr>
              <w:t>Solutions</w:t>
            </w:r>
            <w:proofErr w:type="spellEnd"/>
          </w:p>
        </w:tc>
        <w:tc>
          <w:tcPr>
            <w:tcW w:w="1459" w:type="dxa"/>
            <w:tcBorders>
              <w:right w:val="nil"/>
            </w:tcBorders>
          </w:tcPr>
          <w:p w14:paraId="62B59094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6A7879FF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</w:rPr>
            </w:pPr>
          </w:p>
        </w:tc>
      </w:tr>
      <w:tr w:rsidR="005305D9" w:rsidRPr="007177BE" w14:paraId="04CED990" w14:textId="77777777" w:rsidTr="00F71B56">
        <w:trPr>
          <w:cantSplit/>
          <w:jc w:val="center"/>
        </w:trPr>
        <w:tc>
          <w:tcPr>
            <w:tcW w:w="1129" w:type="dxa"/>
          </w:tcPr>
          <w:p w14:paraId="62E3A063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</w:rPr>
            </w:pPr>
          </w:p>
        </w:tc>
        <w:tc>
          <w:tcPr>
            <w:tcW w:w="1459" w:type="dxa"/>
          </w:tcPr>
          <w:p w14:paraId="518CD6B2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</w:rPr>
            </w:pPr>
            <w:r w:rsidRPr="007177BE">
              <w:rPr>
                <w:rFonts w:ascii="Arial" w:eastAsiaTheme="minorEastAsia" w:hAnsi="Arial"/>
                <w:b/>
                <w:sz w:val="16"/>
                <w:szCs w:val="16"/>
              </w:rPr>
              <w:t>&lt;Key Issue #</w:t>
            </w:r>
            <w:r>
              <w:rPr>
                <w:rFonts w:ascii="Arial" w:eastAsiaTheme="minorEastAsia" w:hAnsi="Arial"/>
                <w:b/>
                <w:sz w:val="16"/>
                <w:szCs w:val="16"/>
              </w:rPr>
              <w:t>x</w:t>
            </w:r>
            <w:r w:rsidRPr="007177BE">
              <w:rPr>
                <w:rFonts w:ascii="Arial" w:eastAsiaTheme="minorEastAsia" w:hAnsi="Arial"/>
                <w:b/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2315579D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</w:rPr>
            </w:pPr>
            <w:r w:rsidRPr="007177BE">
              <w:rPr>
                <w:rFonts w:ascii="Arial" w:eastAsiaTheme="minorEastAsia" w:hAnsi="Arial"/>
                <w:b/>
                <w:sz w:val="16"/>
                <w:szCs w:val="16"/>
              </w:rPr>
              <w:t>&lt;Key Issue #</w:t>
            </w:r>
            <w:r>
              <w:rPr>
                <w:rFonts w:ascii="Arial" w:eastAsiaTheme="minorEastAsia" w:hAnsi="Arial"/>
                <w:b/>
                <w:sz w:val="16"/>
                <w:szCs w:val="16"/>
              </w:rPr>
              <w:t>y</w:t>
            </w:r>
            <w:r w:rsidRPr="007177BE">
              <w:rPr>
                <w:rFonts w:ascii="Arial" w:eastAsiaTheme="minorEastAsia" w:hAnsi="Arial"/>
                <w:b/>
                <w:sz w:val="16"/>
                <w:szCs w:val="16"/>
              </w:rPr>
              <w:t>&gt;</w:t>
            </w:r>
          </w:p>
        </w:tc>
      </w:tr>
      <w:tr w:rsidR="005305D9" w:rsidRPr="007177BE" w14:paraId="64E5C1B9" w14:textId="77777777" w:rsidTr="00F71B56">
        <w:trPr>
          <w:cantSplit/>
          <w:jc w:val="center"/>
        </w:trPr>
        <w:tc>
          <w:tcPr>
            <w:tcW w:w="1129" w:type="dxa"/>
          </w:tcPr>
          <w:p w14:paraId="0E7D0D48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7177BE">
              <w:rPr>
                <w:rFonts w:ascii="Arial" w:eastAsiaTheme="minorEastAsia" w:hAnsi="Arial"/>
                <w:b/>
                <w:sz w:val="18"/>
              </w:rPr>
              <w:t>#</w:t>
            </w:r>
            <w:r>
              <w:rPr>
                <w:rFonts w:ascii="Arial" w:eastAsiaTheme="minorEastAsia" w:hAnsi="Arial"/>
                <w:b/>
                <w:sz w:val="18"/>
              </w:rPr>
              <w:t>x</w:t>
            </w:r>
          </w:p>
        </w:tc>
        <w:tc>
          <w:tcPr>
            <w:tcW w:w="1459" w:type="dxa"/>
          </w:tcPr>
          <w:p w14:paraId="6E733DD3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18" w:type="dxa"/>
          </w:tcPr>
          <w:p w14:paraId="5617AA1B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  <w:tr w:rsidR="005305D9" w:rsidRPr="007177BE" w14:paraId="40AABBA2" w14:textId="77777777" w:rsidTr="00F71B56">
        <w:trPr>
          <w:cantSplit/>
          <w:jc w:val="center"/>
        </w:trPr>
        <w:tc>
          <w:tcPr>
            <w:tcW w:w="1129" w:type="dxa"/>
          </w:tcPr>
          <w:p w14:paraId="5D45AFF8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7177BE">
              <w:rPr>
                <w:rFonts w:ascii="Arial" w:eastAsiaTheme="minorEastAsia" w:hAnsi="Arial"/>
                <w:b/>
                <w:sz w:val="18"/>
              </w:rPr>
              <w:t>#</w:t>
            </w:r>
            <w:r>
              <w:rPr>
                <w:rFonts w:ascii="Arial" w:eastAsiaTheme="minorEastAsia" w:hAnsi="Arial"/>
                <w:b/>
                <w:sz w:val="18"/>
              </w:rPr>
              <w:t>y</w:t>
            </w:r>
          </w:p>
        </w:tc>
        <w:tc>
          <w:tcPr>
            <w:tcW w:w="1459" w:type="dxa"/>
          </w:tcPr>
          <w:p w14:paraId="557CAE29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18" w:type="dxa"/>
          </w:tcPr>
          <w:p w14:paraId="2B323868" w14:textId="77777777" w:rsidR="005305D9" w:rsidRPr="007177BE" w:rsidRDefault="005305D9" w:rsidP="00F71B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</w:tr>
    </w:tbl>
    <w:p w14:paraId="0E715177" w14:textId="77777777" w:rsidR="00003AE5" w:rsidRDefault="00003AE5" w:rsidP="00003AE5"/>
    <w:p w14:paraId="55E4152C" w14:textId="45556A6B" w:rsidR="00003AE5" w:rsidRPr="00374B9F" w:rsidRDefault="00003AE5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eastAsia="zh-CN"/>
        </w:rPr>
        <w:t>Second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(all new </w:t>
      </w:r>
      <w:proofErr w:type="gramStart"/>
      <w:r w:rsidRPr="00374B9F">
        <w:rPr>
          <w:rFonts w:ascii="Arial" w:hAnsi="Arial" w:cs="Arial"/>
          <w:color w:val="FF0000"/>
          <w:sz w:val="22"/>
          <w:szCs w:val="22"/>
        </w:rPr>
        <w:t>text)  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0FCEE585" w14:textId="13DB563D" w:rsidR="00B85048" w:rsidRDefault="00B85048" w:rsidP="00B85048">
      <w:pPr>
        <w:pStyle w:val="Heading2"/>
      </w:pPr>
      <w:bookmarkStart w:id="8" w:name="_Toc157527823"/>
      <w:proofErr w:type="spellStart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X</w:t>
      </w:r>
      <w:proofErr w:type="spell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8"/>
      <w:r w:rsidR="005305D9">
        <w:t>D</w:t>
      </w:r>
      <w:r w:rsidR="005305D9" w:rsidRPr="005305D9">
        <w:t xml:space="preserve">ynamic configuration of </w:t>
      </w:r>
      <w:proofErr w:type="spellStart"/>
      <w:r w:rsidR="00EC4655">
        <w:t>NTZ</w:t>
      </w:r>
      <w:proofErr w:type="spellEnd"/>
      <w:r w:rsidR="00EC4655">
        <w:t xml:space="preserve"> policies</w:t>
      </w:r>
      <w:r w:rsidR="005305D9" w:rsidRPr="005305D9">
        <w:t xml:space="preserve"> for non-transmit </w:t>
      </w:r>
      <w:proofErr w:type="gramStart"/>
      <w:r w:rsidR="005305D9" w:rsidRPr="005305D9">
        <w:t>zones</w:t>
      </w:r>
      <w:proofErr w:type="gramEnd"/>
    </w:p>
    <w:p w14:paraId="0F47D02C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9" w:name="_Toc500949098"/>
      <w:bookmarkStart w:id="10" w:name="_Toc92875661"/>
      <w:bookmarkStart w:id="11" w:name="_Toc93070685"/>
      <w:proofErr w:type="spellStart"/>
      <w:r>
        <w:rPr>
          <w:rFonts w:ascii="Arial" w:eastAsia="DengXian" w:hAnsi="Arial"/>
          <w:sz w:val="28"/>
        </w:rPr>
        <w:t>6.X.1</w:t>
      </w:r>
      <w:proofErr w:type="spellEnd"/>
      <w:r>
        <w:rPr>
          <w:rFonts w:ascii="Arial" w:eastAsia="DengXian" w:hAnsi="Arial"/>
          <w:sz w:val="28"/>
        </w:rPr>
        <w:tab/>
        <w:t>Key Issue mapping</w:t>
      </w:r>
      <w:bookmarkEnd w:id="9"/>
      <w:bookmarkEnd w:id="10"/>
      <w:bookmarkEnd w:id="11"/>
    </w:p>
    <w:p w14:paraId="5109EBF2" w14:textId="77777777" w:rsidR="00B85048" w:rsidRDefault="00B85048" w:rsidP="00B85048">
      <w:pPr>
        <w:keepLines/>
        <w:ind w:left="1135" w:hanging="851"/>
        <w:rPr>
          <w:rFonts w:eastAsia="DengXian"/>
          <w:color w:val="FF0000"/>
          <w:lang w:val="en-US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  <w:lang w:val="en-US"/>
        </w:rPr>
        <w:t>This clause lists the key issue(s) addressed by this solution.</w:t>
      </w:r>
    </w:p>
    <w:p w14:paraId="1651DA73" w14:textId="07AF26E5" w:rsidR="00567676" w:rsidRDefault="00567676" w:rsidP="00567676">
      <w:pPr>
        <w:rPr>
          <w:lang w:eastAsia="ko-KR"/>
        </w:rPr>
      </w:pPr>
      <w:r>
        <w:rPr>
          <w:lang w:eastAsia="ko-KR"/>
        </w:rPr>
        <w:t xml:space="preserve">This solution addresses the objectives of Key Issue </w:t>
      </w:r>
      <w:r w:rsidR="005305D9">
        <w:rPr>
          <w:lang w:eastAsia="ko-KR"/>
        </w:rPr>
        <w:t>3.</w:t>
      </w:r>
    </w:p>
    <w:p w14:paraId="04AD7317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2" w:name="_Toc500949099"/>
      <w:bookmarkStart w:id="13" w:name="_Toc92875662"/>
      <w:bookmarkStart w:id="14" w:name="_Toc93070686"/>
      <w:proofErr w:type="spellStart"/>
      <w:r>
        <w:rPr>
          <w:rFonts w:ascii="Arial" w:eastAsia="DengXian" w:hAnsi="Arial"/>
          <w:sz w:val="28"/>
        </w:rPr>
        <w:t>6.X.2</w:t>
      </w:r>
      <w:proofErr w:type="spellEnd"/>
      <w:r>
        <w:rPr>
          <w:rFonts w:ascii="Arial" w:eastAsia="DengXian" w:hAnsi="Arial"/>
          <w:sz w:val="28"/>
        </w:rPr>
        <w:tab/>
        <w:t>Description</w:t>
      </w:r>
      <w:bookmarkEnd w:id="12"/>
      <w:bookmarkEnd w:id="13"/>
      <w:bookmarkEnd w:id="14"/>
    </w:p>
    <w:p w14:paraId="0D24FA79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bookmarkStart w:id="15" w:name="_Toc500949101"/>
      <w:r>
        <w:rPr>
          <w:rFonts w:eastAsia="DengXian"/>
          <w:color w:val="FF0000"/>
        </w:rPr>
        <w:t xml:space="preserve">Editor's Note: </w:t>
      </w:r>
      <w:r>
        <w:rPr>
          <w:rFonts w:eastAsia="DengXian"/>
          <w:color w:val="FF0000"/>
          <w:lang w:val="en-US"/>
        </w:rPr>
        <w:t xml:space="preserve">This clause will describe </w:t>
      </w:r>
      <w:r>
        <w:rPr>
          <w:rFonts w:eastAsia="DengXian"/>
          <w:color w:val="FF0000"/>
        </w:rPr>
        <w:t xml:space="preserve">the solution principles and architecture assumptions for corresponding key issue(s). Sub-clause(s) may be added to capture details. </w:t>
      </w:r>
    </w:p>
    <w:p w14:paraId="2FCAD78D" w14:textId="77777777" w:rsidR="00EC4655" w:rsidRDefault="00EC4655" w:rsidP="00EC4655">
      <w:pPr>
        <w:rPr>
          <w:lang w:eastAsia="ko-KR"/>
        </w:rPr>
      </w:pPr>
      <w:r>
        <w:rPr>
          <w:lang w:eastAsia="ko-KR"/>
        </w:rPr>
        <w:t xml:space="preserve">The main proposal is that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provides updated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policies when it is determined that the UE enters (or is about to enter an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areas).</w:t>
      </w:r>
    </w:p>
    <w:p w14:paraId="73B251E2" w14:textId="2F822E30" w:rsidR="005305D9" w:rsidRDefault="005305D9" w:rsidP="005305D9">
      <w:pPr>
        <w:rPr>
          <w:lang w:eastAsia="ko-KR"/>
        </w:rPr>
      </w:pPr>
    </w:p>
    <w:p w14:paraId="545EE223" w14:textId="77777777" w:rsidR="00A7655E" w:rsidRPr="00177642" w:rsidRDefault="00A7655E" w:rsidP="00A7655E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Configuration of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>area</w:t>
      </w:r>
    </w:p>
    <w:p w14:paraId="571643C9" w14:textId="77777777" w:rsidR="00A7655E" w:rsidRDefault="00A7655E" w:rsidP="00A7655E">
      <w:pPr>
        <w:rPr>
          <w:lang w:eastAsia="ko-KR"/>
        </w:rPr>
      </w:pPr>
      <w:r>
        <w:rPr>
          <w:lang w:eastAsia="ko-KR"/>
        </w:rPr>
        <w:t xml:space="preserve">It is first needed to describe how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network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areas. It is proposed that either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is known at the network operator (out of scope of 3GPP) or may </w:t>
      </w:r>
      <w:proofErr w:type="spellStart"/>
      <w:r>
        <w:rPr>
          <w:lang w:eastAsia="ko-KR"/>
        </w:rPr>
        <w:t>provided</w:t>
      </w:r>
      <w:proofErr w:type="spellEnd"/>
      <w:r>
        <w:rPr>
          <w:lang w:eastAsia="ko-KR"/>
        </w:rPr>
        <w:t xml:space="preserve"> by the USS operator (using the existing </w:t>
      </w:r>
      <w:proofErr w:type="spellStart"/>
      <w:r>
        <w:rPr>
          <w:lang w:eastAsia="ko-KR"/>
        </w:rPr>
        <w:t>Nnef_AMPolicy_Influence</w:t>
      </w:r>
      <w:proofErr w:type="spellEnd"/>
      <w:r>
        <w:rPr>
          <w:lang w:eastAsia="ko-KR"/>
        </w:rPr>
        <w:t xml:space="preserve"> procedure).</w:t>
      </w:r>
    </w:p>
    <w:p w14:paraId="0C336584" w14:textId="77777777" w:rsidR="00A7655E" w:rsidRDefault="00A7655E" w:rsidP="00A7655E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contains information on restricted and/or allowed frequency bands and a geographical area of 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area.</w:t>
      </w:r>
    </w:p>
    <w:p w14:paraId="2ACA3738" w14:textId="06EF538E" w:rsidR="00A7655E" w:rsidRPr="00177642" w:rsidRDefault="00A7655E" w:rsidP="00A7655E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Applying dynamic </w:t>
      </w:r>
      <w:proofErr w:type="spellStart"/>
      <w:r w:rsidR="0057682E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 xml:space="preserve">policies </w:t>
      </w:r>
      <w:r w:rsidRPr="00177642">
        <w:rPr>
          <w:b/>
          <w:bCs/>
          <w:u w:val="single"/>
          <w:lang w:eastAsia="ko-KR"/>
        </w:rPr>
        <w:t>in</w:t>
      </w:r>
      <w:r>
        <w:rPr>
          <w:b/>
          <w:bCs/>
          <w:u w:val="single"/>
          <w:lang w:eastAsia="ko-KR"/>
        </w:rPr>
        <w:t xml:space="preserve"> an</w:t>
      </w:r>
      <w:r w:rsidRPr="00177642">
        <w:rPr>
          <w:b/>
          <w:bCs/>
          <w:u w:val="single"/>
          <w:lang w:eastAsia="ko-KR"/>
        </w:rPr>
        <w:t xml:space="preserve">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area</w:t>
      </w:r>
    </w:p>
    <w:p w14:paraId="2AB53703" w14:textId="77777777" w:rsidR="00A7655E" w:rsidRPr="009F548A" w:rsidRDefault="00A7655E" w:rsidP="00A7655E">
      <w:pPr>
        <w:rPr>
          <w:color w:val="000000"/>
          <w:lang w:eastAsia="ja-JP"/>
        </w:rPr>
      </w:pPr>
      <w:r>
        <w:rPr>
          <w:lang w:eastAsia="ko-KR"/>
        </w:rPr>
        <w:t xml:space="preserve">Once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PCF) may decide to provision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policies when the UE enters (or about to enter an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area). The PCF provides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policies as part of the Access and Mobility management policy information.</w:t>
      </w:r>
    </w:p>
    <w:p w14:paraId="1A7AE869" w14:textId="53399B8A" w:rsidR="00EC4655" w:rsidRDefault="00EC4655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  <w:t xml:space="preserve">Whether </w:t>
      </w:r>
      <w:proofErr w:type="spellStart"/>
      <w:r>
        <w:rPr>
          <w:rFonts w:eastAsia="DengXian"/>
          <w:color w:val="FF0000"/>
        </w:rPr>
        <w:t>NTZ</w:t>
      </w:r>
      <w:proofErr w:type="spellEnd"/>
      <w:r>
        <w:rPr>
          <w:rFonts w:eastAsia="DengXian"/>
          <w:color w:val="FF0000"/>
        </w:rPr>
        <w:t xml:space="preserve"> polic</w:t>
      </w:r>
      <w:r w:rsidR="00A7655E">
        <w:rPr>
          <w:rFonts w:eastAsia="DengXian"/>
          <w:color w:val="FF0000"/>
        </w:rPr>
        <w:t>y</w:t>
      </w:r>
      <w:r>
        <w:rPr>
          <w:rFonts w:eastAsia="DengXian"/>
          <w:color w:val="FF0000"/>
        </w:rPr>
        <w:t xml:space="preserve"> is an </w:t>
      </w:r>
      <w:proofErr w:type="spellStart"/>
      <w:r>
        <w:rPr>
          <w:rFonts w:eastAsia="DengXian"/>
          <w:color w:val="FF0000"/>
        </w:rPr>
        <w:t>RFSP</w:t>
      </w:r>
      <w:proofErr w:type="spellEnd"/>
      <w:r>
        <w:rPr>
          <w:rFonts w:eastAsia="DengXian"/>
          <w:color w:val="FF0000"/>
        </w:rPr>
        <w:t xml:space="preserve"> policy is FFS.</w:t>
      </w:r>
    </w:p>
    <w:p w14:paraId="5EA9A183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6" w:name="_Toc92875663"/>
      <w:bookmarkStart w:id="17" w:name="_Toc93070687"/>
      <w:proofErr w:type="spellStart"/>
      <w:r>
        <w:rPr>
          <w:rFonts w:ascii="Arial" w:eastAsia="DengXian" w:hAnsi="Arial"/>
          <w:sz w:val="28"/>
        </w:rPr>
        <w:t>6.X.3</w:t>
      </w:r>
      <w:proofErr w:type="spellEnd"/>
      <w:r>
        <w:rPr>
          <w:rFonts w:ascii="Arial" w:eastAsia="DengXian" w:hAnsi="Arial"/>
          <w:sz w:val="28"/>
        </w:rPr>
        <w:tab/>
        <w:t>Procedures</w:t>
      </w:r>
      <w:bookmarkEnd w:id="15"/>
      <w:bookmarkEnd w:id="16"/>
      <w:bookmarkEnd w:id="17"/>
    </w:p>
    <w:p w14:paraId="2CA60937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 xml:space="preserve">Editor's Note: </w:t>
      </w:r>
      <w:r>
        <w:rPr>
          <w:rFonts w:eastAsia="DengXian"/>
          <w:color w:val="FF0000"/>
          <w:lang w:val="en-US"/>
        </w:rPr>
        <w:t xml:space="preserve">This clause describes </w:t>
      </w:r>
      <w:r>
        <w:rPr>
          <w:rFonts w:eastAsia="DengXian"/>
          <w:color w:val="FF0000"/>
          <w:lang w:eastAsia="ko-KR"/>
        </w:rPr>
        <w:t xml:space="preserve">high-level </w:t>
      </w:r>
      <w:r>
        <w:rPr>
          <w:rFonts w:eastAsia="DengXian"/>
          <w:color w:val="FF0000"/>
        </w:rPr>
        <w:t>procedures and information flows for the solution.</w:t>
      </w:r>
    </w:p>
    <w:p w14:paraId="6EAF8BC5" w14:textId="77777777" w:rsidR="009F548A" w:rsidRDefault="009F548A" w:rsidP="009F548A">
      <w:pPr>
        <w:spacing w:after="0"/>
      </w:pPr>
      <w:r>
        <w:t>The procedure is described below:</w:t>
      </w:r>
    </w:p>
    <w:p w14:paraId="423C5C96" w14:textId="77777777" w:rsidR="008F32C5" w:rsidRDefault="008F32C5" w:rsidP="008F32C5"/>
    <w:p w14:paraId="20B8D04B" w14:textId="3B9F3328" w:rsidR="008F32C5" w:rsidRDefault="002719E4" w:rsidP="008F32C5">
      <w:r>
        <w:object w:dxaOrig="12271" w:dyaOrig="13351" w14:anchorId="15F71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523.5pt" o:ole="">
            <v:imagedata r:id="rId18" o:title=""/>
          </v:shape>
          <o:OLEObject Type="Embed" ProgID="Visio.Drawing.15" ShapeID="_x0000_i1025" DrawAspect="Content" ObjectID="_1769587536" r:id="rId19"/>
        </w:object>
      </w:r>
    </w:p>
    <w:p w14:paraId="6D1B9300" w14:textId="5246B47C" w:rsidR="008F32C5" w:rsidRDefault="008F32C5" w:rsidP="008F32C5">
      <w:pPr>
        <w:pStyle w:val="TF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</w:t>
      </w:r>
      <w:r w:rsidR="00F03156">
        <w:rPr>
          <w:rFonts w:eastAsiaTheme="minorEastAsia"/>
          <w:lang w:val="en-US" w:eastAsia="zh-CN"/>
        </w:rPr>
        <w:t>6.x.3</w:t>
      </w:r>
      <w:r>
        <w:rPr>
          <w:rFonts w:eastAsiaTheme="minorEastAsia"/>
          <w:lang w:val="en-US" w:eastAsia="zh-CN"/>
        </w:rPr>
        <w:t>-</w:t>
      </w:r>
      <w:proofErr w:type="gramStart"/>
      <w:r>
        <w:rPr>
          <w:rFonts w:eastAsiaTheme="minorEastAsia"/>
          <w:lang w:val="en-US" w:eastAsia="zh-CN"/>
        </w:rPr>
        <w:t>1 :</w:t>
      </w:r>
      <w:proofErr w:type="gramEnd"/>
      <w:r>
        <w:rPr>
          <w:rFonts w:eastAsiaTheme="minorEastAsia"/>
          <w:lang w:val="en-US" w:eastAsia="zh-CN"/>
        </w:rPr>
        <w:t xml:space="preserve"> PCF determining dynamic </w:t>
      </w:r>
      <w:r w:rsidR="0057682E">
        <w:rPr>
          <w:rFonts w:eastAsiaTheme="minorEastAsia"/>
          <w:lang w:val="en-US" w:eastAsia="zh-CN"/>
        </w:rPr>
        <w:t>NTZ</w:t>
      </w:r>
      <w:r>
        <w:rPr>
          <w:rFonts w:eastAsiaTheme="minorEastAsia"/>
          <w:lang w:val="en-US" w:eastAsia="zh-CN"/>
        </w:rPr>
        <w:t xml:space="preserve"> policies based on NTZ are</w:t>
      </w:r>
      <w:r w:rsidR="0057682E">
        <w:rPr>
          <w:rFonts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 configuration from UDM/UDR</w:t>
      </w:r>
    </w:p>
    <w:p w14:paraId="55E36B53" w14:textId="77777777" w:rsidR="008F32C5" w:rsidRDefault="008F32C5" w:rsidP="008F32C5">
      <w:pPr>
        <w:rPr>
          <w:rFonts w:eastAsiaTheme="minorEastAsia"/>
          <w:lang w:val="en-US" w:eastAsia="zh-CN"/>
        </w:rPr>
      </w:pPr>
    </w:p>
    <w:p w14:paraId="1099209A" w14:textId="0548DDB4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0.</w:t>
      </w:r>
      <w:r>
        <w:rPr>
          <w:rFonts w:eastAsiaTheme="minorEastAsia"/>
          <w:lang w:val="en-US" w:eastAsia="zh-CN"/>
        </w:rPr>
        <w:tab/>
      </w:r>
      <w:r w:rsidRPr="008F32C5">
        <w:rPr>
          <w:rFonts w:eastAsiaTheme="minorEastAsia"/>
          <w:lang w:val="en-US" w:eastAsia="zh-CN"/>
        </w:rPr>
        <w:t xml:space="preserve">Option 1: UDM has stored NTZ </w:t>
      </w:r>
      <w:r w:rsidR="0057682E">
        <w:rPr>
          <w:rFonts w:eastAsiaTheme="minorEastAsia"/>
          <w:lang w:val="en-US" w:eastAsia="zh-CN"/>
        </w:rPr>
        <w:t>area information</w:t>
      </w:r>
      <w:r w:rsidRPr="008F32C5">
        <w:rPr>
          <w:rFonts w:eastAsiaTheme="minorEastAsia"/>
          <w:lang w:val="en-US" w:eastAsia="zh-CN"/>
        </w:rPr>
        <w:t xml:space="preserve"> for aerial UEs. The NTZ </w:t>
      </w:r>
      <w:r w:rsidR="0057682E">
        <w:rPr>
          <w:rFonts w:eastAsiaTheme="minorEastAsia"/>
          <w:lang w:val="en-US" w:eastAsia="zh-CN"/>
        </w:rPr>
        <w:t>are</w:t>
      </w:r>
      <w:r w:rsidRPr="008F32C5">
        <w:rPr>
          <w:rFonts w:eastAsiaTheme="minorEastAsia"/>
          <w:lang w:val="en-US" w:eastAsia="zh-CN"/>
        </w:rPr>
        <w:t xml:space="preserve"> info may include permitted and/or restricted frequency band for a certain geographical area.</w:t>
      </w:r>
    </w:p>
    <w:p w14:paraId="5D84786E" w14:textId="77777777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1.</w:t>
      </w:r>
      <w:r>
        <w:rPr>
          <w:rFonts w:eastAsiaTheme="minorEastAsia"/>
          <w:lang w:val="en-US" w:eastAsia="zh-CN"/>
        </w:rPr>
        <w:tab/>
        <w:t xml:space="preserve">A UE operating as a </w:t>
      </w:r>
      <w:proofErr w:type="gramStart"/>
      <w:r>
        <w:rPr>
          <w:rFonts w:eastAsiaTheme="minorEastAsia"/>
          <w:lang w:val="en-US" w:eastAsia="zh-CN"/>
        </w:rPr>
        <w:t>UAV registers</w:t>
      </w:r>
      <w:proofErr w:type="gramEnd"/>
      <w:r>
        <w:rPr>
          <w:rFonts w:eastAsiaTheme="minorEastAsia"/>
          <w:lang w:val="en-US" w:eastAsia="zh-CN"/>
        </w:rPr>
        <w:t xml:space="preserve"> to the network and provides its CAA-Level UAV ID as described in 3GPP TS 23.256</w:t>
      </w:r>
    </w:p>
    <w:p w14:paraId="3E0CEE8D" w14:textId="77777777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2.</w:t>
      </w:r>
      <w:r>
        <w:rPr>
          <w:rFonts w:eastAsiaTheme="minorEastAsia"/>
          <w:lang w:val="en-US" w:eastAsia="zh-CN"/>
        </w:rPr>
        <w:tab/>
        <w:t>Primary authentication is carried out as described in 3GPP TS 23.502</w:t>
      </w:r>
    </w:p>
    <w:p w14:paraId="112861DB" w14:textId="77777777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3.</w:t>
      </w:r>
      <w:r>
        <w:rPr>
          <w:rFonts w:eastAsiaTheme="minorEastAsia"/>
          <w:lang w:val="en-US" w:eastAsia="zh-CN"/>
        </w:rPr>
        <w:tab/>
        <w:t xml:space="preserve">After primary authentication is completed the registration procedure continues and the AMF interfaces with the PCF by establishing an AM policy association. </w:t>
      </w:r>
    </w:p>
    <w:p w14:paraId="553EBEBD" w14:textId="77777777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4.</w:t>
      </w:r>
      <w:r>
        <w:rPr>
          <w:rFonts w:eastAsiaTheme="minorEastAsia"/>
          <w:lang w:val="en-US" w:eastAsia="zh-CN"/>
        </w:rPr>
        <w:tab/>
        <w:t>The AMF sends an AM policy association establishment request to the PCF</w:t>
      </w:r>
    </w:p>
    <w:p w14:paraId="63282AA1" w14:textId="17C7CB04" w:rsidR="008F32C5" w:rsidRPr="008F32C5" w:rsidRDefault="008F32C5" w:rsidP="008F32C5">
      <w:pPr>
        <w:pStyle w:val="B1"/>
        <w:rPr>
          <w:rFonts w:eastAsiaTheme="minorEastAsia"/>
          <w:lang w:val="en-US" w:eastAsia="zh-CN"/>
        </w:rPr>
      </w:pPr>
      <w:r w:rsidRPr="008F32C5">
        <w:rPr>
          <w:rFonts w:eastAsiaTheme="minorEastAsia"/>
          <w:lang w:val="en-US" w:eastAsia="zh-CN"/>
        </w:rPr>
        <w:t>5.</w:t>
      </w:r>
      <w:r w:rsidRPr="008F32C5">
        <w:rPr>
          <w:rFonts w:eastAsiaTheme="minorEastAsia"/>
          <w:lang w:val="en-US" w:eastAsia="zh-CN"/>
        </w:rPr>
        <w:tab/>
        <w:t xml:space="preserve"> The PCF determines the UE has an aerial subscription and obtains NTZ</w:t>
      </w:r>
      <w:r w:rsidR="002719E4">
        <w:rPr>
          <w:rFonts w:eastAsiaTheme="minorEastAsia"/>
          <w:lang w:val="en-US" w:eastAsia="zh-CN"/>
        </w:rPr>
        <w:t xml:space="preserve"> area</w:t>
      </w:r>
      <w:r w:rsidRPr="008F32C5">
        <w:rPr>
          <w:rFonts w:eastAsiaTheme="minorEastAsia"/>
          <w:lang w:val="en-US" w:eastAsia="zh-CN"/>
        </w:rPr>
        <w:t xml:space="preserve"> information from the UDM. </w:t>
      </w:r>
    </w:p>
    <w:p w14:paraId="16F857C1" w14:textId="77777777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ab/>
        <w:t>The PCF acknowledges the AM policy association establishment.</w:t>
      </w:r>
    </w:p>
    <w:p w14:paraId="504B44DB" w14:textId="4925E881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7.</w:t>
      </w:r>
      <w:r>
        <w:rPr>
          <w:rFonts w:eastAsiaTheme="minorEastAsia"/>
          <w:lang w:val="en-US" w:eastAsia="zh-CN"/>
        </w:rPr>
        <w:tab/>
        <w:t>The registration procdedure continues as per 3GPP TS 23.502 Figure 4.2.2.2-1</w:t>
      </w:r>
    </w:p>
    <w:p w14:paraId="729D52CF" w14:textId="4E5569F7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8.</w:t>
      </w:r>
      <w:r>
        <w:rPr>
          <w:rFonts w:eastAsiaTheme="minorEastAsia"/>
          <w:lang w:val="en-US" w:eastAsia="zh-CN"/>
        </w:rPr>
        <w:tab/>
        <w:t>AMF sends a registration accept to the UE when the registration completes</w:t>
      </w:r>
    </w:p>
    <w:p w14:paraId="187EB375" w14:textId="77777777" w:rsid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9.</w:t>
      </w:r>
      <w:r>
        <w:rPr>
          <w:rFonts w:eastAsiaTheme="minorEastAsia"/>
          <w:lang w:val="en-US" w:eastAsia="zh-CN"/>
        </w:rPr>
        <w:tab/>
        <w:t>UUAA procedure is carried out either at AMF or SMF as described in 3GPP TS 23.256</w:t>
      </w:r>
    </w:p>
    <w:p w14:paraId="08168506" w14:textId="7AFBE208" w:rsidR="002719E4" w:rsidRDefault="002719E4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10.</w:t>
      </w:r>
      <w:r>
        <w:rPr>
          <w:rFonts w:eastAsiaTheme="minorEastAsia"/>
          <w:lang w:val="en-US" w:eastAsia="zh-CN"/>
        </w:rPr>
        <w:tab/>
        <w:t>Option 2: The USS may provide NTZ area information to the UDR using an existing NEF service that is received at the PCF.</w:t>
      </w:r>
    </w:p>
    <w:p w14:paraId="4FB7447A" w14:textId="1BF7746F" w:rsidR="008F32C5" w:rsidRPr="008F32C5" w:rsidRDefault="008F32C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</w:t>
      </w:r>
      <w:r w:rsidR="002719E4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ab/>
        <w:t xml:space="preserve">If </w:t>
      </w:r>
      <w:r w:rsidRPr="008F32C5">
        <w:rPr>
          <w:rFonts w:eastAsiaTheme="minorEastAsia"/>
          <w:lang w:val="en-US" w:eastAsia="zh-CN"/>
        </w:rPr>
        <w:t>UUAA is valid the PCF subscribes to location changes either from AMF and/or from LMF using LCS services.</w:t>
      </w:r>
    </w:p>
    <w:p w14:paraId="44CAE645" w14:textId="24C85236" w:rsidR="008F32C5" w:rsidRPr="008F32C5" w:rsidRDefault="008F32C5" w:rsidP="008F32C5">
      <w:pPr>
        <w:pStyle w:val="B1"/>
        <w:rPr>
          <w:rFonts w:eastAsiaTheme="minorEastAsia"/>
          <w:lang w:val="en-US" w:eastAsia="zh-CN"/>
        </w:rPr>
      </w:pPr>
      <w:r w:rsidRPr="008F32C5">
        <w:rPr>
          <w:rFonts w:eastAsiaTheme="minorEastAsia"/>
          <w:lang w:val="en-US" w:eastAsia="zh-CN"/>
        </w:rPr>
        <w:t>1</w:t>
      </w:r>
      <w:r w:rsidR="002719E4">
        <w:rPr>
          <w:rFonts w:eastAsiaTheme="minorEastAsia"/>
          <w:lang w:val="en-US" w:eastAsia="zh-CN"/>
        </w:rPr>
        <w:t>2</w:t>
      </w:r>
      <w:r w:rsidRPr="008F32C5">
        <w:rPr>
          <w:rFonts w:eastAsiaTheme="minorEastAsia"/>
          <w:lang w:val="en-US" w:eastAsia="zh-CN"/>
        </w:rPr>
        <w:t>.</w:t>
      </w:r>
      <w:r w:rsidRPr="008F32C5">
        <w:rPr>
          <w:rFonts w:eastAsiaTheme="minorEastAsia"/>
          <w:lang w:val="en-US" w:eastAsia="zh-CN"/>
        </w:rPr>
        <w:tab/>
        <w:t xml:space="preserve">When the PCF determines the UE is an NTZ area based on location information the PCF determines </w:t>
      </w:r>
      <w:r w:rsidR="0057682E">
        <w:rPr>
          <w:rFonts w:eastAsiaTheme="minorEastAsia"/>
          <w:lang w:val="en-US" w:eastAsia="zh-CN"/>
        </w:rPr>
        <w:t>NTZ</w:t>
      </w:r>
      <w:r w:rsidRPr="008F32C5">
        <w:rPr>
          <w:rFonts w:eastAsiaTheme="minorEastAsia"/>
          <w:lang w:val="en-US" w:eastAsia="zh-CN"/>
        </w:rPr>
        <w:t xml:space="preserve"> policy for the NTZ </w:t>
      </w:r>
      <w:r w:rsidR="0057682E">
        <w:rPr>
          <w:rFonts w:eastAsiaTheme="minorEastAsia"/>
          <w:lang w:val="en-US" w:eastAsia="zh-CN"/>
        </w:rPr>
        <w:t>area</w:t>
      </w:r>
    </w:p>
    <w:p w14:paraId="36F0B8C3" w14:textId="070FF699" w:rsidR="008F32C5" w:rsidRPr="008F32C5" w:rsidRDefault="008F32C5" w:rsidP="008F32C5">
      <w:pPr>
        <w:pStyle w:val="B1"/>
        <w:rPr>
          <w:rFonts w:eastAsiaTheme="minorEastAsia"/>
          <w:lang w:val="en-US" w:eastAsia="zh-CN"/>
        </w:rPr>
      </w:pPr>
      <w:r w:rsidRPr="008F32C5">
        <w:rPr>
          <w:rFonts w:eastAsiaTheme="minorEastAsia"/>
          <w:lang w:val="en-US" w:eastAsia="zh-CN"/>
        </w:rPr>
        <w:t>1</w:t>
      </w:r>
      <w:r w:rsidR="002719E4">
        <w:rPr>
          <w:rFonts w:eastAsiaTheme="minorEastAsia"/>
          <w:lang w:val="en-US" w:eastAsia="zh-CN"/>
        </w:rPr>
        <w:t>3</w:t>
      </w:r>
      <w:r w:rsidRPr="008F32C5">
        <w:rPr>
          <w:rFonts w:eastAsiaTheme="minorEastAsia"/>
          <w:lang w:val="en-US" w:eastAsia="zh-CN"/>
        </w:rPr>
        <w:t>.</w:t>
      </w:r>
      <w:r w:rsidRPr="008F32C5">
        <w:rPr>
          <w:rFonts w:eastAsiaTheme="minorEastAsia"/>
          <w:lang w:val="en-US" w:eastAsia="zh-CN"/>
        </w:rPr>
        <w:tab/>
        <w:t xml:space="preserve">The PCF triggers an AM policy update to the AMF including the </w:t>
      </w:r>
      <w:r w:rsidR="0057682E">
        <w:rPr>
          <w:rFonts w:eastAsiaTheme="minorEastAsia"/>
          <w:lang w:val="en-US" w:eastAsia="zh-CN"/>
        </w:rPr>
        <w:t>NTZ</w:t>
      </w:r>
      <w:r w:rsidRPr="008F32C5">
        <w:rPr>
          <w:rFonts w:eastAsiaTheme="minorEastAsia"/>
          <w:lang w:val="en-US" w:eastAsia="zh-CN"/>
        </w:rPr>
        <w:t xml:space="preserve"> policy for the NTZ zone.</w:t>
      </w:r>
    </w:p>
    <w:p w14:paraId="4BECE68F" w14:textId="6F0CA51C" w:rsidR="008F32C5" w:rsidRPr="008F32C5" w:rsidRDefault="008F32C5" w:rsidP="008F32C5">
      <w:pPr>
        <w:pStyle w:val="B1"/>
        <w:rPr>
          <w:rFonts w:eastAsiaTheme="minorEastAsia"/>
          <w:lang w:val="en-US" w:eastAsia="zh-CN"/>
        </w:rPr>
      </w:pPr>
      <w:r w:rsidRPr="008F32C5">
        <w:rPr>
          <w:rFonts w:eastAsiaTheme="minorEastAsia"/>
          <w:lang w:val="en-US" w:eastAsia="zh-CN"/>
        </w:rPr>
        <w:t>1</w:t>
      </w:r>
      <w:r w:rsidR="002719E4">
        <w:rPr>
          <w:rFonts w:eastAsiaTheme="minorEastAsia"/>
          <w:lang w:val="en-US" w:eastAsia="zh-CN"/>
        </w:rPr>
        <w:t>4</w:t>
      </w:r>
      <w:r w:rsidRPr="008F32C5">
        <w:rPr>
          <w:rFonts w:eastAsiaTheme="minorEastAsia"/>
          <w:lang w:val="en-US" w:eastAsia="zh-CN"/>
        </w:rPr>
        <w:t>.</w:t>
      </w:r>
      <w:r w:rsidRPr="008F32C5">
        <w:rPr>
          <w:rFonts w:eastAsiaTheme="minorEastAsia"/>
          <w:lang w:val="en-US" w:eastAsia="zh-CN"/>
        </w:rPr>
        <w:tab/>
        <w:t xml:space="preserve">The AMF provides the </w:t>
      </w:r>
      <w:r w:rsidR="0057682E">
        <w:rPr>
          <w:rFonts w:eastAsiaTheme="minorEastAsia"/>
          <w:lang w:val="en-US" w:eastAsia="zh-CN"/>
        </w:rPr>
        <w:t>NTZ</w:t>
      </w:r>
      <w:r w:rsidRPr="008F32C5">
        <w:rPr>
          <w:rFonts w:eastAsiaTheme="minorEastAsia"/>
          <w:lang w:val="en-US" w:eastAsia="zh-CN"/>
        </w:rPr>
        <w:t xml:space="preserve"> policy to the RAN node via an N2 message. </w:t>
      </w:r>
    </w:p>
    <w:p w14:paraId="5A55CDFF" w14:textId="012701E3" w:rsidR="008F32C5" w:rsidRPr="008F32C5" w:rsidRDefault="008F32C5" w:rsidP="008F32C5">
      <w:pPr>
        <w:pStyle w:val="B1"/>
        <w:rPr>
          <w:rFonts w:eastAsiaTheme="minorEastAsia"/>
          <w:lang w:val="en-US" w:eastAsia="zh-CN"/>
        </w:rPr>
      </w:pPr>
      <w:r w:rsidRPr="008F32C5">
        <w:rPr>
          <w:rFonts w:eastAsiaTheme="minorEastAsia"/>
          <w:lang w:val="en-US" w:eastAsia="zh-CN"/>
        </w:rPr>
        <w:t>1</w:t>
      </w:r>
      <w:r w:rsidR="002719E4">
        <w:rPr>
          <w:rFonts w:eastAsiaTheme="minorEastAsia"/>
          <w:lang w:val="en-US" w:eastAsia="zh-CN"/>
        </w:rPr>
        <w:t>5</w:t>
      </w:r>
      <w:r w:rsidRPr="008F32C5">
        <w:rPr>
          <w:rFonts w:eastAsiaTheme="minorEastAsia"/>
          <w:lang w:val="en-US" w:eastAsia="zh-CN"/>
        </w:rPr>
        <w:t>.</w:t>
      </w:r>
      <w:r w:rsidRPr="008F32C5">
        <w:rPr>
          <w:rFonts w:eastAsiaTheme="minorEastAsia"/>
          <w:lang w:val="en-US" w:eastAsia="zh-CN"/>
        </w:rPr>
        <w:tab/>
        <w:t xml:space="preserve">The RAN nodes </w:t>
      </w:r>
      <w:r w:rsidR="0057682E" w:rsidRPr="008F32C5">
        <w:rPr>
          <w:rFonts w:eastAsiaTheme="minorEastAsia"/>
          <w:lang w:val="en-US" w:eastAsia="zh-CN"/>
        </w:rPr>
        <w:t>configure</w:t>
      </w:r>
      <w:r w:rsidRPr="008F32C5">
        <w:rPr>
          <w:rFonts w:eastAsiaTheme="minorEastAsia"/>
          <w:lang w:val="en-US" w:eastAsia="zh-CN"/>
        </w:rPr>
        <w:t xml:space="preserve"> the UE to avoid transmitting on non-allowed frequency band when the UE is in the NTZ area.</w:t>
      </w:r>
    </w:p>
    <w:p w14:paraId="7E8A0A8C" w14:textId="77777777" w:rsidR="005305D9" w:rsidRDefault="005305D9" w:rsidP="009F548A">
      <w:pPr>
        <w:spacing w:after="0"/>
      </w:pPr>
    </w:p>
    <w:p w14:paraId="78BC48A9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18" w:name="_Toc326248711"/>
      <w:bookmarkStart w:id="19" w:name="_Toc510604409"/>
      <w:bookmarkStart w:id="20" w:name="_Toc92875664"/>
      <w:bookmarkStart w:id="21" w:name="_Toc93070688"/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18"/>
      <w:bookmarkEnd w:id="19"/>
      <w:bookmarkEnd w:id="20"/>
      <w:r>
        <w:rPr>
          <w:rFonts w:ascii="Arial" w:eastAsia="DengXian" w:hAnsi="Arial"/>
          <w:sz w:val="28"/>
        </w:rPr>
        <w:t xml:space="preserve">Impacts on services, </w:t>
      </w:r>
      <w:proofErr w:type="gramStart"/>
      <w:r>
        <w:rPr>
          <w:rFonts w:ascii="Arial" w:eastAsia="DengXian" w:hAnsi="Arial"/>
          <w:sz w:val="28"/>
        </w:rPr>
        <w:t>entities</w:t>
      </w:r>
      <w:proofErr w:type="gramEnd"/>
      <w:r>
        <w:rPr>
          <w:rFonts w:ascii="Arial" w:eastAsia="DengXian" w:hAnsi="Arial"/>
          <w:sz w:val="28"/>
        </w:rPr>
        <w:t xml:space="preserve"> and interfaces</w:t>
      </w:r>
      <w:bookmarkEnd w:id="21"/>
    </w:p>
    <w:p w14:paraId="6A3C78BF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 This clause captures impacts on existing and/or new 3GPP nodes and functional elements.</w:t>
      </w:r>
    </w:p>
    <w:p w14:paraId="5B66FB46" w14:textId="2E8A1EE0" w:rsidR="00003AE5" w:rsidRDefault="008F32C5" w:rsidP="008F32C5">
      <w:r>
        <w:t>UDM: Configuration of NTZ area information</w:t>
      </w:r>
    </w:p>
    <w:p w14:paraId="43F85651" w14:textId="23BDE5FA" w:rsidR="008F32C5" w:rsidRDefault="008F32C5" w:rsidP="008F32C5">
      <w:r>
        <w:t xml:space="preserve">PCF: PCF determining new </w:t>
      </w:r>
      <w:r w:rsidR="0057682E">
        <w:t>NTZ</w:t>
      </w:r>
      <w:r>
        <w:t xml:space="preserve"> policies when UAV enters an NTZ area.</w:t>
      </w:r>
    </w:p>
    <w:p w14:paraId="7C8EAF6B" w14:textId="77777777" w:rsidR="008F32C5" w:rsidRPr="00374B9F" w:rsidRDefault="008F32C5" w:rsidP="008F32C5"/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Lenovo DK" w:date="2024-02-15T17:06:00Z" w:initials="DK">
    <w:p w14:paraId="3A29B7FD" w14:textId="77777777" w:rsidR="005305D9" w:rsidRDefault="005305D9" w:rsidP="002A57E6">
      <w:pPr>
        <w:pStyle w:val="CommentText"/>
        <w:jc w:val="left"/>
      </w:pPr>
      <w:r>
        <w:rPr>
          <w:rStyle w:val="CommentReference"/>
        </w:rPr>
        <w:annotationRef/>
      </w:r>
      <w:r>
        <w:t xml:space="preserve"> 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29B7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8C32C" w16cex:dateUtc="2024-02-15T1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29B7FD" w16cid:durableId="2978C3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6047E" w14:textId="77777777" w:rsidR="00DF439E" w:rsidRPr="00374B9F" w:rsidRDefault="00DF439E">
      <w:r w:rsidRPr="00374B9F">
        <w:separator/>
      </w:r>
    </w:p>
  </w:endnote>
  <w:endnote w:type="continuationSeparator" w:id="0">
    <w:p w14:paraId="29B29331" w14:textId="77777777" w:rsidR="00DF439E" w:rsidRPr="00374B9F" w:rsidRDefault="00DF439E">
      <w:r w:rsidRPr="00374B9F">
        <w:continuationSeparator/>
      </w:r>
    </w:p>
  </w:endnote>
  <w:endnote w:type="continuationNotice" w:id="1">
    <w:p w14:paraId="31BFBA47" w14:textId="77777777" w:rsidR="00DF439E" w:rsidRPr="00374B9F" w:rsidRDefault="00DF4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E9D27" w14:textId="77777777" w:rsidR="00DF439E" w:rsidRPr="00374B9F" w:rsidRDefault="00DF439E">
      <w:r w:rsidRPr="00374B9F">
        <w:separator/>
      </w:r>
    </w:p>
  </w:footnote>
  <w:footnote w:type="continuationSeparator" w:id="0">
    <w:p w14:paraId="13550E7E" w14:textId="77777777" w:rsidR="00DF439E" w:rsidRPr="00374B9F" w:rsidRDefault="00DF439E">
      <w:r w:rsidRPr="00374B9F">
        <w:continuationSeparator/>
      </w:r>
    </w:p>
  </w:footnote>
  <w:footnote w:type="continuationNotice" w:id="1">
    <w:p w14:paraId="129A531A" w14:textId="77777777" w:rsidR="00DF439E" w:rsidRPr="00374B9F" w:rsidRDefault="00DF43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4CA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62FD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603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773821613">
    <w:abstractNumId w:val="2"/>
  </w:num>
  <w:num w:numId="5" w16cid:durableId="311253654">
    <w:abstractNumId w:val="1"/>
  </w:num>
  <w:num w:numId="6" w16cid:durableId="2035037374">
    <w:abstractNumId w:val="0"/>
  </w:num>
  <w:num w:numId="7" w16cid:durableId="1751778495">
    <w:abstractNumId w:val="2"/>
  </w:num>
  <w:num w:numId="8" w16cid:durableId="718748690">
    <w:abstractNumId w:val="1"/>
  </w:num>
  <w:num w:numId="9" w16cid:durableId="103968125">
    <w:abstractNumId w:val="0"/>
  </w:num>
  <w:num w:numId="10" w16cid:durableId="2137526461">
    <w:abstractNumId w:val="2"/>
  </w:num>
  <w:num w:numId="11" w16cid:durableId="731805181">
    <w:abstractNumId w:val="1"/>
  </w:num>
  <w:num w:numId="12" w16cid:durableId="713622671">
    <w:abstractNumId w:val="0"/>
  </w:num>
  <w:num w:numId="13" w16cid:durableId="615214331">
    <w:abstractNumId w:val="2"/>
  </w:num>
  <w:num w:numId="14" w16cid:durableId="1165901609">
    <w:abstractNumId w:val="1"/>
  </w:num>
  <w:num w:numId="15" w16cid:durableId="924920696">
    <w:abstractNumId w:val="0"/>
  </w:num>
  <w:num w:numId="16" w16cid:durableId="1152410537">
    <w:abstractNumId w:val="2"/>
  </w:num>
  <w:num w:numId="17" w16cid:durableId="2053144011">
    <w:abstractNumId w:val="1"/>
  </w:num>
  <w:num w:numId="18" w16cid:durableId="560411843">
    <w:abstractNumId w:val="0"/>
  </w:num>
  <w:num w:numId="19" w16cid:durableId="234173433">
    <w:abstractNumId w:val="2"/>
  </w:num>
  <w:num w:numId="20" w16cid:durableId="896286593">
    <w:abstractNumId w:val="1"/>
  </w:num>
  <w:num w:numId="21" w16cid:durableId="250629290">
    <w:abstractNumId w:val="0"/>
  </w:num>
  <w:num w:numId="22" w16cid:durableId="547304978">
    <w:abstractNumId w:val="2"/>
  </w:num>
  <w:num w:numId="23" w16cid:durableId="1987009701">
    <w:abstractNumId w:val="1"/>
  </w:num>
  <w:num w:numId="24" w16cid:durableId="968972700">
    <w:abstractNumId w:val="0"/>
  </w:num>
  <w:num w:numId="25" w16cid:durableId="97991303">
    <w:abstractNumId w:val="2"/>
  </w:num>
  <w:num w:numId="26" w16cid:durableId="1975792516">
    <w:abstractNumId w:val="1"/>
  </w:num>
  <w:num w:numId="27" w16cid:durableId="1097755754">
    <w:abstractNumId w:val="0"/>
  </w:num>
  <w:num w:numId="28" w16cid:durableId="1330213281">
    <w:abstractNumId w:val="2"/>
  </w:num>
  <w:num w:numId="29" w16cid:durableId="2005207210">
    <w:abstractNumId w:val="1"/>
  </w:num>
  <w:num w:numId="30" w16cid:durableId="388892308">
    <w:abstractNumId w:val="0"/>
  </w:num>
  <w:num w:numId="31" w16cid:durableId="1806660028">
    <w:abstractNumId w:val="2"/>
  </w:num>
  <w:num w:numId="32" w16cid:durableId="672030886">
    <w:abstractNumId w:val="1"/>
  </w:num>
  <w:num w:numId="33" w16cid:durableId="1971472303">
    <w:abstractNumId w:val="0"/>
  </w:num>
  <w:num w:numId="34" w16cid:durableId="1323917">
    <w:abstractNumId w:val="2"/>
  </w:num>
  <w:num w:numId="35" w16cid:durableId="442849146">
    <w:abstractNumId w:val="1"/>
  </w:num>
  <w:num w:numId="36" w16cid:durableId="1034694944">
    <w:abstractNumId w:val="0"/>
  </w:num>
  <w:num w:numId="37" w16cid:durableId="1277443964">
    <w:abstractNumId w:val="2"/>
  </w:num>
  <w:num w:numId="38" w16cid:durableId="1771850755">
    <w:abstractNumId w:val="1"/>
  </w:num>
  <w:num w:numId="39" w16cid:durableId="2100104408">
    <w:abstractNumId w:val="0"/>
  </w:num>
  <w:num w:numId="40" w16cid:durableId="1294867468">
    <w:abstractNumId w:val="2"/>
  </w:num>
  <w:num w:numId="41" w16cid:durableId="1889099847">
    <w:abstractNumId w:val="1"/>
  </w:num>
  <w:num w:numId="42" w16cid:durableId="1687945902">
    <w:abstractNumId w:val="0"/>
  </w:num>
  <w:num w:numId="43" w16cid:durableId="585456341">
    <w:abstractNumId w:val="2"/>
  </w:num>
  <w:num w:numId="44" w16cid:durableId="1622565948">
    <w:abstractNumId w:val="1"/>
  </w:num>
  <w:num w:numId="45" w16cid:durableId="76037144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69E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57FC6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7E9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474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6CD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809"/>
    <w:rsid w:val="00131B46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642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8B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4C35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1CE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9E4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0740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555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B8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6A4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53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05D9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310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A24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676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468"/>
    <w:rsid w:val="005757D6"/>
    <w:rsid w:val="005757D8"/>
    <w:rsid w:val="0057682E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4F9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62BA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AC9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E4A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5B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BF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2C5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6E8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899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28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48A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092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A74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9FE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55E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743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242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048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4D8"/>
    <w:rsid w:val="00DA4B20"/>
    <w:rsid w:val="00DA4C12"/>
    <w:rsid w:val="00DA4F54"/>
    <w:rsid w:val="00DA51A5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39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DFA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65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156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E7AD8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qFormat/>
    <w:locked/>
    <w:rsid w:val="00003AE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10</cp:revision>
  <cp:lastPrinted>2019-01-15T01:23:00Z</cp:lastPrinted>
  <dcterms:created xsi:type="dcterms:W3CDTF">2024-02-15T15:42:00Z</dcterms:created>
  <dcterms:modified xsi:type="dcterms:W3CDTF">2024-02-16T11:14:00Z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