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3BD8A56E"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A7744F">
        <w:rPr>
          <w:rFonts w:eastAsia="Times New Roman"/>
          <w:noProof w:val="0"/>
          <w:sz w:val="24"/>
          <w:lang w:eastAsia="zh-CN"/>
        </w:rPr>
        <w:t>159</w:t>
      </w:r>
      <w:r w:rsidRPr="00310B85">
        <w:rPr>
          <w:rFonts w:eastAsia="Times New Roman"/>
          <w:noProof w:val="0"/>
          <w:sz w:val="24"/>
          <w:lang w:eastAsia="zh-CN"/>
        </w:rPr>
        <w:t xml:space="preserve">                                                        </w:t>
      </w:r>
      <w:r w:rsidRPr="00310B85">
        <w:rPr>
          <w:rFonts w:eastAsia="Times New Roman"/>
          <w:noProof w:val="0"/>
          <w:sz w:val="24"/>
          <w:lang w:eastAsia="zh-CN"/>
        </w:rPr>
        <w:tab/>
      </w:r>
      <w:r w:rsidR="00A7744F" w:rsidRPr="00A7744F">
        <w:rPr>
          <w:rFonts w:eastAsia="Times New Roman"/>
          <w:noProof w:val="0"/>
          <w:sz w:val="24"/>
          <w:lang w:eastAsia="zh-CN"/>
        </w:rPr>
        <w:t>S2-2311246</w:t>
      </w:r>
    </w:p>
    <w:p w14:paraId="08BC72BC" w14:textId="60228AA1" w:rsidR="00FF5B8D" w:rsidRPr="00310B85" w:rsidRDefault="00A7744F" w:rsidP="00310B85">
      <w:pPr>
        <w:pStyle w:val="Header"/>
        <w:tabs>
          <w:tab w:val="right" w:pos="9639"/>
        </w:tabs>
        <w:rPr>
          <w:rFonts w:eastAsia="Times New Roman"/>
          <w:noProof w:val="0"/>
          <w:sz w:val="24"/>
          <w:lang w:eastAsia="zh-CN"/>
        </w:rPr>
      </w:pPr>
      <w:r w:rsidRPr="00A7744F">
        <w:rPr>
          <w:rFonts w:eastAsia="Times New Roman"/>
          <w:noProof w:val="0"/>
          <w:sz w:val="24"/>
          <w:lang w:eastAsia="zh-CN"/>
        </w:rPr>
        <w:t>October 9th – 13th, 2023; Xiamen, CN</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3CE4312A"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8651F4">
        <w:rPr>
          <w:rFonts w:cs="Arial"/>
          <w:b/>
          <w:bCs/>
          <w:sz w:val="24"/>
        </w:rPr>
        <w:t>Discussion on scope of WT#2.</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5236C86D"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3B6812">
        <w:rPr>
          <w:rFonts w:cs="Arial"/>
          <w:b/>
          <w:bCs/>
          <w:sz w:val="24"/>
        </w:rPr>
        <w:t>5GSAT_</w:t>
      </w:r>
      <w:r w:rsidR="00F42141">
        <w:rPr>
          <w:rFonts w:cs="Arial"/>
          <w:b/>
          <w:bCs/>
          <w:sz w:val="24"/>
        </w:rPr>
        <w:t>P</w:t>
      </w:r>
      <w:r w:rsidR="003B6812">
        <w:rPr>
          <w:rFonts w:cs="Arial"/>
          <w:b/>
          <w:bCs/>
          <w:sz w:val="24"/>
        </w:rPr>
        <w:t>h2</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7794D2DD" w14:textId="2A8F2102" w:rsidR="001F1E90" w:rsidRDefault="001F1E90" w:rsidP="00264BFF">
      <w:r>
        <w:t>WT2 below is agreed as part of 5GSAT_ph3 study:</w:t>
      </w:r>
    </w:p>
    <w:p w14:paraId="0F2F6D3B" w14:textId="77777777" w:rsidR="001F1E90" w:rsidRPr="001F1E90" w:rsidRDefault="001F1E90" w:rsidP="001F1E90">
      <w:pPr>
        <w:pStyle w:val="B1"/>
        <w:rPr>
          <w:i/>
          <w:sz w:val="16"/>
          <w:szCs w:val="16"/>
          <w:lang w:eastAsia="ko-KR"/>
        </w:rPr>
      </w:pPr>
      <w:r w:rsidRPr="001F1E90">
        <w:rPr>
          <w:i/>
          <w:sz w:val="16"/>
          <w:szCs w:val="16"/>
          <w:lang w:eastAsia="ko-KR"/>
        </w:rPr>
        <w:t xml:space="preserve">WT2: Store and Forward </w:t>
      </w:r>
    </w:p>
    <w:p w14:paraId="297E2675" w14:textId="77777777" w:rsidR="001F1E90" w:rsidRPr="001F1E90" w:rsidRDefault="001F1E90" w:rsidP="001F1E90">
      <w:pPr>
        <w:pStyle w:val="B2"/>
        <w:rPr>
          <w:i/>
          <w:sz w:val="16"/>
          <w:szCs w:val="16"/>
          <w:lang w:val="en-US" w:eastAsia="fr-FR"/>
        </w:rPr>
      </w:pPr>
      <w:r w:rsidRPr="001F1E90">
        <w:rPr>
          <w:i/>
          <w:sz w:val="16"/>
          <w:szCs w:val="16"/>
          <w:lang w:val="en-US" w:eastAsia="fr-FR"/>
        </w:rPr>
        <w:t>WT-2.1: Study, and if applicable, define the parameters needed to characterize and support S&amp;F Satellite operation from a data service perspective, both for NR NTN (5GS) and IOT NTN (EPS).</w:t>
      </w:r>
    </w:p>
    <w:p w14:paraId="67962EEB" w14:textId="77777777" w:rsidR="001F1E90" w:rsidRPr="001F1E90" w:rsidRDefault="001F1E90" w:rsidP="001F1E90">
      <w:pPr>
        <w:pStyle w:val="B2"/>
        <w:rPr>
          <w:i/>
          <w:sz w:val="16"/>
          <w:szCs w:val="16"/>
          <w:lang w:val="en-US" w:eastAsia="fr-FR"/>
        </w:rPr>
      </w:pPr>
      <w:r w:rsidRPr="001F1E90">
        <w:rPr>
          <w:i/>
          <w:sz w:val="16"/>
          <w:szCs w:val="16"/>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IoT-NTN (EPS). Co-ordinate with SA3 LI if needed. </w:t>
      </w:r>
    </w:p>
    <w:p w14:paraId="50D743A4" w14:textId="6A7D4448" w:rsidR="002D4B1C" w:rsidRPr="002D4B1C" w:rsidRDefault="001F1E90" w:rsidP="002D4B1C">
      <w:pPr>
        <w:pStyle w:val="B1"/>
        <w:ind w:left="0" w:firstLine="0"/>
      </w:pPr>
      <w:r>
        <w:t xml:space="preserve">But this does not describe whether </w:t>
      </w:r>
      <w:r w:rsidR="00A360DE">
        <w:t xml:space="preserve">both </w:t>
      </w:r>
      <w:r>
        <w:t>Option-1 and Option-2 discussed below are required for this requirement.</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38695889" w14:textId="0C92DE36" w:rsidR="001F1E90" w:rsidRPr="001F1E90" w:rsidRDefault="001F1E90" w:rsidP="001F1E90">
      <w:pPr>
        <w:rPr>
          <w:b/>
        </w:rPr>
      </w:pPr>
      <w:r w:rsidRPr="001F1E90">
        <w:rPr>
          <w:b/>
        </w:rPr>
        <w:t xml:space="preserve">Observation-1: S/F is required only if both feeder link and service link are not available simultaneously. i.e. when service link is available for UE the NF onboard satellite are not connected to the ground and if NF are connected to the ground then service link is not available with the UE from the satellite. </w:t>
      </w:r>
    </w:p>
    <w:p w14:paraId="7963883E" w14:textId="7BB43874" w:rsidR="001F1E90" w:rsidRDefault="001F1E90" w:rsidP="001F1E90">
      <w:r>
        <w:t>As per our analysis at a very high level there are two options to solve S/F requirement outlined as Option-1 and Option-2 below:</w:t>
      </w:r>
    </w:p>
    <w:p w14:paraId="740CACB7" w14:textId="35C1A0F7" w:rsidR="006D45AF" w:rsidRPr="001F1E90" w:rsidRDefault="006D45AF" w:rsidP="006D45AF">
      <w:pPr>
        <w:rPr>
          <w:u w:val="single"/>
        </w:rPr>
      </w:pPr>
      <w:r w:rsidRPr="001F1E90">
        <w:rPr>
          <w:u w:val="single"/>
        </w:rPr>
        <w:t>Option-1:</w:t>
      </w:r>
    </w:p>
    <w:p w14:paraId="1361C023" w14:textId="6D67F510" w:rsidR="006D45AF" w:rsidRDefault="006D45AF" w:rsidP="006D45AF">
      <w:r>
        <w:t>Single satellite serv</w:t>
      </w:r>
      <w:r w:rsidR="00E94F76">
        <w:t>ing</w:t>
      </w:r>
      <w:r>
        <w:t xml:space="preserve"> the UE:</w:t>
      </w:r>
      <w:r w:rsidR="001F1E90">
        <w:t xml:space="preserve"> </w:t>
      </w:r>
      <w:r w:rsidR="00E94F76">
        <w:t>S</w:t>
      </w:r>
      <w:r>
        <w:t xml:space="preserve">ingle satellite or more than </w:t>
      </w:r>
      <w:r w:rsidR="00714C1B">
        <w:t xml:space="preserve">one </w:t>
      </w:r>
      <w:r>
        <w:t>satellite connected over ISL(effective</w:t>
      </w:r>
      <w:r w:rsidR="00714C1B">
        <w:t>ly</w:t>
      </w:r>
      <w:r>
        <w:t xml:space="preserve"> it can be visualized as single satellite from 3GPP point of view if we ignore the delay part)</w:t>
      </w:r>
    </w:p>
    <w:p w14:paraId="559592A1" w14:textId="4FB3FF45" w:rsidR="006D45AF" w:rsidRDefault="006D45AF" w:rsidP="006D45AF">
      <w:pPr>
        <w:pStyle w:val="ListParagraph"/>
        <w:numPr>
          <w:ilvl w:val="0"/>
          <w:numId w:val="47"/>
        </w:numPr>
      </w:pPr>
      <w:r>
        <w:t xml:space="preserve">LEO satellites generally take roughly around 2 hours to </w:t>
      </w:r>
      <w:r w:rsidR="001F1E90">
        <w:t>travel its</w:t>
      </w:r>
      <w:r>
        <w:t xml:space="preserve"> orbit and serve the same location.</w:t>
      </w:r>
      <w:r w:rsidR="00E94F76">
        <w:t xml:space="preserve"> Thus delay </w:t>
      </w:r>
      <w:r w:rsidR="001F1E90">
        <w:t>tolerant UEs can be</w:t>
      </w:r>
      <w:r w:rsidR="00E94F76">
        <w:t xml:space="preserve"> served</w:t>
      </w:r>
      <w:r w:rsidR="001F1E90">
        <w:t xml:space="preserve"> if they can tolerate the delay of 2 hours for communication</w:t>
      </w:r>
      <w:r w:rsidR="00E94F76">
        <w:t>.</w:t>
      </w:r>
    </w:p>
    <w:p w14:paraId="437C6A92" w14:textId="43DCE707" w:rsidR="006D45AF" w:rsidRDefault="006D45AF" w:rsidP="006D45AF">
      <w:pPr>
        <w:pStyle w:val="ListParagraph"/>
        <w:numPr>
          <w:ilvl w:val="0"/>
          <w:numId w:val="47"/>
        </w:numPr>
      </w:pPr>
      <w:r>
        <w:t xml:space="preserve">NF </w:t>
      </w:r>
      <w:r w:rsidR="00E94F76">
        <w:t>on</w:t>
      </w:r>
      <w:r w:rsidR="001F1E90">
        <w:t>-</w:t>
      </w:r>
      <w:r>
        <w:t xml:space="preserve">board this single satellite </w:t>
      </w:r>
      <w:r>
        <w:rPr>
          <w:u w:val="single"/>
        </w:rPr>
        <w:t>can</w:t>
      </w:r>
      <w:r w:rsidRPr="006D45AF">
        <w:rPr>
          <w:u w:val="single"/>
        </w:rPr>
        <w:t xml:space="preserve"> have the UE context</w:t>
      </w:r>
      <w:r>
        <w:t xml:space="preserve"> and only this </w:t>
      </w:r>
      <w:r w:rsidR="001F1E90">
        <w:t xml:space="preserve">respective </w:t>
      </w:r>
      <w:r>
        <w:t xml:space="preserve">satellite will serve the </w:t>
      </w:r>
      <w:r w:rsidR="00E94F76">
        <w:t>sub</w:t>
      </w:r>
      <w:r>
        <w:t>set of UEs.</w:t>
      </w:r>
    </w:p>
    <w:p w14:paraId="0C97C074" w14:textId="786157C7" w:rsidR="00EE29CC" w:rsidRDefault="00EE29CC" w:rsidP="00EE29CC"/>
    <w:p w14:paraId="497159B7" w14:textId="64C857B0" w:rsidR="00EE29CC" w:rsidRDefault="00EE29CC" w:rsidP="00EE29CC">
      <w:pPr>
        <w:jc w:val="center"/>
      </w:pPr>
      <w:r>
        <w:rPr>
          <w:noProof/>
          <w:lang w:val="en-IN" w:eastAsia="en-IN"/>
        </w:rPr>
        <w:drawing>
          <wp:inline distT="0" distB="0" distL="0" distR="0" wp14:anchorId="4E406DF6" wp14:editId="6425EB91">
            <wp:extent cx="4131499" cy="1613626"/>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2110" cy="1633393"/>
                    </a:xfrm>
                    <a:prstGeom prst="rect">
                      <a:avLst/>
                    </a:prstGeom>
                    <a:noFill/>
                  </pic:spPr>
                </pic:pic>
              </a:graphicData>
            </a:graphic>
          </wp:inline>
        </w:drawing>
      </w:r>
    </w:p>
    <w:p w14:paraId="31E0F553" w14:textId="0B382B7A" w:rsidR="00EE29CC" w:rsidRDefault="00EE29CC" w:rsidP="00EE29CC"/>
    <w:p w14:paraId="04E899C0" w14:textId="51976C33" w:rsidR="00EE29CC" w:rsidRDefault="00F75438" w:rsidP="00F75438">
      <w:pPr>
        <w:jc w:val="center"/>
      </w:pPr>
      <w:r>
        <w:t>F</w:t>
      </w:r>
      <w:r w:rsidR="00EE29CC">
        <w:t xml:space="preserve">ig.1 </w:t>
      </w:r>
      <w:r>
        <w:t>S</w:t>
      </w:r>
      <w:r w:rsidR="00EE29CC">
        <w:t xml:space="preserve">ame set of satellites </w:t>
      </w:r>
      <w:r>
        <w:t>connected through ISL serve the UE.</w:t>
      </w:r>
    </w:p>
    <w:p w14:paraId="3DCB032B" w14:textId="131C72BC" w:rsidR="00EE29CC" w:rsidRDefault="00F75438" w:rsidP="00EE29CC">
      <w:r>
        <w:lastRenderedPageBreak/>
        <w:t>Figure 1 illustrates same satellite(can be set of satellites connected through ISL) will serve a group of UEs at T0, T2, T4… and will connect with ground network at T1, T3 and T5….</w:t>
      </w:r>
    </w:p>
    <w:p w14:paraId="72D903C6" w14:textId="0A72C648" w:rsidR="00EE29CC" w:rsidRDefault="00EE29CC" w:rsidP="00EE29CC"/>
    <w:p w14:paraId="5288E855" w14:textId="105B6451" w:rsidR="006D45AF" w:rsidRPr="00E94F76" w:rsidRDefault="00A360DE" w:rsidP="006D45AF">
      <w:pPr>
        <w:rPr>
          <w:b/>
        </w:rPr>
      </w:pPr>
      <w:r>
        <w:rPr>
          <w:b/>
        </w:rPr>
        <w:t>Observation-2</w:t>
      </w:r>
      <w:r w:rsidR="00E94F76" w:rsidRPr="00E94F76">
        <w:rPr>
          <w:b/>
        </w:rPr>
        <w:t xml:space="preserve">: Having single satellite serving the UE can handle the requirements of delay tolerant devices but of course they will come with their disadvantages of having less </w:t>
      </w:r>
      <w:r w:rsidR="00E94F76">
        <w:rPr>
          <w:b/>
        </w:rPr>
        <w:t>service</w:t>
      </w:r>
      <w:r w:rsidR="00E94F76" w:rsidRPr="00E94F76">
        <w:rPr>
          <w:b/>
        </w:rPr>
        <w:t xml:space="preserve"> time</w:t>
      </w:r>
      <w:r w:rsidR="00E94F76">
        <w:rPr>
          <w:b/>
        </w:rPr>
        <w:t xml:space="preserve"> for the UE</w:t>
      </w:r>
      <w:r w:rsidR="00E94F76" w:rsidRPr="00E94F76">
        <w:rPr>
          <w:b/>
        </w:rPr>
        <w:t xml:space="preserve">, capacity of satellite to handle all the subset of UEs etc.  </w:t>
      </w:r>
    </w:p>
    <w:p w14:paraId="1873D517" w14:textId="1E8E5C90" w:rsidR="006D45AF" w:rsidRPr="008651F4" w:rsidRDefault="006D45AF" w:rsidP="006D45AF">
      <w:pPr>
        <w:rPr>
          <w:u w:val="single"/>
        </w:rPr>
      </w:pPr>
      <w:r w:rsidRPr="008651F4">
        <w:rPr>
          <w:u w:val="single"/>
        </w:rPr>
        <w:t>Option-2:</w:t>
      </w:r>
    </w:p>
    <w:p w14:paraId="5681CAA4" w14:textId="4F1E269C" w:rsidR="006D45AF" w:rsidRDefault="0036146E" w:rsidP="006D45AF">
      <w:r w:rsidRPr="0036146E">
        <w:t>More than one satellite, which are not connected by ISL, serve the same subset of UE</w:t>
      </w:r>
      <w:r w:rsidR="006D45AF">
        <w:t xml:space="preserve">. </w:t>
      </w:r>
    </w:p>
    <w:p w14:paraId="00F25783" w14:textId="3A183A46" w:rsidR="006D45AF" w:rsidRDefault="006D45AF" w:rsidP="006D45AF">
      <w:pPr>
        <w:pStyle w:val="ListParagraph"/>
        <w:numPr>
          <w:ilvl w:val="0"/>
          <w:numId w:val="48"/>
        </w:numPr>
      </w:pPr>
      <w:r>
        <w:t xml:space="preserve">To allow such a </w:t>
      </w:r>
      <w:r w:rsidR="00E94F76">
        <w:t>deployment</w:t>
      </w:r>
      <w:r>
        <w:t xml:space="preserve"> UEs will need to trigger registration procedure for change in satellite to re-create the UE context </w:t>
      </w:r>
      <w:r w:rsidR="00714C1B">
        <w:t>over</w:t>
      </w:r>
      <w:r w:rsidR="00E94F76">
        <w:t xml:space="preserve"> </w:t>
      </w:r>
      <w:r w:rsidR="00714C1B">
        <w:t xml:space="preserve">the </w:t>
      </w:r>
      <w:r w:rsidR="00E94F76">
        <w:t>NF deployed</w:t>
      </w:r>
      <w:r>
        <w:t xml:space="preserve"> </w:t>
      </w:r>
      <w:r w:rsidR="00E94F76">
        <w:t xml:space="preserve">on the </w:t>
      </w:r>
      <w:r w:rsidR="00714C1B">
        <w:t>new serving</w:t>
      </w:r>
      <w:r>
        <w:t xml:space="preserve"> satellite. This </w:t>
      </w:r>
      <w:r w:rsidR="00E94F76">
        <w:t>seems difficult when</w:t>
      </w:r>
      <w:r>
        <w:t xml:space="preserve"> feeder link </w:t>
      </w:r>
      <w:r w:rsidR="00E94F76">
        <w:t xml:space="preserve">is not available </w:t>
      </w:r>
      <w:r w:rsidR="001F1E90">
        <w:t>with</w:t>
      </w:r>
      <w:r>
        <w:t xml:space="preserve"> at least UDM and AUSF are expected to be deployed</w:t>
      </w:r>
      <w:r w:rsidR="00E94F76">
        <w:t xml:space="preserve"> on ground</w:t>
      </w:r>
      <w:r>
        <w:t xml:space="preserve">. </w:t>
      </w:r>
    </w:p>
    <w:p w14:paraId="3EE08429" w14:textId="1674BC8B" w:rsidR="006D45AF" w:rsidRDefault="00E94F76" w:rsidP="006D45AF">
      <w:pPr>
        <w:pStyle w:val="ListParagraph"/>
        <w:numPr>
          <w:ilvl w:val="0"/>
          <w:numId w:val="48"/>
        </w:numPr>
      </w:pPr>
      <w:r>
        <w:t xml:space="preserve">Deploying </w:t>
      </w:r>
      <w:r w:rsidR="006D45AF">
        <w:t>UDM and AUSF on every satellite seems to be not very practical for every UE’s subscription.</w:t>
      </w:r>
      <w:r>
        <w:t xml:space="preserve"> In fact having all NFs also is not very practical deployment choice.</w:t>
      </w:r>
    </w:p>
    <w:p w14:paraId="1771E38F" w14:textId="686A6B69" w:rsidR="00B1537A" w:rsidRDefault="00B1537A" w:rsidP="006D45AF">
      <w:pPr>
        <w:pStyle w:val="ListParagraph"/>
        <w:numPr>
          <w:ilvl w:val="0"/>
          <w:numId w:val="48"/>
        </w:numPr>
      </w:pPr>
      <w:r>
        <w:t>IOT devices triggering registration procedure so frequently is not practical because it will be detrimental to the power savings which they are designed to maintain.</w:t>
      </w:r>
    </w:p>
    <w:p w14:paraId="088A2D49" w14:textId="1A696E15" w:rsidR="00714C1B" w:rsidRPr="00714C1B" w:rsidRDefault="00714C1B" w:rsidP="00A360DE">
      <w:r w:rsidRPr="00714C1B">
        <w:t>This implies</w:t>
      </w:r>
      <w:r w:rsidR="001F1E90">
        <w:t xml:space="preserve"> solutions for this deployment </w:t>
      </w:r>
      <w:r w:rsidR="008651F4">
        <w:t xml:space="preserve">type </w:t>
      </w:r>
      <w:r w:rsidR="001F1E90">
        <w:t xml:space="preserve">will need distributed architecture for storing and </w:t>
      </w:r>
      <w:r w:rsidR="00B1537A">
        <w:t>maintaining the</w:t>
      </w:r>
      <w:r w:rsidR="001F1E90">
        <w:t xml:space="preserve"> UE context on</w:t>
      </w:r>
      <w:r w:rsidR="00A360DE">
        <w:t xml:space="preserve"> </w:t>
      </w:r>
      <w:r w:rsidR="001F1E90">
        <w:t>board the NFs of satellites</w:t>
      </w:r>
      <w:r w:rsidRPr="00714C1B">
        <w:t xml:space="preserve"> for </w:t>
      </w:r>
      <w:r w:rsidRPr="003A1985">
        <w:rPr>
          <w:b/>
        </w:rPr>
        <w:t>e.g. AMF/MME on board a satellite-1 should have same UE context as on AMF/MME on board the satellite-2</w:t>
      </w:r>
      <w:r w:rsidRPr="00714C1B">
        <w:t>.</w:t>
      </w:r>
    </w:p>
    <w:p w14:paraId="048196FB" w14:textId="61E22AD1" w:rsidR="005E33A0" w:rsidRDefault="003C13A8" w:rsidP="005E33A0">
      <w:pPr>
        <w:jc w:val="center"/>
        <w:rPr>
          <w:b/>
        </w:rPr>
      </w:pPr>
      <w:r>
        <w:rPr>
          <w:b/>
          <w:noProof/>
          <w:lang w:val="en-IN" w:eastAsia="en-IN"/>
        </w:rPr>
        <w:drawing>
          <wp:inline distT="0" distB="0" distL="0" distR="0" wp14:anchorId="32D511E0" wp14:editId="4DC043D9">
            <wp:extent cx="5070203" cy="26234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6947" cy="2632140"/>
                    </a:xfrm>
                    <a:prstGeom prst="rect">
                      <a:avLst/>
                    </a:prstGeom>
                    <a:noFill/>
                  </pic:spPr>
                </pic:pic>
              </a:graphicData>
            </a:graphic>
          </wp:inline>
        </w:drawing>
      </w:r>
    </w:p>
    <w:p w14:paraId="5A8771D8" w14:textId="33C4BA1F" w:rsidR="005E33A0" w:rsidRDefault="00815176" w:rsidP="005E33A0">
      <w:pPr>
        <w:jc w:val="center"/>
      </w:pPr>
      <w:r>
        <w:rPr>
          <w:noProof/>
          <w:lang w:val="en-IN" w:eastAsia="en-IN"/>
        </w:rPr>
        <w:drawing>
          <wp:inline distT="0" distB="0" distL="0" distR="0" wp14:anchorId="5C969A95" wp14:editId="64C4B7E1">
            <wp:extent cx="4984115" cy="23985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2882" cy="2407606"/>
                    </a:xfrm>
                    <a:prstGeom prst="rect">
                      <a:avLst/>
                    </a:prstGeom>
                    <a:noFill/>
                  </pic:spPr>
                </pic:pic>
              </a:graphicData>
            </a:graphic>
          </wp:inline>
        </w:drawing>
      </w:r>
    </w:p>
    <w:p w14:paraId="4A59164C" w14:textId="43C98D48" w:rsidR="006D45AF" w:rsidRPr="00A360DE" w:rsidRDefault="00E94F76" w:rsidP="00A360DE">
      <w:pPr>
        <w:rPr>
          <w:b/>
        </w:rPr>
      </w:pPr>
      <w:r w:rsidRPr="00E94F76">
        <w:rPr>
          <w:b/>
        </w:rPr>
        <w:lastRenderedPageBreak/>
        <w:t>Observation-</w:t>
      </w:r>
      <w:r w:rsidR="00A360DE">
        <w:rPr>
          <w:b/>
        </w:rPr>
        <w:t>3</w:t>
      </w:r>
      <w:r w:rsidRPr="00E94F76">
        <w:rPr>
          <w:b/>
        </w:rPr>
        <w:t xml:space="preserve">: </w:t>
      </w:r>
      <w:r>
        <w:rPr>
          <w:b/>
        </w:rPr>
        <w:t>To allow NFs on-boa</w:t>
      </w:r>
      <w:bookmarkStart w:id="0" w:name="_GoBack"/>
      <w:bookmarkEnd w:id="0"/>
      <w:r>
        <w:rPr>
          <w:b/>
        </w:rPr>
        <w:t>rd multiple satellites to serve same UE</w:t>
      </w:r>
      <w:r w:rsidR="00A360DE">
        <w:rPr>
          <w:b/>
        </w:rPr>
        <w:t>,</w:t>
      </w:r>
      <w:r>
        <w:rPr>
          <w:b/>
        </w:rPr>
        <w:t xml:space="preserve"> </w:t>
      </w:r>
      <w:r w:rsidR="00A360DE">
        <w:rPr>
          <w:b/>
        </w:rPr>
        <w:t>the</w:t>
      </w:r>
      <w:r>
        <w:rPr>
          <w:b/>
        </w:rPr>
        <w:t xml:space="preserve"> UE context </w:t>
      </w:r>
      <w:r w:rsidR="00A360DE">
        <w:rPr>
          <w:b/>
        </w:rPr>
        <w:t>have to be maintained as a distributed architecture</w:t>
      </w:r>
      <w:r>
        <w:rPr>
          <w:b/>
        </w:rPr>
        <w:t xml:space="preserve"> across NFs on-board this multiple satellites</w:t>
      </w:r>
      <w:r w:rsidRPr="00E94F76">
        <w:rPr>
          <w:b/>
        </w:rPr>
        <w:t>.</w:t>
      </w:r>
      <w:r>
        <w:rPr>
          <w:b/>
        </w:rPr>
        <w:t xml:space="preserve"> This will be </w:t>
      </w:r>
      <w:r w:rsidR="00A360DE">
        <w:rPr>
          <w:b/>
        </w:rPr>
        <w:t>difficult</w:t>
      </w:r>
      <w:r>
        <w:rPr>
          <w:b/>
        </w:rPr>
        <w:t xml:space="preserve"> architecture to </w:t>
      </w:r>
      <w:r w:rsidR="00026DC5">
        <w:rPr>
          <w:b/>
        </w:rPr>
        <w:t>solve</w:t>
      </w:r>
      <w:r>
        <w:rPr>
          <w:b/>
        </w:rPr>
        <w:t xml:space="preserve"> when compared to Option-1. </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7BC47ED0" w14:textId="0849D044" w:rsidR="00CE50C1" w:rsidRDefault="00B413C1" w:rsidP="00276289">
      <w:pPr>
        <w:rPr>
          <w:lang w:eastAsia="ko-KR"/>
        </w:rPr>
      </w:pPr>
      <w:r>
        <w:rPr>
          <w:lang w:eastAsia="ko-KR"/>
        </w:rPr>
        <w:t>Proposal:</w:t>
      </w:r>
    </w:p>
    <w:p w14:paraId="12C768A5" w14:textId="14AD39D5" w:rsidR="00B413C1" w:rsidRDefault="00B413C1" w:rsidP="00276289">
      <w:pPr>
        <w:rPr>
          <w:lang w:eastAsia="ko-KR"/>
        </w:rPr>
      </w:pPr>
      <w:r>
        <w:rPr>
          <w:lang w:eastAsia="ko-KR"/>
        </w:rPr>
        <w:t>Based on above observations:</w:t>
      </w:r>
    </w:p>
    <w:p w14:paraId="54906D54" w14:textId="25F82FE9" w:rsidR="00B413C1" w:rsidRDefault="00B413C1" w:rsidP="00B413C1">
      <w:pPr>
        <w:pStyle w:val="ListParagraph"/>
        <w:numPr>
          <w:ilvl w:val="0"/>
          <w:numId w:val="49"/>
        </w:numPr>
        <w:rPr>
          <w:lang w:eastAsia="ko-KR"/>
        </w:rPr>
      </w:pPr>
      <w:r>
        <w:rPr>
          <w:lang w:eastAsia="ko-KR"/>
        </w:rPr>
        <w:t xml:space="preserve">Source company </w:t>
      </w:r>
      <w:r w:rsidR="00714C1B">
        <w:rPr>
          <w:lang w:eastAsia="ko-KR"/>
        </w:rPr>
        <w:t>proposes</w:t>
      </w:r>
      <w:r>
        <w:rPr>
          <w:lang w:eastAsia="ko-KR"/>
        </w:rPr>
        <w:t xml:space="preserve"> </w:t>
      </w:r>
      <w:r w:rsidR="00021003">
        <w:rPr>
          <w:lang w:eastAsia="ko-KR"/>
        </w:rPr>
        <w:t>to discuss if</w:t>
      </w:r>
      <w:r>
        <w:rPr>
          <w:lang w:eastAsia="ko-KR"/>
        </w:rPr>
        <w:t xml:space="preserve"> Option-2 deployment</w:t>
      </w:r>
      <w:r w:rsidR="00021003">
        <w:rPr>
          <w:lang w:eastAsia="ko-KR"/>
        </w:rPr>
        <w:t xml:space="preserve"> </w:t>
      </w:r>
      <w:r w:rsidR="00714C1B">
        <w:rPr>
          <w:lang w:eastAsia="ko-KR"/>
        </w:rPr>
        <w:t>choice</w:t>
      </w:r>
      <w:r>
        <w:rPr>
          <w:lang w:eastAsia="ko-KR"/>
        </w:rPr>
        <w:t xml:space="preserve"> </w:t>
      </w:r>
      <w:r w:rsidR="00714C1B">
        <w:rPr>
          <w:lang w:eastAsia="ko-KR"/>
        </w:rPr>
        <w:t>is required</w:t>
      </w:r>
      <w:r>
        <w:rPr>
          <w:lang w:eastAsia="ko-KR"/>
        </w:rPr>
        <w:t xml:space="preserve"> </w:t>
      </w:r>
      <w:r w:rsidR="00021003">
        <w:rPr>
          <w:lang w:eastAsia="ko-KR"/>
        </w:rPr>
        <w:t>while drafting respective key issue</w:t>
      </w:r>
      <w:r w:rsidR="007F17A3">
        <w:rPr>
          <w:lang w:eastAsia="ko-KR"/>
        </w:rPr>
        <w:t xml:space="preserve"> – irrespective of what solution the issue can be resolved with</w:t>
      </w:r>
      <w:r>
        <w:rPr>
          <w:lang w:eastAsia="ko-KR"/>
        </w:rPr>
        <w:t xml:space="preserve">. </w:t>
      </w:r>
    </w:p>
    <w:p w14:paraId="062838D1" w14:textId="4F8749B1" w:rsidR="00021003" w:rsidRDefault="00021003" w:rsidP="00B413C1">
      <w:pPr>
        <w:pStyle w:val="ListParagraph"/>
        <w:numPr>
          <w:ilvl w:val="0"/>
          <w:numId w:val="49"/>
        </w:numPr>
        <w:rPr>
          <w:lang w:eastAsia="ko-KR"/>
        </w:rPr>
      </w:pPr>
      <w:r>
        <w:rPr>
          <w:lang w:eastAsia="ko-KR"/>
        </w:rPr>
        <w:t>If option-2 is not favourite of satellite community then SA2 should consider dropping it.</w:t>
      </w:r>
    </w:p>
    <w:p w14:paraId="49252073" w14:textId="544F6140" w:rsidR="00021003" w:rsidRDefault="00021003" w:rsidP="00B413C1">
      <w:pPr>
        <w:pStyle w:val="ListParagraph"/>
        <w:numPr>
          <w:ilvl w:val="0"/>
          <w:numId w:val="49"/>
        </w:numPr>
        <w:rPr>
          <w:lang w:eastAsia="ko-KR"/>
        </w:rPr>
      </w:pPr>
      <w:r>
        <w:rPr>
          <w:lang w:eastAsia="ko-KR"/>
        </w:rPr>
        <w:t xml:space="preserve">If option-2 is favourite of satellite community then SA2 should start </w:t>
      </w:r>
      <w:r w:rsidR="000C26BA">
        <w:rPr>
          <w:lang w:eastAsia="ko-KR"/>
        </w:rPr>
        <w:t xml:space="preserve">the study </w:t>
      </w:r>
      <w:r>
        <w:rPr>
          <w:lang w:eastAsia="ko-KR"/>
        </w:rPr>
        <w:t xml:space="preserve">with the view that solutions to this option will be complex in nature and it will make little sense to compare with solutions of option-1 at the end of the study phase and we should </w:t>
      </w:r>
      <w:r w:rsidR="00714C1B">
        <w:rPr>
          <w:lang w:eastAsia="ko-KR"/>
        </w:rPr>
        <w:t>try</w:t>
      </w:r>
      <w:r w:rsidR="000C26BA">
        <w:rPr>
          <w:lang w:eastAsia="ko-KR"/>
        </w:rPr>
        <w:t xml:space="preserve"> to solve them independently</w:t>
      </w:r>
      <w:r>
        <w:rPr>
          <w:lang w:eastAsia="ko-KR"/>
        </w:rPr>
        <w:t>.</w:t>
      </w:r>
      <w:r w:rsidR="007F3226">
        <w:rPr>
          <w:lang w:eastAsia="ko-KR"/>
        </w:rPr>
        <w:t xml:space="preserve"> i.e. Option-1 and Option-2 will co-exist.</w:t>
      </w:r>
    </w:p>
    <w:p w14:paraId="42C31B24" w14:textId="638192E6" w:rsidR="00B413C1" w:rsidRPr="00CE50C1" w:rsidRDefault="000C26BA" w:rsidP="000C26BA">
      <w:pPr>
        <w:rPr>
          <w:lang w:eastAsia="ko-KR"/>
        </w:rPr>
      </w:pPr>
      <w:r>
        <w:rPr>
          <w:lang w:eastAsia="ko-KR"/>
        </w:rPr>
        <w:t xml:space="preserve">In summary, we propose to discuss if Option-2 is required, </w:t>
      </w:r>
      <w:r w:rsidR="00714C1B">
        <w:rPr>
          <w:lang w:eastAsia="ko-KR"/>
        </w:rPr>
        <w:t xml:space="preserve">and avoid making this decision at last stage of study when sufficient time, resources and energy is already spent ;-) </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5240D" w14:textId="77777777" w:rsidR="00881887" w:rsidRDefault="00881887">
      <w:r>
        <w:separator/>
      </w:r>
    </w:p>
  </w:endnote>
  <w:endnote w:type="continuationSeparator" w:id="0">
    <w:p w14:paraId="79C9ED7C" w14:textId="77777777" w:rsidR="00881887" w:rsidRDefault="00881887">
      <w:r>
        <w:continuationSeparator/>
      </w:r>
    </w:p>
  </w:endnote>
  <w:endnote w:type="continuationNotice" w:id="1">
    <w:p w14:paraId="2AD00ED5" w14:textId="77777777" w:rsidR="00881887" w:rsidRDefault="00881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42B2B" w14:textId="77777777" w:rsidR="00881887" w:rsidRDefault="00881887">
      <w:r>
        <w:separator/>
      </w:r>
    </w:p>
  </w:footnote>
  <w:footnote w:type="continuationSeparator" w:id="0">
    <w:p w14:paraId="6665BC88" w14:textId="77777777" w:rsidR="00881887" w:rsidRDefault="00881887">
      <w:r>
        <w:continuationSeparator/>
      </w:r>
    </w:p>
  </w:footnote>
  <w:footnote w:type="continuationNotice" w:id="1">
    <w:p w14:paraId="2DED0726" w14:textId="77777777" w:rsidR="00881887" w:rsidRDefault="00881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278148C5"/>
    <w:multiLevelType w:val="hybridMultilevel"/>
    <w:tmpl w:val="BD66A94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4568A9"/>
    <w:multiLevelType w:val="hybridMultilevel"/>
    <w:tmpl w:val="1AD483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442318C"/>
    <w:multiLevelType w:val="hybridMultilevel"/>
    <w:tmpl w:val="8F1245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3" w15:restartNumberingAfterBreak="0">
    <w:nsid w:val="5D804B53"/>
    <w:multiLevelType w:val="hybridMultilevel"/>
    <w:tmpl w:val="D9FE5D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40"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1"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8"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9"/>
  </w:num>
  <w:num w:numId="6">
    <w:abstractNumId w:val="13"/>
  </w:num>
  <w:num w:numId="7">
    <w:abstractNumId w:val="45"/>
  </w:num>
  <w:num w:numId="8">
    <w:abstractNumId w:val="38"/>
  </w:num>
  <w:num w:numId="9">
    <w:abstractNumId w:val="35"/>
  </w:num>
  <w:num w:numId="10">
    <w:abstractNumId w:val="44"/>
  </w:num>
  <w:num w:numId="11">
    <w:abstractNumId w:val="37"/>
  </w:num>
  <w:num w:numId="12">
    <w:abstractNumId w:val="34"/>
  </w:num>
  <w:num w:numId="13">
    <w:abstractNumId w:val="20"/>
  </w:num>
  <w:num w:numId="14">
    <w:abstractNumId w:val="21"/>
  </w:num>
  <w:num w:numId="15">
    <w:abstractNumId w:val="28"/>
  </w:num>
  <w:num w:numId="16">
    <w:abstractNumId w:val="32"/>
  </w:num>
  <w:num w:numId="17">
    <w:abstractNumId w:val="42"/>
  </w:num>
  <w:num w:numId="18">
    <w:abstractNumId w:val="3"/>
  </w:num>
  <w:num w:numId="19">
    <w:abstractNumId w:val="40"/>
  </w:num>
  <w:num w:numId="20">
    <w:abstractNumId w:val="22"/>
  </w:num>
  <w:num w:numId="21">
    <w:abstractNumId w:val="36"/>
  </w:num>
  <w:num w:numId="22">
    <w:abstractNumId w:val="29"/>
  </w:num>
  <w:num w:numId="23">
    <w:abstractNumId w:val="8"/>
  </w:num>
  <w:num w:numId="24">
    <w:abstractNumId w:val="2"/>
  </w:num>
  <w:num w:numId="25">
    <w:abstractNumId w:val="43"/>
  </w:num>
  <w:num w:numId="26">
    <w:abstractNumId w:val="16"/>
  </w:num>
  <w:num w:numId="27">
    <w:abstractNumId w:val="30"/>
  </w:num>
  <w:num w:numId="28">
    <w:abstractNumId w:val="31"/>
  </w:num>
  <w:num w:numId="29">
    <w:abstractNumId w:val="18"/>
  </w:num>
  <w:num w:numId="30">
    <w:abstractNumId w:val="11"/>
  </w:num>
  <w:num w:numId="31">
    <w:abstractNumId w:val="5"/>
  </w:num>
  <w:num w:numId="32">
    <w:abstractNumId w:val="24"/>
  </w:num>
  <w:num w:numId="33">
    <w:abstractNumId w:val="41"/>
  </w:num>
  <w:num w:numId="34">
    <w:abstractNumId w:val="47"/>
  </w:num>
  <w:num w:numId="35">
    <w:abstractNumId w:val="7"/>
  </w:num>
  <w:num w:numId="36">
    <w:abstractNumId w:val="27"/>
  </w:num>
  <w:num w:numId="37">
    <w:abstractNumId w:val="48"/>
  </w:num>
  <w:num w:numId="38">
    <w:abstractNumId w:val="14"/>
  </w:num>
  <w:num w:numId="39">
    <w:abstractNumId w:val="10"/>
  </w:num>
  <w:num w:numId="40">
    <w:abstractNumId w:val="46"/>
  </w:num>
  <w:num w:numId="41">
    <w:abstractNumId w:val="12"/>
  </w:num>
  <w:num w:numId="42">
    <w:abstractNumId w:val="6"/>
  </w:num>
  <w:num w:numId="43">
    <w:abstractNumId w:val="25"/>
  </w:num>
  <w:num w:numId="44">
    <w:abstractNumId w:val="23"/>
  </w:num>
  <w:num w:numId="45">
    <w:abstractNumId w:val="39"/>
  </w:num>
  <w:num w:numId="46">
    <w:abstractNumId w:val="4"/>
  </w:num>
  <w:num w:numId="47">
    <w:abstractNumId w:val="26"/>
  </w:num>
  <w:num w:numId="48">
    <w:abstractNumId w:val="15"/>
  </w:num>
  <w:num w:numId="49">
    <w:abstractNumId w:val="19"/>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1003"/>
    <w:rsid w:val="00023FE1"/>
    <w:rsid w:val="00025568"/>
    <w:rsid w:val="00025CAA"/>
    <w:rsid w:val="00026163"/>
    <w:rsid w:val="00026DC5"/>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DC9"/>
    <w:rsid w:val="000C2004"/>
    <w:rsid w:val="000C26BA"/>
    <w:rsid w:val="000C29DF"/>
    <w:rsid w:val="000C2DB1"/>
    <w:rsid w:val="000C3EEF"/>
    <w:rsid w:val="000C4661"/>
    <w:rsid w:val="000C522B"/>
    <w:rsid w:val="000C7A74"/>
    <w:rsid w:val="000D1B64"/>
    <w:rsid w:val="000D1C3C"/>
    <w:rsid w:val="000D2C9E"/>
    <w:rsid w:val="000D58AB"/>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1985"/>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7320A"/>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3A0"/>
    <w:rsid w:val="005E43F5"/>
    <w:rsid w:val="005E5864"/>
    <w:rsid w:val="005E5FBA"/>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4C1B"/>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17A3"/>
    <w:rsid w:val="007F3226"/>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51F4"/>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1887"/>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6752B"/>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60DE"/>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44F"/>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37A"/>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E4B"/>
    <w:rsid w:val="00BB63F6"/>
    <w:rsid w:val="00BB73A9"/>
    <w:rsid w:val="00BC0203"/>
    <w:rsid w:val="00BC035B"/>
    <w:rsid w:val="00BC054C"/>
    <w:rsid w:val="00BC3555"/>
    <w:rsid w:val="00BC4D38"/>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F76"/>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438"/>
    <w:rsid w:val="00F75E26"/>
    <w:rsid w:val="00F76F8F"/>
    <w:rsid w:val="00F8497A"/>
    <w:rsid w:val="00F85AE7"/>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00C1"/>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5D4BAA1-13C2-4269-B7B0-CE1F82F9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258</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cp:lastModifiedBy>
  <cp:revision>48</cp:revision>
  <dcterms:created xsi:type="dcterms:W3CDTF">2022-09-29T12:03:00Z</dcterms:created>
  <dcterms:modified xsi:type="dcterms:W3CDTF">2023-09-29T21:14:00Z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