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62571BE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157</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S2-230</w:t>
        </w:r>
      </w:fldSimple>
      <w:r w:rsidR="00491D96">
        <w:rPr>
          <w:b/>
          <w:i/>
          <w:noProof/>
          <w:sz w:val="28"/>
        </w:rPr>
        <w:t>8185</w:t>
      </w:r>
    </w:p>
    <w:p w14:paraId="7CB45193" w14:textId="693048FD" w:rsidR="001E41F3" w:rsidRDefault="00D02829" w:rsidP="005E2C44">
      <w:pPr>
        <w:pStyle w:val="CRCoverPage"/>
        <w:outlineLvl w:val="0"/>
        <w:rPr>
          <w:b/>
          <w:noProof/>
          <w:sz w:val="24"/>
        </w:rPr>
      </w:pPr>
      <w:fldSimple w:instr=" DOCPROPERTY  Location  \* MERGEFORMAT ">
        <w:r w:rsidR="003609EF" w:rsidRPr="00BA51D9">
          <w:rPr>
            <w:b/>
            <w:noProof/>
            <w:sz w:val="24"/>
          </w:rPr>
          <w:t>Berlin</w:t>
        </w:r>
      </w:fldSimple>
      <w:r w:rsidR="001E41F3">
        <w:rPr>
          <w:b/>
          <w:noProof/>
          <w:sz w:val="24"/>
        </w:rPr>
        <w:t xml:space="preserve">, </w:t>
      </w:r>
      <w:fldSimple w:instr=" DOCPROPERTY  Country  \* MERGEFORMAT ">
        <w:r w:rsidR="003609EF" w:rsidRPr="00BA51D9">
          <w:rPr>
            <w:b/>
            <w:noProof/>
            <w:sz w:val="24"/>
          </w:rPr>
          <w:t>Germany</w:t>
        </w:r>
      </w:fldSimple>
      <w:r w:rsidR="001E41F3">
        <w:rPr>
          <w:b/>
          <w:noProof/>
          <w:sz w:val="24"/>
        </w:rPr>
        <w:t xml:space="preserve">, </w:t>
      </w:r>
      <w:fldSimple w:instr=" DOCPROPERTY  StartDate  \* MERGEFORMAT ">
        <w:r w:rsidR="003609EF" w:rsidRPr="00BA51D9">
          <w:rPr>
            <w:b/>
            <w:noProof/>
            <w:sz w:val="24"/>
          </w:rPr>
          <w:t>22nd May 2023</w:t>
        </w:r>
      </w:fldSimple>
      <w:r w:rsidR="00547111">
        <w:rPr>
          <w:b/>
          <w:noProof/>
          <w:sz w:val="24"/>
        </w:rPr>
        <w:t xml:space="preserve"> - </w:t>
      </w:r>
      <w:fldSimple w:instr=" DOCPROPERTY  EndDate  \* MERGEFORMAT ">
        <w:r w:rsidR="003609EF" w:rsidRPr="00BA51D9">
          <w:rPr>
            <w:b/>
            <w:noProof/>
            <w:sz w:val="24"/>
          </w:rPr>
          <w:t>26th May 2023</w:t>
        </w:r>
      </w:fldSimple>
      <w:r w:rsidR="002405E3">
        <w:rPr>
          <w:b/>
          <w:noProof/>
          <w:sz w:val="24"/>
        </w:rPr>
        <w:t xml:space="preserve">                           </w:t>
      </w:r>
      <w:r w:rsidR="002405E3" w:rsidRPr="00677AAC">
        <w:rPr>
          <w:rFonts w:cs="Arial"/>
          <w:b/>
          <w:bCs/>
          <w:color w:val="0000FF"/>
        </w:rPr>
        <w:t>(revision of S2-230</w:t>
      </w:r>
      <w:r w:rsidR="002405E3">
        <w:rPr>
          <w:rFonts w:cs="Arial"/>
          <w:b/>
          <w:bCs/>
          <w:color w:val="0000FF"/>
        </w:rPr>
        <w:t>6467</w:t>
      </w:r>
      <w:r w:rsidR="002405E3" w:rsidRPr="00677AAC">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02829" w:rsidP="00E13F3D">
            <w:pPr>
              <w:pStyle w:val="CRCoverPage"/>
              <w:spacing w:after="0"/>
              <w:jc w:val="right"/>
              <w:rPr>
                <w:b/>
                <w:noProof/>
                <w:sz w:val="28"/>
              </w:rPr>
            </w:pPr>
            <w:fldSimple w:instr=" DOCPROPERTY  Spec#  \* MERGEFORMAT ">
              <w:r w:rsidR="00E13F3D" w:rsidRPr="00410371">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02829" w:rsidP="00547111">
            <w:pPr>
              <w:pStyle w:val="CRCoverPage"/>
              <w:spacing w:after="0"/>
              <w:rPr>
                <w:noProof/>
              </w:rPr>
            </w:pPr>
            <w:fldSimple w:instr=" DOCPROPERTY  Cr#  \* MERGEFORMAT ">
              <w:r w:rsidR="00E13F3D" w:rsidRPr="00410371">
                <w:rPr>
                  <w:b/>
                  <w:noProof/>
                  <w:sz w:val="28"/>
                </w:rPr>
                <w:t>4587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5B32D0" w:rsidR="001E41F3" w:rsidRPr="00410371" w:rsidRDefault="002405E3"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02829">
            <w:pPr>
              <w:pStyle w:val="CRCoverPage"/>
              <w:spacing w:after="0"/>
              <w:jc w:val="center"/>
              <w:rPr>
                <w:noProof/>
                <w:sz w:val="28"/>
              </w:rPr>
            </w:pPr>
            <w:fldSimple w:instr=" DOCPROPERTY  Version  \* MERGEFORMAT ">
              <w:r w:rsidR="00E13F3D" w:rsidRPr="0041037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D7F1B98" w:rsidR="00F25D98" w:rsidRDefault="00DA0532" w:rsidP="001E41F3">
            <w:pPr>
              <w:pStyle w:val="CRCoverPage"/>
              <w:spacing w:after="0"/>
              <w:jc w:val="center"/>
              <w:rPr>
                <w:b/>
                <w:caps/>
                <w:noProof/>
              </w:rPr>
            </w:pPr>
            <w:r w:rsidRPr="00DA0532">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D9A752" w:rsidR="00F25D98" w:rsidRDefault="00B80E6C" w:rsidP="001E41F3">
            <w:pPr>
              <w:pStyle w:val="CRCoverPage"/>
              <w:spacing w:after="0"/>
              <w:jc w:val="center"/>
              <w:rPr>
                <w:b/>
                <w:bCs/>
                <w:caps/>
                <w:noProof/>
              </w:rPr>
            </w:pPr>
            <w:r w:rsidRPr="00564FDC">
              <w:rPr>
                <w:b/>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02829">
            <w:pPr>
              <w:pStyle w:val="CRCoverPage"/>
              <w:spacing w:after="0"/>
              <w:ind w:left="100"/>
              <w:rPr>
                <w:noProof/>
              </w:rPr>
            </w:pPr>
            <w:fldSimple w:instr=" DOCPROPERTY  CrTitle  \* MERGEFORMAT ">
              <w:r w:rsidR="002640DD">
                <w:t>Clarification on the usage of TSCAI for XRM services</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D10D134" w:rsidR="001E41F3" w:rsidRDefault="006E0253">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r w:rsidR="0085217A">
              <w:rPr>
                <w:noProof/>
              </w:rPr>
              <w:t>, Nokia, Nok</w:t>
            </w:r>
            <w:r w:rsidR="003A53C7">
              <w:rPr>
                <w:noProof/>
              </w:rPr>
              <w:t>ia</w:t>
            </w:r>
            <w:r w:rsidR="0085217A">
              <w:rPr>
                <w:noProof/>
              </w:rPr>
              <w:t xml:space="preserve">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07AB48" w:rsidR="001E41F3" w:rsidRDefault="000F49FB" w:rsidP="00547111">
            <w:pPr>
              <w:pStyle w:val="CRCoverPage"/>
              <w:spacing w:after="0"/>
              <w:ind w:left="100"/>
              <w:rPr>
                <w:noProof/>
              </w:rPr>
            </w:pPr>
            <w:r>
              <w:t>SA2</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02829">
            <w:pPr>
              <w:pStyle w:val="CRCoverPage"/>
              <w:spacing w:after="0"/>
              <w:ind w:left="100"/>
              <w:rPr>
                <w:noProof/>
              </w:rPr>
            </w:pPr>
            <w:fldSimple w:instr=" DOCPROPERTY  RelatedWis  \* MERGEFORMAT ">
              <w:r w:rsidR="00E13F3D">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02829">
            <w:pPr>
              <w:pStyle w:val="CRCoverPage"/>
              <w:spacing w:after="0"/>
              <w:ind w:left="100"/>
              <w:rPr>
                <w:noProof/>
              </w:rPr>
            </w:pPr>
            <w:fldSimple w:instr=" DOCPROPERTY  ResDate  \* MERGEFORMAT ">
              <w:r w:rsidR="00D24991">
                <w:rPr>
                  <w:noProof/>
                </w:rPr>
                <w:t>2023-05-11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02829"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02829">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66A69" w14:textId="77777777" w:rsidR="000F49FB" w:rsidRDefault="000F49FB" w:rsidP="000F49FB">
            <w:pPr>
              <w:pStyle w:val="af1"/>
              <w:spacing w:before="60" w:after="0"/>
              <w:rPr>
                <w:rFonts w:ascii="Arial" w:hAnsi="Arial" w:cs="Arial"/>
              </w:rPr>
            </w:pPr>
            <w:r>
              <w:rPr>
                <w:rFonts w:ascii="Arial" w:hAnsi="Arial" w:cs="Arial"/>
                <w:lang w:val="en-US"/>
              </w:rPr>
              <w:t xml:space="preserve">As descried in the </w:t>
            </w:r>
            <w:r w:rsidRPr="00A6656D">
              <w:rPr>
                <w:rFonts w:ascii="Arial" w:hAnsi="Arial" w:cs="Arial"/>
                <w:lang w:val="en-US"/>
              </w:rPr>
              <w:t xml:space="preserve">LS on </w:t>
            </w:r>
            <w:r>
              <w:rPr>
                <w:rFonts w:ascii="Arial" w:hAnsi="Arial" w:cs="Arial"/>
                <w:lang w:val="en-US"/>
              </w:rPr>
              <w:t>TSCAI for XR</w:t>
            </w:r>
            <w:r w:rsidRPr="00A6656D">
              <w:rPr>
                <w:rFonts w:ascii="Arial" w:hAnsi="Arial" w:cs="Arial"/>
                <w:lang w:val="en-US"/>
              </w:rPr>
              <w:t xml:space="preserve"> (R2-2304569), </w:t>
            </w:r>
            <w:r w:rsidRPr="00A6656D">
              <w:rPr>
                <w:rFonts w:ascii="Arial" w:hAnsi="Arial" w:cs="Arial"/>
              </w:rPr>
              <w:t>RAN2 has discussed the provision of assistance information from CN to RAN for XR services and is wondering whether TSCAI can be provided for both GBR and non-GBR QoS flows in case of XR.</w:t>
            </w:r>
            <w:r>
              <w:rPr>
                <w:rFonts w:ascii="Arial" w:hAnsi="Arial" w:cs="Arial"/>
              </w:rPr>
              <w:t xml:space="preserve"> </w:t>
            </w:r>
          </w:p>
          <w:p w14:paraId="708AA7DE" w14:textId="4F4C6A87" w:rsidR="001E41F3" w:rsidRPr="000F49FB" w:rsidRDefault="000F49FB" w:rsidP="000F49FB">
            <w:pPr>
              <w:pStyle w:val="af1"/>
              <w:spacing w:before="60" w:after="0"/>
              <w:rPr>
                <w:rFonts w:ascii="Arial" w:hAnsi="Arial" w:cs="Arial"/>
              </w:rPr>
            </w:pPr>
            <w:r>
              <w:rPr>
                <w:rFonts w:ascii="Arial" w:hAnsi="Arial" w:cs="Arial"/>
              </w:rPr>
              <w:t xml:space="preserve">In order to address the issue raised by RAN2, it is proposed to add a sentence to clarify that </w:t>
            </w:r>
            <w:r w:rsidRPr="00A6656D">
              <w:rPr>
                <w:rFonts w:ascii="Arial" w:hAnsi="Arial" w:cs="Arial"/>
              </w:rPr>
              <w:t>TSCAI can be provided for both GBR and non-GBR QoS flows in case of XRM</w:t>
            </w:r>
            <w:r>
              <w:rPr>
                <w:rFonts w:ascii="Arial" w:hAnsi="Arial" w:cs="Arial"/>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FC5998" w:rsidR="001E41F3" w:rsidRDefault="000F49FB" w:rsidP="000F49FB">
            <w:pPr>
              <w:pStyle w:val="CRCoverPage"/>
              <w:spacing w:after="0"/>
              <w:rPr>
                <w:noProof/>
              </w:rPr>
            </w:pPr>
            <w:r>
              <w:rPr>
                <w:rFonts w:cs="Arial"/>
              </w:rPr>
              <w:t xml:space="preserve">Clarify that </w:t>
            </w:r>
            <w:bookmarkStart w:id="1" w:name="_Hlk135670649"/>
            <w:r w:rsidRPr="006570E3">
              <w:rPr>
                <w:rFonts w:cs="Arial"/>
              </w:rPr>
              <w:t>TSCAI can be provided for both GBR and non-GBR QoS flows in case of XR</w:t>
            </w:r>
            <w:r>
              <w:rPr>
                <w:rFonts w:cs="Arial"/>
              </w:rPr>
              <w:t>M.</w:t>
            </w:r>
            <w:bookmarkEnd w:id="1"/>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0C4D85" w:rsidR="001E41F3" w:rsidRDefault="000F49FB" w:rsidP="000F49FB">
            <w:pPr>
              <w:pStyle w:val="CRCoverPage"/>
              <w:spacing w:after="0"/>
              <w:rPr>
                <w:noProof/>
              </w:rPr>
            </w:pPr>
            <w:r w:rsidRPr="000F49FB">
              <w:rPr>
                <w:noProof/>
              </w:rPr>
              <w:t>Whether TSCAI can be provided for both GBR and non-GBR QoS flows in case of XR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AD063BF" w:rsidR="001E41F3" w:rsidRDefault="000F49FB" w:rsidP="000F49FB">
            <w:pPr>
              <w:pStyle w:val="CRCoverPage"/>
              <w:spacing w:after="0"/>
              <w:rPr>
                <w:noProof/>
              </w:rPr>
            </w:pPr>
            <w:r>
              <w:rPr>
                <w:noProof/>
              </w:rPr>
              <w:t>5.</w:t>
            </w:r>
            <w:r w:rsidR="00943222">
              <w:rPr>
                <w:noProof/>
              </w:rPr>
              <w:t>27</w:t>
            </w:r>
            <w:r>
              <w:rPr>
                <w:noProof/>
              </w:rPr>
              <w:t>.</w:t>
            </w:r>
            <w:r w:rsidR="00943222">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9FAD1E8" w:rsidR="001E41F3" w:rsidRDefault="00003387">
            <w:pPr>
              <w:pStyle w:val="CRCoverPage"/>
              <w:spacing w:after="0"/>
              <w:jc w:val="center"/>
              <w:rPr>
                <w:b/>
                <w:caps/>
                <w:noProof/>
              </w:rPr>
            </w:pPr>
            <w:r w:rsidRPr="0000338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7286EA" w:rsidR="001E41F3" w:rsidRDefault="00003387">
            <w:pPr>
              <w:pStyle w:val="CRCoverPage"/>
              <w:spacing w:after="0"/>
              <w:jc w:val="center"/>
              <w:rPr>
                <w:b/>
                <w:caps/>
                <w:noProof/>
              </w:rPr>
            </w:pPr>
            <w:r w:rsidRPr="0000338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813CD4" w:rsidR="001E41F3" w:rsidRDefault="00003387">
            <w:pPr>
              <w:pStyle w:val="CRCoverPage"/>
              <w:spacing w:after="0"/>
              <w:jc w:val="center"/>
              <w:rPr>
                <w:b/>
                <w:caps/>
                <w:noProof/>
              </w:rPr>
            </w:pPr>
            <w:r w:rsidRPr="00003387">
              <w:rPr>
                <w:b/>
                <w:caps/>
                <w:noProof/>
              </w:rPr>
              <w:t>X</w:t>
            </w:r>
            <w:bookmarkStart w:id="2" w:name="_GoBack"/>
            <w:bookmarkEnd w:id="2"/>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3645CE6" w14:textId="14A3DA35" w:rsidR="001E41F3" w:rsidRDefault="001E41F3">
      <w:pPr>
        <w:rPr>
          <w:noProof/>
        </w:rPr>
      </w:pPr>
    </w:p>
    <w:p w14:paraId="6CF6EF14" w14:textId="3EC73706" w:rsidR="003A53C7" w:rsidRDefault="003A53C7">
      <w:pPr>
        <w:rPr>
          <w:noProof/>
        </w:rPr>
      </w:pPr>
    </w:p>
    <w:p w14:paraId="7B96AF54" w14:textId="60DEAACE" w:rsidR="003A53C7" w:rsidRDefault="003A53C7">
      <w:pPr>
        <w:rPr>
          <w:noProof/>
        </w:rPr>
      </w:pPr>
    </w:p>
    <w:p w14:paraId="594B96FF" w14:textId="23C335A0" w:rsidR="003A53C7" w:rsidRDefault="003A53C7">
      <w:pPr>
        <w:rPr>
          <w:noProof/>
        </w:rPr>
      </w:pPr>
    </w:p>
    <w:p w14:paraId="12ED126B" w14:textId="77777777" w:rsidR="003A53C7" w:rsidRDefault="003A53C7">
      <w:pPr>
        <w:rPr>
          <w:noProof/>
        </w:rPr>
      </w:pPr>
    </w:p>
    <w:p w14:paraId="6DE3E949" w14:textId="77777777" w:rsidR="000F49FB" w:rsidRPr="000F49FB" w:rsidRDefault="000F49FB" w:rsidP="000F49F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bookmarkStart w:id="3" w:name="_Toc20203939"/>
      <w:bookmarkStart w:id="4" w:name="_Toc27894624"/>
      <w:bookmarkStart w:id="5" w:name="_Toc36191691"/>
      <w:bookmarkStart w:id="6" w:name="_Toc45192777"/>
      <w:bookmarkStart w:id="7" w:name="_Toc47592409"/>
      <w:bookmarkStart w:id="8" w:name="_Toc51834490"/>
      <w:bookmarkStart w:id="9" w:name="_Toc83303923"/>
      <w:bookmarkStart w:id="10" w:name="_Hlk135671264"/>
      <w:r w:rsidRPr="000F49FB">
        <w:rPr>
          <w:rFonts w:ascii="Arial" w:eastAsiaTheme="majorEastAsia" w:hAnsi="Arial" w:cs="Arial"/>
          <w:b/>
          <w:bCs/>
          <w:color w:val="FF0000"/>
          <w:sz w:val="28"/>
          <w:szCs w:val="28"/>
          <w:lang w:val="en-US"/>
        </w:rPr>
        <w:lastRenderedPageBreak/>
        <w:t xml:space="preserve">* * * Start of Changes * * * </w:t>
      </w:r>
      <w:bookmarkEnd w:id="3"/>
      <w:bookmarkEnd w:id="4"/>
      <w:bookmarkEnd w:id="5"/>
      <w:bookmarkEnd w:id="6"/>
      <w:bookmarkEnd w:id="7"/>
      <w:bookmarkEnd w:id="8"/>
      <w:bookmarkEnd w:id="9"/>
      <w:r w:rsidRPr="000F49FB">
        <w:rPr>
          <w:rFonts w:ascii="Arial" w:eastAsiaTheme="majorEastAsia" w:hAnsi="Arial" w:cs="Arial"/>
          <w:b/>
          <w:bCs/>
          <w:color w:val="FF0000"/>
          <w:sz w:val="28"/>
          <w:szCs w:val="28"/>
          <w:lang w:val="en-US"/>
        </w:rPr>
        <w:t xml:space="preserve"> </w:t>
      </w:r>
    </w:p>
    <w:p w14:paraId="0040AF78" w14:textId="77777777" w:rsidR="009F0A1B" w:rsidRPr="001B7C50" w:rsidRDefault="009F0A1B" w:rsidP="009F0A1B">
      <w:pPr>
        <w:pStyle w:val="3"/>
      </w:pPr>
      <w:bookmarkStart w:id="11" w:name="_Toc20150066"/>
      <w:bookmarkStart w:id="12" w:name="_Toc27846865"/>
      <w:bookmarkStart w:id="13" w:name="_Toc36187996"/>
      <w:bookmarkStart w:id="14" w:name="_Toc45183900"/>
      <w:bookmarkStart w:id="15" w:name="_Toc47342742"/>
      <w:bookmarkStart w:id="16" w:name="_Toc51769443"/>
      <w:bookmarkStart w:id="17" w:name="_Toc122440573"/>
      <w:bookmarkEnd w:id="10"/>
      <w:r w:rsidRPr="001B7C50">
        <w:t>5.27.2</w:t>
      </w:r>
      <w:r w:rsidRPr="001B7C50">
        <w:tab/>
        <w:t>TSC Assistance Information (TSCAI)</w:t>
      </w:r>
      <w:bookmarkEnd w:id="11"/>
      <w:bookmarkEnd w:id="12"/>
      <w:bookmarkEnd w:id="13"/>
      <w:bookmarkEnd w:id="14"/>
      <w:bookmarkEnd w:id="15"/>
      <w:bookmarkEnd w:id="16"/>
      <w:r w:rsidRPr="001B7C50">
        <w:t xml:space="preserve"> and TSC Assistance Container (TSCAC)</w:t>
      </w:r>
      <w:bookmarkEnd w:id="17"/>
    </w:p>
    <w:p w14:paraId="4C9832DC" w14:textId="77777777" w:rsidR="009F0A1B" w:rsidRPr="001B7C50" w:rsidRDefault="009F0A1B" w:rsidP="009F0A1B">
      <w:pPr>
        <w:pStyle w:val="4"/>
      </w:pPr>
      <w:bookmarkStart w:id="18" w:name="_Toc122440574"/>
      <w:r w:rsidRPr="001B7C50">
        <w:t>5.27.2.1</w:t>
      </w:r>
      <w:r w:rsidRPr="001B7C50">
        <w:tab/>
        <w:t>General</w:t>
      </w:r>
      <w:bookmarkEnd w:id="18"/>
    </w:p>
    <w:p w14:paraId="05E3F878" w14:textId="121214EA" w:rsidR="009F0A1B" w:rsidRPr="001B7C50" w:rsidRDefault="009F0A1B" w:rsidP="009F0A1B">
      <w:r w:rsidRPr="001B7C50">
        <w:t>TSC Assistance Information (TSCAI) is defined in Table 5.27.2-1 and describes TSC traffic characteristics for use in the 5G System. TSCAI may be used by the 5G-AN, if provided by SMF. The knowledge of TSC traffic pattern is useful for 5G-AN as it allows more efficiently scheduling of QoS Flows that have a periodic, deterministic traffic characteristic either via Configured Grants, Semi-Persistent Scheduling or with Dynamic Grants.</w:t>
      </w:r>
      <w:ins w:id="19" w:author="OPPO-11" w:date="2023-05-22T17:57:00Z">
        <w:r w:rsidRPr="009F0A1B">
          <w:t xml:space="preserve"> </w:t>
        </w:r>
      </w:ins>
      <w:ins w:id="20" w:author="OPPO-1" w:date="2023-05-22T18:12:00Z">
        <w:r w:rsidR="0082682C" w:rsidRPr="0082682C">
          <w:t>TSCAI can be provided for both GBR and non-GBR QoS flows.</w:t>
        </w:r>
      </w:ins>
    </w:p>
    <w:p w14:paraId="15BFCD97" w14:textId="77777777" w:rsidR="009F0A1B" w:rsidRPr="001B7C50" w:rsidRDefault="009F0A1B" w:rsidP="009F0A1B">
      <w:r w:rsidRPr="001B7C50">
        <w:t>The TSCTSF determines the TSC Assistance Container (defined in Table 5.27.2-2) based on information provided by an AF/NEF as described in clause 5.27.2.3 and provides it to the PCF for IP type and Ethernet type PDU Sessions. In the case of integration with IEEE TSN network, the TSN AF determines TSC Assistance Container as described in clause 5.27.2.2 and provides it to the PCF for Ethernet PDU Sessions. The PCF receives the TSC Assistance Container from the TSCTSF or the TSN AF and forwards it to the SMF as part of PCC rule as described in clause 6.1.3.23a of TS</w:t>
      </w:r>
      <w:r>
        <w:t> </w:t>
      </w:r>
      <w:r w:rsidRPr="001B7C50">
        <w:t>23.503</w:t>
      </w:r>
      <w:r>
        <w:t> </w:t>
      </w:r>
      <w:r w:rsidRPr="001B7C50">
        <w:t>[45].</w:t>
      </w:r>
    </w:p>
    <w:p w14:paraId="7A3EE3F5" w14:textId="77777777" w:rsidR="009F0A1B" w:rsidRPr="001B7C50" w:rsidRDefault="009F0A1B" w:rsidP="009F0A1B">
      <w:r w:rsidRPr="001B7C50">
        <w:t>The SMF binds a PCC rule with a TSC Assistance Container to a QoS Flow as described in clause 6.1.3.2.4 of TS</w:t>
      </w:r>
      <w:r>
        <w:t> </w:t>
      </w:r>
      <w:r w:rsidRPr="001B7C50">
        <w:t>23.503</w:t>
      </w:r>
      <w:r>
        <w:t> </w:t>
      </w:r>
      <w:r w:rsidRPr="001B7C50">
        <w:t xml:space="preserve">[45]. The SMF uses the TSC Assistance Container to derive the TSCAI for that QoS Flow and sends the derived TSCAI to the NG-RAN. The Periodicity, Burst Arrival Time, and Survival Time components of the TSCAI are specified by the SMF with respect to the 5G clock. The SMF is responsible for mapping the Burst Arrival Time and Periodicity from an external clock (when available) to the 5G clock based on the time offset and cumulative </w:t>
      </w:r>
      <w:proofErr w:type="spellStart"/>
      <w:r w:rsidRPr="001B7C50">
        <w:t>rateRatio</w:t>
      </w:r>
      <w:proofErr w:type="spellEnd"/>
      <w:r w:rsidRPr="001B7C50">
        <w:t xml:space="preserve"> (when available) between the external clock time and 5GS time as measured and reported by the UPF. The SMF determines the TSCAI as described in clause 5.27.2.4.</w:t>
      </w:r>
    </w:p>
    <w:p w14:paraId="59BC207E" w14:textId="77777777" w:rsidR="009F0A1B" w:rsidRPr="001B7C50" w:rsidRDefault="009F0A1B" w:rsidP="009F0A1B">
      <w:r w:rsidRPr="001B7C50">
        <w:t>A Survival Time, which indicates the time period an application can survive without any data burst, may be provided by TSN AF/AF either in terms of maximum number of messages (message is equivalent to all packets of a data burst) or in terms of time units. Only a single data burst is expected within a single time period referred to as the periodicity.</w:t>
      </w:r>
    </w:p>
    <w:p w14:paraId="21377098" w14:textId="77777777" w:rsidR="009F0A1B" w:rsidRPr="001B7C50" w:rsidRDefault="009F0A1B" w:rsidP="009F0A1B">
      <w:r w:rsidRPr="001B7C50">
        <w:t>The SMF may send an update of the TSCAI to the NG-RAN as defined in clauses 4.3.3.2, 4.9.1.2.2 and 4.9.1.3.2 of TS</w:t>
      </w:r>
      <w:r>
        <w:t> </w:t>
      </w:r>
      <w:r w:rsidRPr="001B7C50">
        <w:t>23.502</w:t>
      </w:r>
      <w:r>
        <w:t> </w:t>
      </w:r>
      <w:r w:rsidRPr="001B7C50">
        <w:t>[3].</w:t>
      </w:r>
    </w:p>
    <w:p w14:paraId="66E7437E" w14:textId="77777777" w:rsidR="009F0A1B" w:rsidRPr="001B7C50" w:rsidRDefault="009F0A1B" w:rsidP="009F0A1B">
      <w:pPr>
        <w:pStyle w:val="TH"/>
      </w:pPr>
      <w:r w:rsidRPr="001B7C50">
        <w:t>Table 5.27.2-1: TSC Assistance Information (TSCAI)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F0A1B" w:rsidRPr="001B7C50" w14:paraId="3E6DD431" w14:textId="77777777" w:rsidTr="00EA043B">
        <w:trPr>
          <w:cantSplit/>
          <w:jc w:val="center"/>
        </w:trPr>
        <w:tc>
          <w:tcPr>
            <w:tcW w:w="3166" w:type="dxa"/>
            <w:shd w:val="clear" w:color="auto" w:fill="auto"/>
          </w:tcPr>
          <w:p w14:paraId="51153587" w14:textId="77777777" w:rsidR="009F0A1B" w:rsidRPr="001B7C50" w:rsidRDefault="009F0A1B" w:rsidP="00EA043B">
            <w:pPr>
              <w:pStyle w:val="TAH"/>
            </w:pPr>
            <w:r w:rsidRPr="001B7C50">
              <w:t>Assistance Information</w:t>
            </w:r>
          </w:p>
        </w:tc>
        <w:tc>
          <w:tcPr>
            <w:tcW w:w="6465" w:type="dxa"/>
            <w:shd w:val="clear" w:color="auto" w:fill="auto"/>
          </w:tcPr>
          <w:p w14:paraId="35B36671" w14:textId="77777777" w:rsidR="009F0A1B" w:rsidRPr="001B7C50" w:rsidRDefault="009F0A1B" w:rsidP="00EA043B">
            <w:pPr>
              <w:pStyle w:val="TAH"/>
            </w:pPr>
            <w:r w:rsidRPr="001B7C50">
              <w:t>Description</w:t>
            </w:r>
          </w:p>
        </w:tc>
      </w:tr>
      <w:tr w:rsidR="009F0A1B" w:rsidRPr="001B7C50" w14:paraId="356546C1" w14:textId="77777777" w:rsidTr="00EA043B">
        <w:trPr>
          <w:cantSplit/>
          <w:jc w:val="center"/>
        </w:trPr>
        <w:tc>
          <w:tcPr>
            <w:tcW w:w="3166" w:type="dxa"/>
            <w:shd w:val="clear" w:color="auto" w:fill="auto"/>
          </w:tcPr>
          <w:p w14:paraId="16723F29" w14:textId="77777777" w:rsidR="009F0A1B" w:rsidRPr="001B7C50" w:rsidRDefault="009F0A1B" w:rsidP="00EA043B">
            <w:pPr>
              <w:pStyle w:val="TAL"/>
            </w:pPr>
            <w:r w:rsidRPr="001B7C50">
              <w:t>Flow Direction</w:t>
            </w:r>
          </w:p>
        </w:tc>
        <w:tc>
          <w:tcPr>
            <w:tcW w:w="6465" w:type="dxa"/>
            <w:shd w:val="clear" w:color="auto" w:fill="auto"/>
          </w:tcPr>
          <w:p w14:paraId="37EDB5D4" w14:textId="77777777" w:rsidR="009F0A1B" w:rsidRPr="001B7C50" w:rsidRDefault="009F0A1B" w:rsidP="00EA043B">
            <w:pPr>
              <w:pStyle w:val="TAL"/>
            </w:pPr>
            <w:r w:rsidRPr="001B7C50">
              <w:t>The direction of the TSC flow (uplink or downlink).</w:t>
            </w:r>
          </w:p>
        </w:tc>
      </w:tr>
      <w:tr w:rsidR="009F0A1B" w:rsidRPr="001B7C50" w14:paraId="08AF3EF4" w14:textId="77777777" w:rsidTr="00EA043B">
        <w:trPr>
          <w:cantSplit/>
          <w:jc w:val="center"/>
        </w:trPr>
        <w:tc>
          <w:tcPr>
            <w:tcW w:w="3166" w:type="dxa"/>
            <w:shd w:val="clear" w:color="auto" w:fill="auto"/>
          </w:tcPr>
          <w:p w14:paraId="0958318F" w14:textId="77777777" w:rsidR="009F0A1B" w:rsidRPr="001B7C50" w:rsidRDefault="009F0A1B" w:rsidP="00EA043B">
            <w:pPr>
              <w:pStyle w:val="TAL"/>
            </w:pPr>
            <w:r w:rsidRPr="001B7C50">
              <w:t>Periodicity</w:t>
            </w:r>
          </w:p>
        </w:tc>
        <w:tc>
          <w:tcPr>
            <w:tcW w:w="6465" w:type="dxa"/>
            <w:shd w:val="clear" w:color="auto" w:fill="auto"/>
          </w:tcPr>
          <w:p w14:paraId="1771ED74" w14:textId="77777777" w:rsidR="009F0A1B" w:rsidRPr="001B7C50" w:rsidRDefault="009F0A1B" w:rsidP="00EA043B">
            <w:pPr>
              <w:pStyle w:val="TAL"/>
            </w:pPr>
            <w:r w:rsidRPr="001B7C50">
              <w:t>It refers to the time period between start of two data bursts.</w:t>
            </w:r>
          </w:p>
        </w:tc>
      </w:tr>
      <w:tr w:rsidR="009F0A1B" w:rsidRPr="001B7C50" w14:paraId="013AE0E5" w14:textId="77777777" w:rsidTr="00EA043B">
        <w:trPr>
          <w:cantSplit/>
          <w:jc w:val="center"/>
        </w:trPr>
        <w:tc>
          <w:tcPr>
            <w:tcW w:w="3166" w:type="dxa"/>
            <w:shd w:val="clear" w:color="auto" w:fill="auto"/>
          </w:tcPr>
          <w:p w14:paraId="460ED8E1" w14:textId="77777777" w:rsidR="009F0A1B" w:rsidRPr="001B7C50" w:rsidRDefault="009F0A1B" w:rsidP="00EA043B">
            <w:pPr>
              <w:pStyle w:val="TAL"/>
            </w:pPr>
            <w:r w:rsidRPr="001B7C50">
              <w:t>Burst Arrival Time (optional)</w:t>
            </w:r>
          </w:p>
        </w:tc>
        <w:tc>
          <w:tcPr>
            <w:tcW w:w="6465" w:type="dxa"/>
            <w:shd w:val="clear" w:color="auto" w:fill="auto"/>
          </w:tcPr>
          <w:p w14:paraId="42A2F918" w14:textId="77777777" w:rsidR="009F0A1B" w:rsidRPr="001B7C50" w:rsidRDefault="009F0A1B" w:rsidP="00EA043B">
            <w:pPr>
              <w:pStyle w:val="TAL"/>
            </w:pPr>
            <w:r w:rsidRPr="001B7C50">
              <w:t>The latest possible time when the first packet of the data burst arrives at either the ingress of the RAN (downlink flow direction) or the egress of the UE (uplink flow direction).</w:t>
            </w:r>
          </w:p>
        </w:tc>
      </w:tr>
      <w:tr w:rsidR="009F0A1B" w:rsidRPr="001B7C50" w14:paraId="4A90A2D0" w14:textId="77777777" w:rsidTr="00EA043B">
        <w:trPr>
          <w:cantSplit/>
          <w:jc w:val="center"/>
        </w:trPr>
        <w:tc>
          <w:tcPr>
            <w:tcW w:w="3166" w:type="dxa"/>
            <w:shd w:val="clear" w:color="auto" w:fill="auto"/>
          </w:tcPr>
          <w:p w14:paraId="4AD25621" w14:textId="77777777" w:rsidR="009F0A1B" w:rsidRPr="001B7C50" w:rsidRDefault="009F0A1B" w:rsidP="00EA043B">
            <w:pPr>
              <w:pStyle w:val="TAL"/>
            </w:pPr>
            <w:r w:rsidRPr="001B7C50">
              <w:t>Survival Time (optional)</w:t>
            </w:r>
          </w:p>
        </w:tc>
        <w:tc>
          <w:tcPr>
            <w:tcW w:w="6465" w:type="dxa"/>
            <w:shd w:val="clear" w:color="auto" w:fill="auto"/>
          </w:tcPr>
          <w:p w14:paraId="023F1EE3" w14:textId="77777777" w:rsidR="009F0A1B" w:rsidRPr="001B7C50" w:rsidRDefault="009F0A1B" w:rsidP="00EA043B">
            <w:pPr>
              <w:pStyle w:val="TAL"/>
            </w:pPr>
            <w:r w:rsidRPr="001B7C50">
              <w:t>Survival Time, as defined in TS 22.261 [2],</w:t>
            </w:r>
            <w:r>
              <w:t xml:space="preserve"> refers to</w:t>
            </w:r>
            <w:r w:rsidRPr="001B7C50">
              <w:t xml:space="preserve"> the time period an application can survive without any data burst.</w:t>
            </w:r>
          </w:p>
        </w:tc>
      </w:tr>
      <w:tr w:rsidR="009F0A1B" w:rsidRPr="001B7C50" w14:paraId="6BD8E2DE" w14:textId="77777777" w:rsidTr="00EA043B">
        <w:trPr>
          <w:cantSplit/>
          <w:jc w:val="center"/>
        </w:trPr>
        <w:tc>
          <w:tcPr>
            <w:tcW w:w="3166" w:type="dxa"/>
            <w:shd w:val="clear" w:color="auto" w:fill="auto"/>
          </w:tcPr>
          <w:p w14:paraId="29C2CFD2" w14:textId="77777777" w:rsidR="009F0A1B" w:rsidRDefault="009F0A1B" w:rsidP="00EA043B">
            <w:pPr>
              <w:pStyle w:val="TAL"/>
            </w:pPr>
            <w:r>
              <w:t>Burst Arrival Time Window (BAT Window) (optional)</w:t>
            </w:r>
          </w:p>
          <w:p w14:paraId="31AB75FE" w14:textId="77777777" w:rsidR="009F0A1B" w:rsidRPr="001B7C50" w:rsidRDefault="009F0A1B" w:rsidP="00EA043B">
            <w:pPr>
              <w:pStyle w:val="TAL"/>
            </w:pPr>
            <w:r>
              <w:t>(NOTE 1) (NOTE 2)</w:t>
            </w:r>
          </w:p>
        </w:tc>
        <w:tc>
          <w:tcPr>
            <w:tcW w:w="6465" w:type="dxa"/>
            <w:shd w:val="clear" w:color="auto" w:fill="auto"/>
          </w:tcPr>
          <w:p w14:paraId="19DA6EC9" w14:textId="77777777" w:rsidR="009F0A1B" w:rsidRPr="001B7C50" w:rsidRDefault="009F0A1B" w:rsidP="00EA043B">
            <w:pPr>
              <w:pStyle w:val="TAL"/>
            </w:pPr>
            <w:r>
              <w:t>Indicates the acceptable earliest and latest arrival time of the first packet of the data burst at either the ingress of the RAN (downlink flow direction) or the egress of the UE (uplink flow direction).</w:t>
            </w:r>
          </w:p>
        </w:tc>
      </w:tr>
      <w:tr w:rsidR="009F0A1B" w:rsidRPr="001B7C50" w14:paraId="0BAD6546" w14:textId="77777777" w:rsidTr="00EA043B">
        <w:trPr>
          <w:cantSplit/>
          <w:jc w:val="center"/>
        </w:trPr>
        <w:tc>
          <w:tcPr>
            <w:tcW w:w="3166" w:type="dxa"/>
            <w:shd w:val="clear" w:color="auto" w:fill="auto"/>
          </w:tcPr>
          <w:p w14:paraId="7A845448" w14:textId="77777777" w:rsidR="009F0A1B" w:rsidRPr="001B7C50" w:rsidRDefault="009F0A1B" w:rsidP="00EA043B">
            <w:pPr>
              <w:pStyle w:val="TAL"/>
            </w:pPr>
            <w:r>
              <w:t>Capability for BAT adaptation (optional) (NOTE 1)</w:t>
            </w:r>
          </w:p>
        </w:tc>
        <w:tc>
          <w:tcPr>
            <w:tcW w:w="6465" w:type="dxa"/>
            <w:shd w:val="clear" w:color="auto" w:fill="auto"/>
          </w:tcPr>
          <w:p w14:paraId="41A25541" w14:textId="77777777" w:rsidR="009F0A1B" w:rsidRPr="001B7C50" w:rsidRDefault="009F0A1B" w:rsidP="00EA043B">
            <w:pPr>
              <w:pStyle w:val="TAL"/>
            </w:pPr>
            <w:r>
              <w:t>Indicates that the AF will adjust the burst sending time according to the network provided Burst Arrival Time offset (see clause 5.27.2.5).</w:t>
            </w:r>
          </w:p>
        </w:tc>
      </w:tr>
      <w:tr w:rsidR="009F0A1B" w:rsidRPr="001B7C50" w14:paraId="01F701F6" w14:textId="77777777" w:rsidTr="00EA043B">
        <w:trPr>
          <w:cantSplit/>
          <w:jc w:val="center"/>
        </w:trPr>
        <w:tc>
          <w:tcPr>
            <w:tcW w:w="9631" w:type="dxa"/>
            <w:gridSpan w:val="2"/>
            <w:shd w:val="clear" w:color="auto" w:fill="auto"/>
          </w:tcPr>
          <w:p w14:paraId="1612ECEC" w14:textId="77777777" w:rsidR="009F0A1B" w:rsidRDefault="009F0A1B" w:rsidP="00EA043B">
            <w:pPr>
              <w:pStyle w:val="TAN"/>
            </w:pPr>
            <w:r>
              <w:t>NOTE 1:</w:t>
            </w:r>
            <w:r>
              <w:tab/>
              <w:t>Only one of the parameters (BAT Window or Capability for BAT adaptation) can be provided.</w:t>
            </w:r>
          </w:p>
          <w:p w14:paraId="6F17DFF1" w14:textId="77777777" w:rsidR="009F0A1B" w:rsidRPr="001B7C50" w:rsidRDefault="009F0A1B" w:rsidP="00EA043B">
            <w:pPr>
              <w:pStyle w:val="TAN"/>
            </w:pPr>
            <w:r>
              <w:t>NOTE 2:</w:t>
            </w:r>
            <w:r>
              <w:tab/>
              <w:t>The parameter will only be provided together with Burst Arrival Time.</w:t>
            </w:r>
          </w:p>
        </w:tc>
      </w:tr>
    </w:tbl>
    <w:p w14:paraId="7C12F2EF" w14:textId="77777777" w:rsidR="009F0A1B" w:rsidRPr="001B7C50" w:rsidRDefault="009F0A1B" w:rsidP="009F0A1B">
      <w:pPr>
        <w:pStyle w:val="FP"/>
      </w:pPr>
    </w:p>
    <w:p w14:paraId="7DFEC058" w14:textId="77777777" w:rsidR="009F0A1B" w:rsidRPr="001B7C50" w:rsidRDefault="009F0A1B" w:rsidP="009F0A1B">
      <w:pPr>
        <w:pStyle w:val="TH"/>
      </w:pPr>
      <w:r w:rsidRPr="001B7C50">
        <w:lastRenderedPageBreak/>
        <w:t>Table 5.27.2-2: TSC Assistance Container (TSCAC)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6465"/>
      </w:tblGrid>
      <w:tr w:rsidR="009F0A1B" w:rsidRPr="001B7C50" w14:paraId="5FEDDF54" w14:textId="77777777" w:rsidTr="00EA043B">
        <w:trPr>
          <w:cantSplit/>
          <w:jc w:val="center"/>
        </w:trPr>
        <w:tc>
          <w:tcPr>
            <w:tcW w:w="3166" w:type="dxa"/>
            <w:shd w:val="clear" w:color="auto" w:fill="auto"/>
          </w:tcPr>
          <w:p w14:paraId="3125FB1D" w14:textId="77777777" w:rsidR="009F0A1B" w:rsidRPr="001B7C50" w:rsidRDefault="009F0A1B" w:rsidP="00EA043B">
            <w:pPr>
              <w:pStyle w:val="TAH"/>
            </w:pPr>
            <w:r w:rsidRPr="001B7C50">
              <w:t>Assistance Information</w:t>
            </w:r>
          </w:p>
        </w:tc>
        <w:tc>
          <w:tcPr>
            <w:tcW w:w="6465" w:type="dxa"/>
            <w:shd w:val="clear" w:color="auto" w:fill="auto"/>
          </w:tcPr>
          <w:p w14:paraId="191F46DA" w14:textId="77777777" w:rsidR="009F0A1B" w:rsidRPr="001B7C50" w:rsidRDefault="009F0A1B" w:rsidP="00EA043B">
            <w:pPr>
              <w:pStyle w:val="TAH"/>
            </w:pPr>
            <w:r w:rsidRPr="001B7C50">
              <w:t>Description</w:t>
            </w:r>
          </w:p>
        </w:tc>
      </w:tr>
      <w:tr w:rsidR="009F0A1B" w:rsidRPr="001B7C50" w14:paraId="74B69D72" w14:textId="77777777" w:rsidTr="00EA043B">
        <w:trPr>
          <w:cantSplit/>
          <w:jc w:val="center"/>
        </w:trPr>
        <w:tc>
          <w:tcPr>
            <w:tcW w:w="3166" w:type="dxa"/>
            <w:shd w:val="clear" w:color="auto" w:fill="auto"/>
          </w:tcPr>
          <w:p w14:paraId="439D73F4" w14:textId="77777777" w:rsidR="009F0A1B" w:rsidRPr="001B7C50" w:rsidRDefault="009F0A1B" w:rsidP="00EA043B">
            <w:pPr>
              <w:pStyle w:val="TAL"/>
            </w:pPr>
            <w:r w:rsidRPr="001B7C50">
              <w:t>Flow Direction</w:t>
            </w:r>
          </w:p>
        </w:tc>
        <w:tc>
          <w:tcPr>
            <w:tcW w:w="6465" w:type="dxa"/>
            <w:shd w:val="clear" w:color="auto" w:fill="auto"/>
          </w:tcPr>
          <w:p w14:paraId="0A763AB3" w14:textId="77777777" w:rsidR="009F0A1B" w:rsidRPr="001B7C50" w:rsidRDefault="009F0A1B" w:rsidP="00EA043B">
            <w:pPr>
              <w:pStyle w:val="TAL"/>
            </w:pPr>
            <w:r w:rsidRPr="001B7C50">
              <w:t>The direction of the TSC flow (uplink or downlink).</w:t>
            </w:r>
          </w:p>
        </w:tc>
      </w:tr>
      <w:tr w:rsidR="009F0A1B" w:rsidRPr="001B7C50" w14:paraId="5CE2AB80" w14:textId="77777777" w:rsidTr="00EA043B">
        <w:trPr>
          <w:cantSplit/>
          <w:jc w:val="center"/>
        </w:trPr>
        <w:tc>
          <w:tcPr>
            <w:tcW w:w="3166" w:type="dxa"/>
            <w:shd w:val="clear" w:color="auto" w:fill="auto"/>
          </w:tcPr>
          <w:p w14:paraId="1CC31601" w14:textId="77777777" w:rsidR="009F0A1B" w:rsidRPr="001B7C50" w:rsidRDefault="009F0A1B" w:rsidP="00EA043B">
            <w:pPr>
              <w:pStyle w:val="TAL"/>
            </w:pPr>
            <w:r w:rsidRPr="001B7C50">
              <w:t>Periodicity</w:t>
            </w:r>
          </w:p>
        </w:tc>
        <w:tc>
          <w:tcPr>
            <w:tcW w:w="6465" w:type="dxa"/>
            <w:shd w:val="clear" w:color="auto" w:fill="auto"/>
          </w:tcPr>
          <w:p w14:paraId="032FD3F2" w14:textId="77777777" w:rsidR="009F0A1B" w:rsidRPr="001B7C50" w:rsidRDefault="009F0A1B" w:rsidP="00EA043B">
            <w:pPr>
              <w:pStyle w:val="TAL"/>
            </w:pPr>
            <w:r w:rsidRPr="001B7C50">
              <w:t>It refers to the time period between start of two data bursts.</w:t>
            </w:r>
          </w:p>
        </w:tc>
      </w:tr>
      <w:tr w:rsidR="009F0A1B" w:rsidRPr="001B7C50" w14:paraId="3361BF69" w14:textId="77777777" w:rsidTr="00EA043B">
        <w:trPr>
          <w:cantSplit/>
          <w:jc w:val="center"/>
        </w:trPr>
        <w:tc>
          <w:tcPr>
            <w:tcW w:w="3166" w:type="dxa"/>
            <w:shd w:val="clear" w:color="auto" w:fill="auto"/>
          </w:tcPr>
          <w:p w14:paraId="7EDA3D5E" w14:textId="77777777" w:rsidR="009F0A1B" w:rsidRPr="001B7C50" w:rsidRDefault="009F0A1B" w:rsidP="00EA043B">
            <w:pPr>
              <w:pStyle w:val="TAL"/>
            </w:pPr>
            <w:r w:rsidRPr="001B7C50">
              <w:t>Burst Arrival Time (optional)</w:t>
            </w:r>
          </w:p>
        </w:tc>
        <w:tc>
          <w:tcPr>
            <w:tcW w:w="6465" w:type="dxa"/>
            <w:shd w:val="clear" w:color="auto" w:fill="auto"/>
          </w:tcPr>
          <w:p w14:paraId="15713743" w14:textId="77777777" w:rsidR="009F0A1B" w:rsidRPr="001B7C50" w:rsidRDefault="009F0A1B" w:rsidP="00EA043B">
            <w:pPr>
              <w:pStyle w:val="TAL"/>
            </w:pPr>
            <w:r w:rsidRPr="001B7C50">
              <w:t>The time when the first packet of the data burst arrives at the ingress port of 5GS for a given flow direction (DS-TT for uplink, NW-TT for downlink).</w:t>
            </w:r>
          </w:p>
        </w:tc>
      </w:tr>
      <w:tr w:rsidR="009F0A1B" w:rsidRPr="001B7C50" w14:paraId="71F7B186" w14:textId="77777777" w:rsidTr="00EA043B">
        <w:trPr>
          <w:cantSplit/>
          <w:jc w:val="center"/>
        </w:trPr>
        <w:tc>
          <w:tcPr>
            <w:tcW w:w="3166" w:type="dxa"/>
            <w:shd w:val="clear" w:color="auto" w:fill="auto"/>
          </w:tcPr>
          <w:p w14:paraId="47F8F037" w14:textId="77777777" w:rsidR="009F0A1B" w:rsidRPr="001B7C50" w:rsidRDefault="009F0A1B" w:rsidP="00EA043B">
            <w:pPr>
              <w:pStyle w:val="TAL"/>
            </w:pPr>
            <w:r w:rsidRPr="001B7C50">
              <w:t>Survival Time (optional)</w:t>
            </w:r>
          </w:p>
        </w:tc>
        <w:tc>
          <w:tcPr>
            <w:tcW w:w="6465" w:type="dxa"/>
            <w:shd w:val="clear" w:color="auto" w:fill="auto"/>
          </w:tcPr>
          <w:p w14:paraId="34245C5A" w14:textId="77777777" w:rsidR="009F0A1B" w:rsidRPr="001B7C50" w:rsidRDefault="009F0A1B" w:rsidP="00EA043B">
            <w:pPr>
              <w:pStyle w:val="TAL"/>
            </w:pPr>
            <w:r w:rsidRPr="001B7C50">
              <w:t>It refers to the time period an application can survive without any data burst, as defined in</w:t>
            </w:r>
            <w:r>
              <w:t xml:space="preserve"> TS 22.261 [2]</w:t>
            </w:r>
            <w:r w:rsidRPr="001B7C50">
              <w:t>.</w:t>
            </w:r>
          </w:p>
        </w:tc>
      </w:tr>
      <w:tr w:rsidR="009F0A1B" w:rsidRPr="001B7C50" w14:paraId="7641D21E" w14:textId="77777777" w:rsidTr="00EA043B">
        <w:trPr>
          <w:cantSplit/>
          <w:jc w:val="center"/>
        </w:trPr>
        <w:tc>
          <w:tcPr>
            <w:tcW w:w="3166" w:type="dxa"/>
            <w:shd w:val="clear" w:color="auto" w:fill="auto"/>
          </w:tcPr>
          <w:p w14:paraId="466250CC" w14:textId="77777777" w:rsidR="009F0A1B" w:rsidRPr="001B7C50" w:rsidRDefault="009F0A1B" w:rsidP="00EA043B">
            <w:pPr>
              <w:pStyle w:val="TAL"/>
            </w:pPr>
            <w:r w:rsidRPr="001B7C50">
              <w:t>Time Domain (optional)</w:t>
            </w:r>
          </w:p>
        </w:tc>
        <w:tc>
          <w:tcPr>
            <w:tcW w:w="6465" w:type="dxa"/>
            <w:shd w:val="clear" w:color="auto" w:fill="auto"/>
          </w:tcPr>
          <w:p w14:paraId="44C28A56" w14:textId="77777777" w:rsidR="009F0A1B" w:rsidRPr="001B7C50" w:rsidRDefault="009F0A1B" w:rsidP="00EA043B">
            <w:pPr>
              <w:pStyle w:val="TAL"/>
            </w:pPr>
            <w:r w:rsidRPr="001B7C50">
              <w:t>The (g)PTP domain of the TSC flow.</w:t>
            </w:r>
          </w:p>
        </w:tc>
      </w:tr>
      <w:tr w:rsidR="009F0A1B" w:rsidRPr="001B7C50" w14:paraId="0591C0E7" w14:textId="77777777" w:rsidTr="00EA043B">
        <w:trPr>
          <w:cantSplit/>
          <w:jc w:val="center"/>
        </w:trPr>
        <w:tc>
          <w:tcPr>
            <w:tcW w:w="3166" w:type="dxa"/>
            <w:shd w:val="clear" w:color="auto" w:fill="auto"/>
          </w:tcPr>
          <w:p w14:paraId="5626B0AC" w14:textId="77777777" w:rsidR="009F0A1B" w:rsidRDefault="009F0A1B" w:rsidP="00EA043B">
            <w:pPr>
              <w:pStyle w:val="TAL"/>
            </w:pPr>
            <w:r>
              <w:t>Burst Arrival Time Window (BAT Window) (optional)</w:t>
            </w:r>
          </w:p>
          <w:p w14:paraId="2554A65B" w14:textId="77777777" w:rsidR="009F0A1B" w:rsidRPr="001B7C50" w:rsidRDefault="009F0A1B" w:rsidP="00EA043B">
            <w:pPr>
              <w:pStyle w:val="TAL"/>
            </w:pPr>
            <w:r>
              <w:t>(NOTE 1) (NOTE 2)</w:t>
            </w:r>
          </w:p>
        </w:tc>
        <w:tc>
          <w:tcPr>
            <w:tcW w:w="6465" w:type="dxa"/>
            <w:shd w:val="clear" w:color="auto" w:fill="auto"/>
          </w:tcPr>
          <w:p w14:paraId="3B7EABCE" w14:textId="77777777" w:rsidR="009F0A1B" w:rsidRPr="001B7C50" w:rsidRDefault="009F0A1B" w:rsidP="00EA043B">
            <w:pPr>
              <w:pStyle w:val="TAL"/>
            </w:pPr>
            <w:r>
              <w:t>Indicates the acceptable earliest and latest arrival time of the first packet the data burst at the ingress port of 5GS for a given flow direction (DS-TT for uplink, NW-TT for downlink).</w:t>
            </w:r>
          </w:p>
        </w:tc>
      </w:tr>
      <w:tr w:rsidR="009F0A1B" w:rsidRPr="001B7C50" w14:paraId="577D5C56" w14:textId="77777777" w:rsidTr="00EA043B">
        <w:trPr>
          <w:cantSplit/>
          <w:jc w:val="center"/>
        </w:trPr>
        <w:tc>
          <w:tcPr>
            <w:tcW w:w="3166" w:type="dxa"/>
            <w:shd w:val="clear" w:color="auto" w:fill="auto"/>
          </w:tcPr>
          <w:p w14:paraId="43A200D6" w14:textId="77777777" w:rsidR="009F0A1B" w:rsidRPr="001B7C50" w:rsidRDefault="009F0A1B" w:rsidP="00EA043B">
            <w:pPr>
              <w:pStyle w:val="TAL"/>
            </w:pPr>
            <w:r>
              <w:t>Capability for BAT adaptation (optional) (NOTE 1)</w:t>
            </w:r>
          </w:p>
        </w:tc>
        <w:tc>
          <w:tcPr>
            <w:tcW w:w="6465" w:type="dxa"/>
            <w:shd w:val="clear" w:color="auto" w:fill="auto"/>
          </w:tcPr>
          <w:p w14:paraId="3906DDF2" w14:textId="77777777" w:rsidR="009F0A1B" w:rsidRPr="001B7C50" w:rsidRDefault="009F0A1B" w:rsidP="00EA043B">
            <w:pPr>
              <w:pStyle w:val="TAL"/>
            </w:pPr>
            <w:r>
              <w:t>It indicates that the AF will adjust the burst sending time according to the network provided Burst Arrival Time offset (see clause 5.27.2.5).</w:t>
            </w:r>
          </w:p>
        </w:tc>
      </w:tr>
      <w:tr w:rsidR="009F0A1B" w:rsidRPr="001B7C50" w14:paraId="768A7955" w14:textId="77777777" w:rsidTr="00EA043B">
        <w:trPr>
          <w:cantSplit/>
          <w:jc w:val="center"/>
        </w:trPr>
        <w:tc>
          <w:tcPr>
            <w:tcW w:w="9631" w:type="dxa"/>
            <w:gridSpan w:val="2"/>
            <w:shd w:val="clear" w:color="auto" w:fill="auto"/>
          </w:tcPr>
          <w:p w14:paraId="7F4C3DC2" w14:textId="77777777" w:rsidR="009F0A1B" w:rsidRDefault="009F0A1B" w:rsidP="00EA043B">
            <w:pPr>
              <w:pStyle w:val="TAN"/>
            </w:pPr>
            <w:r>
              <w:t>NOTE 1:</w:t>
            </w:r>
            <w:r>
              <w:tab/>
              <w:t>Only one of the parameters (BAT Window or Capability for BAT adaptation) can be provided.</w:t>
            </w:r>
          </w:p>
          <w:p w14:paraId="2AEA389C" w14:textId="77777777" w:rsidR="009F0A1B" w:rsidRPr="001B7C50" w:rsidRDefault="009F0A1B" w:rsidP="00EA043B">
            <w:pPr>
              <w:pStyle w:val="TAN"/>
            </w:pPr>
            <w:r>
              <w:t>NOTE 2:</w:t>
            </w:r>
            <w:r>
              <w:tab/>
              <w:t>The parameter will only be provided together with Burst Arrival Time.</w:t>
            </w:r>
          </w:p>
        </w:tc>
      </w:tr>
    </w:tbl>
    <w:p w14:paraId="395DA8B7" w14:textId="77777777" w:rsidR="009F0A1B" w:rsidRPr="001B7C50" w:rsidRDefault="009F0A1B" w:rsidP="009F0A1B">
      <w:pPr>
        <w:pStyle w:val="FP"/>
      </w:pPr>
    </w:p>
    <w:p w14:paraId="591E519D" w14:textId="77777777" w:rsidR="009F0A1B" w:rsidRPr="001B7C50" w:rsidRDefault="009F0A1B" w:rsidP="009F0A1B">
      <w:pPr>
        <w:pStyle w:val="4"/>
      </w:pPr>
      <w:bookmarkStart w:id="21" w:name="_Toc122440575"/>
      <w:r w:rsidRPr="001B7C50">
        <w:t>5.27.2.2</w:t>
      </w:r>
      <w:r w:rsidRPr="001B7C50">
        <w:tab/>
        <w:t>TSC Assistance Container determination based on PSFP</w:t>
      </w:r>
      <w:bookmarkEnd w:id="21"/>
    </w:p>
    <w:p w14:paraId="7B2DEBC4" w14:textId="77777777" w:rsidR="009F0A1B" w:rsidRPr="001B7C50" w:rsidRDefault="009F0A1B" w:rsidP="009F0A1B">
      <w:r w:rsidRPr="001B7C50">
        <w:t>In the case of integration with IEEE TSN network, the TSN AF determines a TSC Assistance Container (defined in Table 5.27.2-2) and provides it to the PCF. The determination of TSC Assistance Container based on Per-Stream Filtering and Policing (PSFP) information applies only to Ethernet type PDU Sessions.</w:t>
      </w:r>
    </w:p>
    <w:p w14:paraId="2BBAC873" w14:textId="77777777" w:rsidR="009F0A1B" w:rsidRPr="001B7C50" w:rsidRDefault="009F0A1B" w:rsidP="009F0A1B">
      <w:pPr>
        <w:pStyle w:val="NO"/>
      </w:pPr>
      <w:r w:rsidRPr="001B7C50">
        <w:t>NOTE 1:</w:t>
      </w:r>
      <w:r w:rsidRPr="001B7C50">
        <w:tab/>
        <w:t>This clause assumes that PSFP information as defined in IEEE Std 802.1Q [98] and Table 5.28.3.1-1is provided by CNC. PSFP information may be provided by CNC if TSN AF has declared PSFP support to CNC. TSN AF indicates the support for PSFP to CNC only if all the DS-TT and NW-TT ports of the 5GS Bridge have indicated support of PSFP. Means to derive the TSC Assistance Container if PSFP is not supported by 5GS and/or the CNC are beyond the scope of this specification.</w:t>
      </w:r>
    </w:p>
    <w:p w14:paraId="37A89C33" w14:textId="77777777" w:rsidR="009F0A1B" w:rsidRPr="001B7C50" w:rsidRDefault="009F0A1B" w:rsidP="009F0A1B">
      <w:r w:rsidRPr="001B7C50">
        <w:t>The TSN AF may be able to identify the ingress port and thereby the PDU Session as described in clause 5.28.2.</w:t>
      </w:r>
    </w:p>
    <w:p w14:paraId="5A7D21C0" w14:textId="77777777" w:rsidR="009F0A1B" w:rsidRPr="001B7C50" w:rsidRDefault="009F0A1B" w:rsidP="009F0A1B">
      <w:r w:rsidRPr="001B7C50">
        <w:t>The TSN AF interfaces towards the CNC for the PSFP (IEEE Std 802.1Q [98]) managed objects that correspond to the PSFP functionality implemented by the DS-TT and the NW-TT. Thus, when PSFP information is provided by the CNC, the TSN AF may extract relevant parameters from the PSFP configuration. The TSN AF calculates traffic pattern parameters (such as burst arrival time with reference to the ingress port and periodicity). TSN AF also obtains the flow direction as specified in clause 5.28.2. Survival Time may be pre-configured in TSN AF.</w:t>
      </w:r>
    </w:p>
    <w:p w14:paraId="0D8498B2" w14:textId="77777777" w:rsidR="009F0A1B" w:rsidRPr="001B7C50" w:rsidRDefault="009F0A1B" w:rsidP="009F0A1B">
      <w:r w:rsidRPr="001B7C50">
        <w:t>TSN AF may enable aggregation of TSN streams if the TSN streams belong to the same traffic class, terminate in the same egress port and have the same periodicity and compatible Burst arrival time. When Survival Time information is provided for a TSN stream, then it should not be aggregated with other TSN streams into a single QoS Flow, or if they are aggregated, then the Survival Time parameter shall not be provided. One set of parameters and one TSC Assistance Container are created by the TSN AF for multiple TSN streams to enable aggregation of TSN streams to the same QoS Flow.</w:t>
      </w:r>
    </w:p>
    <w:p w14:paraId="32E2A541" w14:textId="77777777" w:rsidR="009F0A1B" w:rsidRPr="001B7C50" w:rsidRDefault="009F0A1B" w:rsidP="009F0A1B">
      <w:r w:rsidRPr="001B7C50">
        <w:t>Annex I describe how the traffic pattern information is determined.</w:t>
      </w:r>
    </w:p>
    <w:p w14:paraId="3BEA781E" w14:textId="77777777" w:rsidR="009F0A1B" w:rsidRPr="001B7C50" w:rsidRDefault="009F0A1B" w:rsidP="009F0A1B">
      <w:pPr>
        <w:pStyle w:val="NO"/>
      </w:pPr>
      <w:r w:rsidRPr="001B7C50">
        <w:t>NOTE 2:</w:t>
      </w:r>
      <w:r w:rsidRPr="001B7C50">
        <w:tab/>
        <w:t>Further details of aggregation of TSN streams (including determination of burst arrival times that are compatible so that TSN streams can be aggregated) are left for implementation.</w:t>
      </w:r>
    </w:p>
    <w:p w14:paraId="2D0EF802" w14:textId="77777777" w:rsidR="009F0A1B" w:rsidRPr="001B7C50" w:rsidRDefault="009F0A1B" w:rsidP="009F0A1B">
      <w:pPr>
        <w:pStyle w:val="NO"/>
      </w:pPr>
      <w:r w:rsidRPr="001B7C50">
        <w:t>NOTE 3:</w:t>
      </w:r>
      <w:r w:rsidRPr="001B7C50">
        <w:tab/>
        <w:t>In order for the TSN AF to get Burst Arrival Time, Periodicity on a per TSN stream basis, support for IEEE Std 802.1Q [98] (as stated in clause 4.4.8.2) Per-Stream Filtering and Policing (PSFP) with stream gate operation is a prerequisite.</w:t>
      </w:r>
    </w:p>
    <w:p w14:paraId="324D27CA" w14:textId="77777777" w:rsidR="009F0A1B" w:rsidRPr="001B7C50" w:rsidRDefault="009F0A1B" w:rsidP="009F0A1B">
      <w:r w:rsidRPr="001B7C50">
        <w:t>For a UE-UE TSC stream, the (TSN) AF divides the stream into one uplink stream and one or more downlink streams as defined in clause 5.28.2. The TSN AF binds the uplink and downlink streams to the PDU Sessions, and provides the streams on AF Session basis to the PCF(s). The TSN AF calculates traffic pattern parameters for the UL and the DL stream using the PSFP configuration (if provided) respectively:</w:t>
      </w:r>
    </w:p>
    <w:p w14:paraId="54FC39A9" w14:textId="77777777" w:rsidR="009F0A1B" w:rsidRPr="001B7C50" w:rsidRDefault="009F0A1B" w:rsidP="009F0A1B">
      <w:pPr>
        <w:pStyle w:val="B1"/>
      </w:pPr>
      <w:r w:rsidRPr="001B7C50">
        <w:t>-</w:t>
      </w:r>
      <w:r w:rsidRPr="001B7C50">
        <w:tab/>
        <w:t>For the uplink stream, the Flow Direction is set to uplink and traffic pattern parameters (such as burst arrival time with reference to the ingress port and periodicity) is determined as described in Annex I.</w:t>
      </w:r>
    </w:p>
    <w:p w14:paraId="6B3CFAF5" w14:textId="77777777" w:rsidR="009F0A1B" w:rsidRPr="001B7C50" w:rsidRDefault="009F0A1B" w:rsidP="009F0A1B">
      <w:pPr>
        <w:pStyle w:val="B1"/>
      </w:pPr>
      <w:r w:rsidRPr="001B7C50">
        <w:t>-</w:t>
      </w:r>
      <w:r w:rsidRPr="001B7C50">
        <w:tab/>
        <w:t>For downlink stream, the Flow Direction is set to downlink, the burst arrival time is set to sum of burst arrival time of the UL stream and 5GS Bridge delay of PDU Session carrying the UL stream, and the periodicity is determined as described in Annex I.</w:t>
      </w:r>
    </w:p>
    <w:p w14:paraId="0DEED490" w14:textId="1E5D5861" w:rsidR="009F0A1B" w:rsidRDefault="009F0A1B" w:rsidP="000F49FB">
      <w:pPr>
        <w:overflowPunct w:val="0"/>
        <w:autoSpaceDE w:val="0"/>
        <w:autoSpaceDN w:val="0"/>
        <w:adjustRightInd w:val="0"/>
        <w:ind w:left="568" w:hanging="284"/>
        <w:textAlignment w:val="baseline"/>
        <w:rPr>
          <w:lang w:eastAsia="en-GB"/>
        </w:rPr>
      </w:pPr>
    </w:p>
    <w:p w14:paraId="7E144053" w14:textId="77777777" w:rsidR="009F0A1B" w:rsidRPr="000F49FB" w:rsidRDefault="009F0A1B" w:rsidP="000F49FB">
      <w:pPr>
        <w:overflowPunct w:val="0"/>
        <w:autoSpaceDE w:val="0"/>
        <w:autoSpaceDN w:val="0"/>
        <w:adjustRightInd w:val="0"/>
        <w:ind w:left="568" w:hanging="284"/>
        <w:textAlignment w:val="baseline"/>
        <w:rPr>
          <w:lang w:eastAsia="en-GB"/>
        </w:rPr>
      </w:pPr>
    </w:p>
    <w:p w14:paraId="58580535" w14:textId="77777777" w:rsidR="000F49FB" w:rsidRPr="000F49FB" w:rsidRDefault="000F49FB" w:rsidP="000F49F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FF0000"/>
          <w:sz w:val="28"/>
          <w:szCs w:val="28"/>
          <w:lang w:val="en-US"/>
        </w:rPr>
      </w:pPr>
      <w:r w:rsidRPr="000F49FB">
        <w:rPr>
          <w:rFonts w:ascii="Arial" w:eastAsiaTheme="majorEastAsia" w:hAnsi="Arial" w:cs="Arial"/>
          <w:b/>
          <w:bCs/>
          <w:color w:val="FF0000"/>
          <w:sz w:val="28"/>
          <w:szCs w:val="28"/>
          <w:lang w:val="en-US"/>
        </w:rPr>
        <w:t xml:space="preserve">* * * End of Changes * * * </w:t>
      </w:r>
    </w:p>
    <w:p w14:paraId="1557EA72" w14:textId="622F15CE" w:rsidR="000F49FB" w:rsidRDefault="000F49FB">
      <w:pPr>
        <w:rPr>
          <w:noProof/>
        </w:rPr>
        <w:sectPr w:rsidR="000F49FB">
          <w:headerReference w:type="even" r:id="rId11"/>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31A418" w14:textId="77777777" w:rsidR="006E0253" w:rsidRDefault="006E0253">
      <w:r>
        <w:separator/>
      </w:r>
    </w:p>
  </w:endnote>
  <w:endnote w:type="continuationSeparator" w:id="0">
    <w:p w14:paraId="6DB9C8C7" w14:textId="77777777" w:rsidR="006E0253" w:rsidRDefault="006E0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B8B547" w14:textId="77777777" w:rsidR="006E0253" w:rsidRDefault="006E0253">
      <w:r>
        <w:separator/>
      </w:r>
    </w:p>
  </w:footnote>
  <w:footnote w:type="continuationSeparator" w:id="0">
    <w:p w14:paraId="03B43512" w14:textId="77777777" w:rsidR="006E0253" w:rsidRDefault="006E0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1">
    <w15:presenceInfo w15:providerId="None" w15:userId="OPPO-11"/>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87"/>
    <w:rsid w:val="00022E4A"/>
    <w:rsid w:val="000A6394"/>
    <w:rsid w:val="000B340C"/>
    <w:rsid w:val="000B7FED"/>
    <w:rsid w:val="000C038A"/>
    <w:rsid w:val="000C6598"/>
    <w:rsid w:val="000D44B3"/>
    <w:rsid w:val="000E6C3B"/>
    <w:rsid w:val="000F49FB"/>
    <w:rsid w:val="00145D43"/>
    <w:rsid w:val="00192C46"/>
    <w:rsid w:val="001A08B3"/>
    <w:rsid w:val="001A2CA0"/>
    <w:rsid w:val="001A7B60"/>
    <w:rsid w:val="001B52F0"/>
    <w:rsid w:val="001B7A65"/>
    <w:rsid w:val="001E41F3"/>
    <w:rsid w:val="002077F0"/>
    <w:rsid w:val="002405E3"/>
    <w:rsid w:val="0026004D"/>
    <w:rsid w:val="002640DD"/>
    <w:rsid w:val="00275D12"/>
    <w:rsid w:val="00284FEB"/>
    <w:rsid w:val="002860C4"/>
    <w:rsid w:val="002B5741"/>
    <w:rsid w:val="002E472E"/>
    <w:rsid w:val="00305409"/>
    <w:rsid w:val="00326DEE"/>
    <w:rsid w:val="003609EF"/>
    <w:rsid w:val="0036231A"/>
    <w:rsid w:val="00374DD4"/>
    <w:rsid w:val="003A53C7"/>
    <w:rsid w:val="003E1A36"/>
    <w:rsid w:val="00410371"/>
    <w:rsid w:val="004242F1"/>
    <w:rsid w:val="00491D96"/>
    <w:rsid w:val="004B75B7"/>
    <w:rsid w:val="0051580D"/>
    <w:rsid w:val="00547111"/>
    <w:rsid w:val="00592D74"/>
    <w:rsid w:val="005E2C44"/>
    <w:rsid w:val="00621188"/>
    <w:rsid w:val="006257ED"/>
    <w:rsid w:val="00665C47"/>
    <w:rsid w:val="00695808"/>
    <w:rsid w:val="006B46FB"/>
    <w:rsid w:val="006E0253"/>
    <w:rsid w:val="006E21FB"/>
    <w:rsid w:val="007176FF"/>
    <w:rsid w:val="00792342"/>
    <w:rsid w:val="007977A8"/>
    <w:rsid w:val="007B512A"/>
    <w:rsid w:val="007C2097"/>
    <w:rsid w:val="007D6A07"/>
    <w:rsid w:val="007F7259"/>
    <w:rsid w:val="008040A8"/>
    <w:rsid w:val="0082682C"/>
    <w:rsid w:val="008279FA"/>
    <w:rsid w:val="0085217A"/>
    <w:rsid w:val="008626E7"/>
    <w:rsid w:val="00870EE7"/>
    <w:rsid w:val="008863B9"/>
    <w:rsid w:val="008A45A6"/>
    <w:rsid w:val="008F3789"/>
    <w:rsid w:val="008F686C"/>
    <w:rsid w:val="009148DE"/>
    <w:rsid w:val="00941AE1"/>
    <w:rsid w:val="00941E30"/>
    <w:rsid w:val="00943222"/>
    <w:rsid w:val="009777D9"/>
    <w:rsid w:val="00991B88"/>
    <w:rsid w:val="009A5753"/>
    <w:rsid w:val="009A579D"/>
    <w:rsid w:val="009E3297"/>
    <w:rsid w:val="009F0A1B"/>
    <w:rsid w:val="009F734F"/>
    <w:rsid w:val="00A246B6"/>
    <w:rsid w:val="00A47E70"/>
    <w:rsid w:val="00A50CF0"/>
    <w:rsid w:val="00A7671C"/>
    <w:rsid w:val="00AA2CBC"/>
    <w:rsid w:val="00AC5820"/>
    <w:rsid w:val="00AD1CD8"/>
    <w:rsid w:val="00B258BB"/>
    <w:rsid w:val="00B67B97"/>
    <w:rsid w:val="00B80E6C"/>
    <w:rsid w:val="00B968C8"/>
    <w:rsid w:val="00BA3EC5"/>
    <w:rsid w:val="00BA51D9"/>
    <w:rsid w:val="00BB5DFC"/>
    <w:rsid w:val="00BD279D"/>
    <w:rsid w:val="00BD6BB8"/>
    <w:rsid w:val="00C66BA2"/>
    <w:rsid w:val="00C95985"/>
    <w:rsid w:val="00CC5026"/>
    <w:rsid w:val="00CC68D0"/>
    <w:rsid w:val="00CD4BE5"/>
    <w:rsid w:val="00CD5B6E"/>
    <w:rsid w:val="00D02829"/>
    <w:rsid w:val="00D03F9A"/>
    <w:rsid w:val="00D06D51"/>
    <w:rsid w:val="00D24991"/>
    <w:rsid w:val="00D474AD"/>
    <w:rsid w:val="00D50255"/>
    <w:rsid w:val="00D66520"/>
    <w:rsid w:val="00D8556C"/>
    <w:rsid w:val="00DA0532"/>
    <w:rsid w:val="00DE34CF"/>
    <w:rsid w:val="00E13F3D"/>
    <w:rsid w:val="00E34898"/>
    <w:rsid w:val="00EB09B7"/>
    <w:rsid w:val="00EE7D7C"/>
    <w:rsid w:val="00F25D98"/>
    <w:rsid w:val="00F300FB"/>
    <w:rsid w:val="00FB6386"/>
    <w:rsid w:val="00FC523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Body Text"/>
    <w:basedOn w:val="a"/>
    <w:link w:val="af2"/>
    <w:unhideWhenUsed/>
    <w:rsid w:val="000F49FB"/>
    <w:pPr>
      <w:spacing w:after="120"/>
    </w:pPr>
  </w:style>
  <w:style w:type="character" w:customStyle="1" w:styleId="af2">
    <w:name w:val="正文文本 字符"/>
    <w:basedOn w:val="a0"/>
    <w:link w:val="af1"/>
    <w:rsid w:val="000F49FB"/>
    <w:rPr>
      <w:rFonts w:ascii="Times New Roman" w:eastAsia="宋体" w:hAnsi="Times New Roman"/>
      <w:lang w:val="en-GB" w:eastAsia="en-US"/>
    </w:rPr>
  </w:style>
  <w:style w:type="character" w:customStyle="1" w:styleId="B1Char">
    <w:name w:val="B1 Char"/>
    <w:link w:val="B1"/>
    <w:rsid w:val="009F0A1B"/>
    <w:rPr>
      <w:rFonts w:ascii="Times New Roman" w:hAnsi="Times New Roman"/>
      <w:lang w:val="en-GB" w:eastAsia="en-US"/>
    </w:rPr>
  </w:style>
  <w:style w:type="character" w:customStyle="1" w:styleId="40">
    <w:name w:val="标题 4 字符"/>
    <w:link w:val="4"/>
    <w:locked/>
    <w:rsid w:val="009F0A1B"/>
    <w:rPr>
      <w:rFonts w:ascii="Arial" w:hAnsi="Arial"/>
      <w:sz w:val="24"/>
      <w:lang w:val="en-GB" w:eastAsia="en-US"/>
    </w:rPr>
  </w:style>
  <w:style w:type="character" w:customStyle="1" w:styleId="NOZchn">
    <w:name w:val="NO Zchn"/>
    <w:link w:val="NO"/>
    <w:rsid w:val="009F0A1B"/>
    <w:rPr>
      <w:rFonts w:ascii="Times New Roman" w:hAnsi="Times New Roman"/>
      <w:lang w:val="en-GB" w:eastAsia="en-US"/>
    </w:rPr>
  </w:style>
  <w:style w:type="character" w:customStyle="1" w:styleId="TALChar">
    <w:name w:val="TAL Char"/>
    <w:link w:val="TAL"/>
    <w:rsid w:val="009F0A1B"/>
    <w:rPr>
      <w:rFonts w:ascii="Arial" w:hAnsi="Arial"/>
      <w:sz w:val="18"/>
      <w:lang w:val="en-GB" w:eastAsia="en-US"/>
    </w:rPr>
  </w:style>
  <w:style w:type="character" w:customStyle="1" w:styleId="TAHCar">
    <w:name w:val="TAH Car"/>
    <w:link w:val="TAH"/>
    <w:rsid w:val="009F0A1B"/>
    <w:rPr>
      <w:rFonts w:ascii="Arial" w:hAnsi="Arial"/>
      <w:b/>
      <w:sz w:val="18"/>
      <w:lang w:val="en-GB" w:eastAsia="en-US"/>
    </w:rPr>
  </w:style>
  <w:style w:type="character" w:customStyle="1" w:styleId="THChar">
    <w:name w:val="TH Char"/>
    <w:link w:val="TH"/>
    <w:qFormat/>
    <w:rsid w:val="009F0A1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C9A2F9-164C-4E36-8D18-4B22677FB4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1694</Words>
  <Characters>9657</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11329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OPPO-2</cp:lastModifiedBy>
  <cp:revision>3</cp:revision>
  <cp:lastPrinted>1899-12-31T23:00:00Z</cp:lastPrinted>
  <dcterms:created xsi:type="dcterms:W3CDTF">2023-05-25T14:07:00Z</dcterms:created>
  <dcterms:modified xsi:type="dcterms:W3CDTF">2023-05-25T14:08:00Z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157</vt:lpwstr>
  </property>
  <property fmtid="{D5CDD505-2E9C-101B-9397-08002B2CF9AE}" pid="4" name="MtgTitle">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 May 2023</vt:lpwstr>
  </property>
  <property fmtid="{D5CDD505-2E9C-101B-9397-08002B2CF9AE}" pid="8" name="EndDate">
    <vt:lpwstr>26th May 2023</vt:lpwstr>
  </property>
  <property fmtid="{D5CDD505-2E9C-101B-9397-08002B2CF9AE}" pid="9" name="Tdoc#">
    <vt:lpwstr>S2-2306467</vt:lpwstr>
  </property>
  <property fmtid="{D5CDD505-2E9C-101B-9397-08002B2CF9AE}" pid="10" name="Spec#">
    <vt:lpwstr>23.501</vt:lpwstr>
  </property>
  <property fmtid="{D5CDD505-2E9C-101B-9397-08002B2CF9AE}" pid="11" name="Cr#">
    <vt:lpwstr>4587</vt:lpwstr>
  </property>
  <property fmtid="{D5CDD505-2E9C-101B-9397-08002B2CF9AE}" pid="12" name="Revision">
    <vt:lpwstr>-</vt:lpwstr>
  </property>
  <property fmtid="{D5CDD505-2E9C-101B-9397-08002B2CF9AE}" pid="13" name="Version">
    <vt:lpwstr>18.1.0</vt:lpwstr>
  </property>
  <property fmtid="{D5CDD505-2E9C-101B-9397-08002B2CF9AE}" pid="14" name="CrTitle">
    <vt:lpwstr>Clarification on the usage of TSCAI for XRM services</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vt:lpwstr>
  </property>
  <property fmtid="{D5CDD505-2E9C-101B-9397-08002B2CF9AE}" pid="18" name="Cat">
    <vt:lpwstr>F</vt:lpwstr>
  </property>
  <property fmtid="{D5CDD505-2E9C-101B-9397-08002B2CF9AE}" pid="19" name="ResDate">
    <vt:lpwstr>2023-05-11</vt:lpwstr>
  </property>
  <property fmtid="{D5CDD505-2E9C-101B-9397-08002B2CF9AE}" pid="20" name="Release">
    <vt:lpwstr>Rel-18</vt:lpwstr>
  </property>
</Properties>
</file>