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79A" w:rsidRDefault="0088679A" w:rsidP="0088679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#156e</w:t>
      </w:r>
      <w:r w:rsidRPr="0046289C">
        <w:rPr>
          <w:rFonts w:ascii="Arial" w:eastAsia="Arial Unicode MS" w:hAnsi="Arial" w:cs="Arial"/>
          <w:b/>
          <w:bCs/>
          <w:sz w:val="24"/>
        </w:rPr>
        <w:tab/>
      </w:r>
      <w:bookmarkStart w:id="0" w:name="_GoBack"/>
      <w:bookmarkEnd w:id="0"/>
      <w:r w:rsidRPr="00642C82">
        <w:rPr>
          <w:rFonts w:ascii="Arial" w:eastAsia="Arial Unicode MS" w:hAnsi="Arial" w:cs="Arial"/>
          <w:b/>
          <w:bCs/>
          <w:i/>
          <w:sz w:val="28"/>
        </w:rPr>
        <w:t>S2-230</w:t>
      </w:r>
      <w:r w:rsidR="00642C82" w:rsidRPr="00642C82">
        <w:rPr>
          <w:rFonts w:ascii="Arial" w:eastAsia="Arial Unicode MS" w:hAnsi="Arial" w:cs="Arial"/>
          <w:b/>
          <w:bCs/>
          <w:i/>
          <w:sz w:val="28"/>
        </w:rPr>
        <w:t>5303</w:t>
      </w:r>
    </w:p>
    <w:p w:rsidR="0088679A" w:rsidRPr="00927C1B" w:rsidRDefault="0088679A" w:rsidP="0088679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17CD">
        <w:rPr>
          <w:rFonts w:ascii="Arial" w:eastAsia="Arial Unicode MS" w:hAnsi="Arial" w:cs="Arial"/>
          <w:b/>
          <w:bCs/>
          <w:sz w:val="24"/>
        </w:rPr>
        <w:t>Elbonia, April 17 – 21, 2023</w:t>
      </w:r>
      <w:r w:rsidRPr="00927C1B">
        <w:rPr>
          <w:rFonts w:ascii="Arial" w:eastAsia="Arial Unicode MS" w:hAnsi="Arial" w:cs="Arial"/>
          <w:b/>
          <w:bCs/>
        </w:rPr>
        <w:tab/>
      </w:r>
      <w:r>
        <w:rPr>
          <w:rFonts w:ascii="Arial" w:hAnsi="Arial" w:cs="Arial"/>
          <w:b/>
          <w:bCs/>
          <w:color w:val="0000FF"/>
        </w:rPr>
        <w:t>(revision of S2-230</w:t>
      </w:r>
      <w:r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BB5DB6" w:rsidRDefault="00A24F28" w:rsidP="00A24F28">
      <w:pPr>
        <w:ind w:left="2127" w:hanging="2127"/>
        <w:rPr>
          <w:rFonts w:ascii="Arial" w:hAnsi="Arial" w:cs="Arial"/>
          <w:b/>
        </w:rPr>
      </w:pPr>
      <w:r w:rsidRPr="00BB5DB6">
        <w:rPr>
          <w:rFonts w:ascii="Arial" w:hAnsi="Arial" w:cs="Arial"/>
          <w:b/>
        </w:rPr>
        <w:t>Title:</w:t>
      </w:r>
      <w:r w:rsidRPr="00BB5DB6">
        <w:rPr>
          <w:rFonts w:ascii="Arial" w:hAnsi="Arial" w:cs="Arial"/>
          <w:b/>
        </w:rPr>
        <w:tab/>
      </w:r>
      <w:r w:rsidR="00642C82" w:rsidRPr="00642C82">
        <w:rPr>
          <w:rFonts w:ascii="Arial" w:hAnsi="Arial" w:cs="Arial"/>
          <w:b/>
        </w:rPr>
        <w:t>which PIN IDs?</w:t>
      </w:r>
    </w:p>
    <w:p w:rsidR="00A24F28" w:rsidRPr="00BB5DB6" w:rsidRDefault="002A3C41" w:rsidP="00A24F28">
      <w:pPr>
        <w:ind w:left="2127" w:hanging="2127"/>
        <w:rPr>
          <w:rFonts w:ascii="Arial" w:hAnsi="Arial" w:cs="Arial"/>
          <w:b/>
        </w:rPr>
      </w:pPr>
      <w:r w:rsidRPr="00BB5DB6">
        <w:rPr>
          <w:rFonts w:ascii="Arial" w:hAnsi="Arial" w:cs="Arial"/>
          <w:b/>
        </w:rPr>
        <w:t>Document for:</w:t>
      </w:r>
      <w:r w:rsidRPr="00BB5DB6">
        <w:rPr>
          <w:rFonts w:ascii="Arial" w:hAnsi="Arial" w:cs="Arial"/>
          <w:b/>
        </w:rPr>
        <w:tab/>
      </w:r>
      <w:r w:rsidR="00B4739E" w:rsidRPr="00BB5DB6">
        <w:rPr>
          <w:rFonts w:ascii="Arial" w:hAnsi="Arial" w:cs="Arial"/>
          <w:b/>
        </w:rPr>
        <w:t>Discussion</w:t>
      </w:r>
    </w:p>
    <w:p w:rsidR="00A24F28" w:rsidRPr="00BB5DB6" w:rsidRDefault="00E2205A" w:rsidP="00A24F28">
      <w:pPr>
        <w:ind w:left="2127" w:hanging="2127"/>
        <w:rPr>
          <w:rFonts w:ascii="Arial" w:hAnsi="Arial" w:cs="Arial"/>
          <w:b/>
        </w:rPr>
      </w:pPr>
      <w:r w:rsidRPr="00BB5DB6">
        <w:rPr>
          <w:rFonts w:ascii="Arial" w:hAnsi="Arial" w:cs="Arial"/>
          <w:b/>
        </w:rPr>
        <w:t>Agenda Item:</w:t>
      </w:r>
      <w:r w:rsidRPr="00BB5DB6">
        <w:rPr>
          <w:rFonts w:ascii="Arial" w:hAnsi="Arial" w:cs="Arial"/>
          <w:b/>
        </w:rPr>
        <w:tab/>
      </w:r>
      <w:r w:rsidR="00BB5DB6" w:rsidRPr="00BB5DB6">
        <w:rPr>
          <w:rFonts w:ascii="Arial" w:hAnsi="Arial" w:cs="Arial"/>
          <w:b/>
        </w:rPr>
        <w:t>9.3.2</w:t>
      </w:r>
    </w:p>
    <w:p w:rsidR="00A24F28" w:rsidRPr="00642C82" w:rsidRDefault="00A24F28" w:rsidP="00A24F28">
      <w:pPr>
        <w:ind w:left="2127" w:hanging="2127"/>
        <w:rPr>
          <w:rFonts w:ascii="Arial" w:hAnsi="Arial" w:cs="Arial"/>
          <w:b/>
        </w:rPr>
      </w:pPr>
      <w:r w:rsidRPr="00BB5DB6">
        <w:rPr>
          <w:rFonts w:ascii="Arial" w:hAnsi="Arial" w:cs="Arial"/>
          <w:b/>
        </w:rPr>
        <w:t xml:space="preserve">Work </w:t>
      </w:r>
      <w:r w:rsidRPr="00642C82">
        <w:rPr>
          <w:rFonts w:ascii="Arial" w:hAnsi="Arial" w:cs="Arial"/>
          <w:b/>
        </w:rPr>
        <w:t>Item / Release:</w:t>
      </w:r>
      <w:r w:rsidRPr="00642C82">
        <w:rPr>
          <w:rFonts w:ascii="Arial" w:hAnsi="Arial" w:cs="Arial"/>
          <w:b/>
        </w:rPr>
        <w:tab/>
      </w:r>
      <w:r w:rsidR="00BB5DB6" w:rsidRPr="00642C82">
        <w:rPr>
          <w:rFonts w:ascii="Arial" w:hAnsi="Arial" w:cs="Arial"/>
          <w:b/>
        </w:rPr>
        <w:t>PIN</w:t>
      </w:r>
      <w:r w:rsidR="00E2205A" w:rsidRPr="00642C82">
        <w:rPr>
          <w:rFonts w:ascii="Arial" w:hAnsi="Arial" w:cs="Arial"/>
          <w:b/>
        </w:rPr>
        <w:t>/ Rel-</w:t>
      </w:r>
      <w:r w:rsidR="006B3C39" w:rsidRPr="00642C82">
        <w:rPr>
          <w:rFonts w:ascii="Arial" w:hAnsi="Arial" w:cs="Arial"/>
          <w:b/>
        </w:rPr>
        <w:t>18</w:t>
      </w:r>
    </w:p>
    <w:p w:rsidR="00EF48DB" w:rsidRPr="00927C1B" w:rsidRDefault="00A24F28" w:rsidP="00EC53AC">
      <w:pPr>
        <w:jc w:val="both"/>
        <w:rPr>
          <w:rFonts w:ascii="Arial" w:hAnsi="Arial" w:cs="Arial"/>
          <w:i/>
        </w:rPr>
      </w:pPr>
      <w:r w:rsidRPr="00642C82">
        <w:rPr>
          <w:rFonts w:ascii="Arial" w:hAnsi="Arial" w:cs="Arial"/>
          <w:i/>
        </w:rPr>
        <w:t xml:space="preserve">Abstract: </w:t>
      </w:r>
      <w:r w:rsidR="00990CAA" w:rsidRPr="00642C82">
        <w:rPr>
          <w:rFonts w:ascii="Arial" w:hAnsi="Arial" w:cs="Arial"/>
          <w:i/>
        </w:rPr>
        <w:t>this contribution discussed the usage of PIN ID, External Group ID and Internal group ID in the context of PIN</w:t>
      </w:r>
    </w:p>
    <w:p w:rsidR="0076782A" w:rsidRDefault="00BB5DB6" w:rsidP="00F261CF">
      <w:pPr>
        <w:pStyle w:val="Heading1"/>
        <w:rPr>
          <w:lang w:eastAsia="zh-CN"/>
        </w:rPr>
      </w:pPr>
      <w:r>
        <w:rPr>
          <w:lang w:eastAsia="zh-CN"/>
        </w:rPr>
        <w:t>1</w:t>
      </w:r>
      <w:r w:rsidR="00F261CF">
        <w:rPr>
          <w:lang w:eastAsia="zh-CN"/>
        </w:rPr>
        <w:t>. Discussion</w:t>
      </w:r>
    </w:p>
    <w:p w:rsidR="00214A95" w:rsidRDefault="00580B7F" w:rsidP="00294B58">
      <w:pPr>
        <w:rPr>
          <w:lang w:eastAsia="zh-CN"/>
        </w:rPr>
      </w:pPr>
      <w:r>
        <w:rPr>
          <w:lang w:eastAsia="zh-CN"/>
        </w:rPr>
        <w:t xml:space="preserve">The discussion on Internal PIN ID vs Internal group </w:t>
      </w:r>
      <w:proofErr w:type="gramStart"/>
      <w:r>
        <w:rPr>
          <w:lang w:eastAsia="zh-CN"/>
        </w:rPr>
        <w:t xml:space="preserve">ID </w:t>
      </w:r>
      <w:r w:rsidR="003D1A8C">
        <w:rPr>
          <w:lang w:eastAsia="zh-CN"/>
        </w:rPr>
        <w:t>,</w:t>
      </w:r>
      <w:proofErr w:type="gramEnd"/>
      <w:r w:rsidR="003D1A8C">
        <w:rPr>
          <w:lang w:eastAsia="zh-CN"/>
        </w:rPr>
        <w:t xml:space="preserve"> externa PIN ID vs External Group ID </w:t>
      </w:r>
      <w:r>
        <w:rPr>
          <w:lang w:eastAsia="zh-CN"/>
        </w:rPr>
        <w:t>need to be solved and it is analysed in this discussion paper.</w:t>
      </w:r>
    </w:p>
    <w:p w:rsidR="00580B7F" w:rsidRDefault="00580B7F" w:rsidP="001D6F7D">
      <w:pPr>
        <w:pStyle w:val="Heading2"/>
        <w:numPr>
          <w:ilvl w:val="1"/>
          <w:numId w:val="21"/>
        </w:numPr>
        <w:rPr>
          <w:lang w:eastAsia="zh-CN"/>
        </w:rPr>
      </w:pPr>
      <w:r>
        <w:rPr>
          <w:lang w:eastAsia="zh-CN"/>
        </w:rPr>
        <w:t xml:space="preserve">External Group ID vs </w:t>
      </w:r>
      <w:r w:rsidR="001D6F7D">
        <w:rPr>
          <w:lang w:eastAsia="zh-CN"/>
        </w:rPr>
        <w:t>Internal</w:t>
      </w:r>
      <w:r>
        <w:rPr>
          <w:lang w:eastAsia="zh-CN"/>
        </w:rPr>
        <w:t xml:space="preserve"> </w:t>
      </w:r>
      <w:r w:rsidR="001D6F7D">
        <w:rPr>
          <w:lang w:eastAsia="zh-CN"/>
        </w:rPr>
        <w:t xml:space="preserve">Group </w:t>
      </w:r>
      <w:r>
        <w:rPr>
          <w:lang w:eastAsia="zh-CN"/>
        </w:rPr>
        <w:t>ID</w:t>
      </w:r>
    </w:p>
    <w:p w:rsidR="00580B7F" w:rsidRDefault="00580B7F" w:rsidP="00580B7F">
      <w:pPr>
        <w:rPr>
          <w:lang w:eastAsia="zh-CN"/>
        </w:rPr>
      </w:pPr>
      <w:r>
        <w:rPr>
          <w:lang w:eastAsia="zh-CN"/>
        </w:rPr>
        <w:t>The External Group ID has been defined for NEF as alternative to GPSI as follow:“</w:t>
      </w:r>
      <w:r w:rsidRPr="001B7C50">
        <w:rPr>
          <w:lang w:eastAsia="zh-CN"/>
        </w:rPr>
        <w:t>External Group Identifier can be applied to identify a group of UE.</w:t>
      </w:r>
      <w:r>
        <w:rPr>
          <w:lang w:eastAsia="zh-CN"/>
        </w:rPr>
        <w:t>”</w:t>
      </w:r>
      <w:r w:rsidR="001D6F7D">
        <w:rPr>
          <w:lang w:eastAsia="zh-CN"/>
        </w:rPr>
        <w:t xml:space="preserve"> </w:t>
      </w:r>
    </w:p>
    <w:p w:rsidR="001D6F7D" w:rsidRDefault="001D6F7D" w:rsidP="00580B7F">
      <w:pPr>
        <w:rPr>
          <w:lang w:eastAsia="zh-CN"/>
        </w:rPr>
      </w:pPr>
      <w:r>
        <w:rPr>
          <w:lang w:eastAsia="zh-CN"/>
        </w:rPr>
        <w:t xml:space="preserve">In case of 5G VN the </w:t>
      </w:r>
      <w:r w:rsidRPr="001D6F7D">
        <w:rPr>
          <w:lang w:eastAsia="zh-CN"/>
        </w:rPr>
        <w:t>External Group ID</w:t>
      </w:r>
      <w:r>
        <w:rPr>
          <w:lang w:eastAsia="zh-CN"/>
        </w:rPr>
        <w:t xml:space="preserve"> is used </w:t>
      </w:r>
      <w:r w:rsidRPr="001D6F7D">
        <w:rPr>
          <w:lang w:eastAsia="zh-CN"/>
        </w:rPr>
        <w:t>to identify the 5G VN group.</w:t>
      </w:r>
      <w:r>
        <w:rPr>
          <w:lang w:eastAsia="zh-CN"/>
        </w:rPr>
        <w:t xml:space="preserve"> The AF identifies the </w:t>
      </w:r>
      <w:r w:rsidRPr="001D6F7D">
        <w:rPr>
          <w:lang w:eastAsia="zh-CN"/>
        </w:rPr>
        <w:t>5G VN group using External Group ID</w:t>
      </w:r>
      <w:r>
        <w:rPr>
          <w:lang w:eastAsia="zh-CN"/>
        </w:rPr>
        <w:t xml:space="preserve"> and the </w:t>
      </w:r>
      <w:r w:rsidRPr="001D6F7D">
        <w:rPr>
          <w:lang w:eastAsia="zh-CN"/>
        </w:rPr>
        <w:t xml:space="preserve">NEF provides the External Group ID to UDM. The UDM maps the External Group ID to Internal Group ID. </w:t>
      </w:r>
    </w:p>
    <w:p w:rsidR="00B441DA" w:rsidRDefault="00B441DA" w:rsidP="00580B7F">
      <w:pPr>
        <w:rPr>
          <w:lang w:eastAsia="zh-CN"/>
        </w:rPr>
      </w:pPr>
      <w:r>
        <w:rPr>
          <w:lang w:eastAsia="zh-CN"/>
        </w:rPr>
        <w:t>The External Group ID is also used for NIDD, for TSCTSF, in Monitoring event exposure.</w:t>
      </w:r>
    </w:p>
    <w:p w:rsidR="00990CAA" w:rsidRDefault="001D6F7D" w:rsidP="001D6F7D">
      <w:pPr>
        <w:rPr>
          <w:lang w:eastAsia="zh-CN"/>
        </w:rPr>
      </w:pPr>
      <w:r>
        <w:rPr>
          <w:lang w:eastAsia="zh-CN"/>
        </w:rPr>
        <w:t xml:space="preserve">The </w:t>
      </w:r>
      <w:r w:rsidRPr="001D6F7D">
        <w:rPr>
          <w:lang w:eastAsia="zh-CN"/>
        </w:rPr>
        <w:t xml:space="preserve">External Group ID </w:t>
      </w:r>
      <w:r>
        <w:rPr>
          <w:lang w:eastAsia="zh-CN"/>
        </w:rPr>
        <w:t xml:space="preserve">and </w:t>
      </w:r>
      <w:r w:rsidRPr="001D6F7D">
        <w:rPr>
          <w:lang w:eastAsia="zh-CN"/>
        </w:rPr>
        <w:t>Internal Group ID</w:t>
      </w:r>
      <w:r>
        <w:rPr>
          <w:lang w:eastAsia="zh-CN"/>
        </w:rPr>
        <w:t xml:space="preserve"> are used in order to increase the security and the scalability and the uniqueness of the ID within the PLMN, since the different AF may in line of principle use the same External Group ID which is unique per the AF but not between two AFs, in such way the Internal Group ID is unique per PLMN</w:t>
      </w:r>
      <w:r w:rsidRPr="001D6F7D">
        <w:rPr>
          <w:lang w:eastAsia="zh-CN"/>
        </w:rPr>
        <w:t>.</w:t>
      </w:r>
      <w:r>
        <w:rPr>
          <w:lang w:eastAsia="zh-CN"/>
        </w:rPr>
        <w:t xml:space="preserve"> </w:t>
      </w:r>
      <w:proofErr w:type="gramStart"/>
      <w:r>
        <w:rPr>
          <w:lang w:eastAsia="zh-CN"/>
        </w:rPr>
        <w:t>Furthermore</w:t>
      </w:r>
      <w:proofErr w:type="gramEnd"/>
      <w:r>
        <w:rPr>
          <w:lang w:eastAsia="zh-CN"/>
        </w:rPr>
        <w:t xml:space="preserve"> the decoupling of the ID allows to perform the same security as per GPSI vs SUPI, where the GPSI corresponds to the External Group ID.</w:t>
      </w:r>
    </w:p>
    <w:p w:rsidR="001D6F7D" w:rsidRDefault="00990CAA" w:rsidP="001D6F7D">
      <w:pPr>
        <w:rPr>
          <w:b/>
          <w:lang w:eastAsia="zh-CN"/>
        </w:rPr>
      </w:pPr>
      <w:r w:rsidRPr="00990CAA">
        <w:rPr>
          <w:b/>
          <w:lang w:eastAsia="zh-CN"/>
        </w:rPr>
        <w:t>Proposal #1: To define an Internal Group ID used within the 5GS functionalities and an External Group ID used by entity external to 5GC, i.e. the PMEC, AF, PEGC, PINE.</w:t>
      </w:r>
      <w:r w:rsidR="001D6F7D" w:rsidRPr="00990CAA">
        <w:rPr>
          <w:b/>
          <w:lang w:eastAsia="zh-CN"/>
        </w:rPr>
        <w:t xml:space="preserve">  </w:t>
      </w:r>
    </w:p>
    <w:p w:rsidR="00990CAA" w:rsidRDefault="00990CAA" w:rsidP="00990CAA">
      <w:pPr>
        <w:pStyle w:val="Heading2"/>
        <w:numPr>
          <w:ilvl w:val="1"/>
          <w:numId w:val="21"/>
        </w:numPr>
        <w:rPr>
          <w:lang w:eastAsia="zh-CN"/>
        </w:rPr>
      </w:pPr>
      <w:r>
        <w:rPr>
          <w:lang w:eastAsia="zh-CN"/>
        </w:rPr>
        <w:t>External PIN ID vs External Group ID</w:t>
      </w:r>
    </w:p>
    <w:p w:rsidR="00990CAA" w:rsidRDefault="00990CAA" w:rsidP="00990CAA">
      <w:pPr>
        <w:rPr>
          <w:lang w:eastAsia="zh-CN"/>
        </w:rPr>
      </w:pPr>
      <w:r w:rsidRPr="003D1A8C">
        <w:rPr>
          <w:lang w:eastAsia="zh-CN"/>
        </w:rPr>
        <w:t xml:space="preserve">The External Group ID is used for </w:t>
      </w:r>
      <w:r>
        <w:rPr>
          <w:lang w:eastAsia="zh-CN"/>
        </w:rPr>
        <w:t xml:space="preserve">5G VN, </w:t>
      </w:r>
      <w:r w:rsidRPr="003D1A8C">
        <w:rPr>
          <w:lang w:eastAsia="zh-CN"/>
        </w:rPr>
        <w:t>NIDD, for TSCTSF, in Monitoring event exposure</w:t>
      </w:r>
      <w:r>
        <w:rPr>
          <w:lang w:eastAsia="zh-CN"/>
        </w:rPr>
        <w:t xml:space="preserve">, so not limited to 5G VN. From the other hand the PIN ID is the identifier of a PIN network, but in the external exchange the External Group </w:t>
      </w:r>
      <w:proofErr w:type="spellStart"/>
      <w:r>
        <w:rPr>
          <w:lang w:eastAsia="zh-CN"/>
        </w:rPr>
        <w:t>os</w:t>
      </w:r>
      <w:proofErr w:type="spellEnd"/>
      <w:r>
        <w:rPr>
          <w:lang w:eastAsia="zh-CN"/>
        </w:rPr>
        <w:t xml:space="preserve"> associated to PIN feature such as in AF or PEMC, therefore there is not critical issue to reuse the </w:t>
      </w:r>
      <w:r w:rsidRPr="00990CAA">
        <w:rPr>
          <w:lang w:eastAsia="zh-CN"/>
        </w:rPr>
        <w:t>External Group ID</w:t>
      </w:r>
      <w:r>
        <w:rPr>
          <w:lang w:eastAsia="zh-CN"/>
        </w:rPr>
        <w:t xml:space="preserve">    </w:t>
      </w:r>
    </w:p>
    <w:p w:rsidR="00990CAA" w:rsidRPr="00990CAA" w:rsidRDefault="00990CAA" w:rsidP="001D6F7D">
      <w:pPr>
        <w:rPr>
          <w:b/>
          <w:lang w:eastAsia="zh-CN"/>
        </w:rPr>
      </w:pPr>
      <w:r w:rsidRPr="00990CAA">
        <w:rPr>
          <w:b/>
          <w:lang w:eastAsia="zh-CN"/>
        </w:rPr>
        <w:t>Proposal #</w:t>
      </w:r>
      <w:r>
        <w:rPr>
          <w:b/>
          <w:lang w:eastAsia="zh-CN"/>
        </w:rPr>
        <w:t>2</w:t>
      </w:r>
      <w:r w:rsidRPr="00990CAA">
        <w:rPr>
          <w:b/>
          <w:lang w:eastAsia="zh-CN"/>
        </w:rPr>
        <w:t xml:space="preserve">: To </w:t>
      </w:r>
      <w:r>
        <w:rPr>
          <w:b/>
          <w:lang w:eastAsia="zh-CN"/>
        </w:rPr>
        <w:t>use the External</w:t>
      </w:r>
      <w:r w:rsidRPr="00990CAA">
        <w:rPr>
          <w:b/>
          <w:lang w:eastAsia="zh-CN"/>
        </w:rPr>
        <w:t xml:space="preserve"> Group ID </w:t>
      </w:r>
      <w:r>
        <w:rPr>
          <w:b/>
          <w:lang w:eastAsia="zh-CN"/>
        </w:rPr>
        <w:t>instead the PIN ID toward AF and other external entities</w:t>
      </w:r>
      <w:r w:rsidRPr="00990CAA">
        <w:rPr>
          <w:b/>
          <w:lang w:eastAsia="zh-CN"/>
        </w:rPr>
        <w:t>.</w:t>
      </w:r>
    </w:p>
    <w:p w:rsidR="001D6F7D" w:rsidRDefault="001D6F7D" w:rsidP="001D6F7D">
      <w:pPr>
        <w:pStyle w:val="Heading2"/>
        <w:numPr>
          <w:ilvl w:val="1"/>
          <w:numId w:val="21"/>
        </w:numPr>
        <w:rPr>
          <w:lang w:eastAsia="zh-CN"/>
        </w:rPr>
      </w:pPr>
      <w:r>
        <w:rPr>
          <w:lang w:eastAsia="zh-CN"/>
        </w:rPr>
        <w:t xml:space="preserve">Internal PIN ID vs </w:t>
      </w:r>
      <w:r w:rsidR="00990CAA">
        <w:rPr>
          <w:lang w:eastAsia="zh-CN"/>
        </w:rPr>
        <w:t>Internal Group</w:t>
      </w:r>
      <w:r>
        <w:rPr>
          <w:lang w:eastAsia="zh-CN"/>
        </w:rPr>
        <w:t xml:space="preserve"> ID</w:t>
      </w:r>
    </w:p>
    <w:p w:rsidR="001D6F7D" w:rsidRDefault="00EF16FC" w:rsidP="001D6F7D">
      <w:pPr>
        <w:rPr>
          <w:lang w:eastAsia="zh-CN"/>
        </w:rPr>
      </w:pPr>
      <w:r>
        <w:rPr>
          <w:lang w:eastAsia="zh-CN"/>
        </w:rPr>
        <w:t xml:space="preserve">The Internal PIN ID and </w:t>
      </w:r>
      <w:r w:rsidR="00990CAA">
        <w:rPr>
          <w:lang w:eastAsia="zh-CN"/>
        </w:rPr>
        <w:t>Internal Group</w:t>
      </w:r>
      <w:r>
        <w:rPr>
          <w:lang w:eastAsia="zh-CN"/>
        </w:rPr>
        <w:t xml:space="preserve"> ID </w:t>
      </w:r>
      <w:r w:rsidR="00990CAA">
        <w:rPr>
          <w:lang w:eastAsia="zh-CN"/>
        </w:rPr>
        <w:t xml:space="preserve">can be both defined for the identification of PIN network, however the Internal Group ID is already defined and used. The UDM can differentiate between the Internal Group ID use </w:t>
      </w:r>
      <w:proofErr w:type="spellStart"/>
      <w:r w:rsidR="00990CAA">
        <w:rPr>
          <w:lang w:eastAsia="zh-CN"/>
        </w:rPr>
        <w:t>dfor</w:t>
      </w:r>
      <w:proofErr w:type="spellEnd"/>
      <w:r w:rsidR="00990CAA">
        <w:rPr>
          <w:lang w:eastAsia="zh-CN"/>
        </w:rPr>
        <w:t xml:space="preserve"> the 5G VN and the PIN, since they are store within different Data keys and the NEF providing the information to the UDM will use different Data IE group, one related to 5G VN or other services and one for PIN. </w:t>
      </w:r>
      <w:proofErr w:type="gramStart"/>
      <w:r w:rsidR="00990CAA">
        <w:rPr>
          <w:lang w:eastAsia="zh-CN"/>
        </w:rPr>
        <w:t>Therefore</w:t>
      </w:r>
      <w:proofErr w:type="gramEnd"/>
      <w:r w:rsidR="00990CAA">
        <w:rPr>
          <w:lang w:eastAsia="zh-CN"/>
        </w:rPr>
        <w:t xml:space="preserve"> there is not issue on discrimination.  </w:t>
      </w:r>
    </w:p>
    <w:p w:rsidR="00990CAA" w:rsidRPr="00772D92" w:rsidRDefault="00990CAA" w:rsidP="00294B58">
      <w:pPr>
        <w:rPr>
          <w:lang w:eastAsia="zh-CN"/>
        </w:rPr>
      </w:pPr>
      <w:r w:rsidRPr="00990CAA">
        <w:rPr>
          <w:b/>
          <w:lang w:eastAsia="zh-CN"/>
        </w:rPr>
        <w:t>Proposal #</w:t>
      </w:r>
      <w:r>
        <w:rPr>
          <w:b/>
          <w:lang w:eastAsia="zh-CN"/>
        </w:rPr>
        <w:t>3</w:t>
      </w:r>
      <w:r w:rsidRPr="00990CAA">
        <w:rPr>
          <w:b/>
          <w:lang w:eastAsia="zh-CN"/>
        </w:rPr>
        <w:t xml:space="preserve">: To </w:t>
      </w:r>
      <w:r>
        <w:rPr>
          <w:b/>
          <w:lang w:eastAsia="zh-CN"/>
        </w:rPr>
        <w:t>use the Internal</w:t>
      </w:r>
      <w:r w:rsidRPr="00990CAA">
        <w:rPr>
          <w:b/>
          <w:lang w:eastAsia="zh-CN"/>
        </w:rPr>
        <w:t xml:space="preserve"> Group ID </w:t>
      </w:r>
      <w:r>
        <w:rPr>
          <w:b/>
          <w:lang w:eastAsia="zh-CN"/>
        </w:rPr>
        <w:t>instead the PIN ID within the 5GS</w:t>
      </w:r>
    </w:p>
    <w:p w:rsidR="008F0B57" w:rsidRDefault="00580B7F" w:rsidP="00636B44">
      <w:pPr>
        <w:pStyle w:val="Heading1"/>
        <w:rPr>
          <w:lang w:eastAsia="zh-CN"/>
        </w:rPr>
      </w:pPr>
      <w:r>
        <w:rPr>
          <w:lang w:eastAsia="zh-CN"/>
        </w:rPr>
        <w:lastRenderedPageBreak/>
        <w:t>2</w:t>
      </w:r>
      <w:r w:rsidR="00AB1E11">
        <w:rPr>
          <w:lang w:eastAsia="zh-CN"/>
        </w:rPr>
        <w:t>. Conclusion and proposal</w:t>
      </w:r>
      <w:r w:rsidR="00E71C8B">
        <w:rPr>
          <w:lang w:eastAsia="zh-CN"/>
        </w:rPr>
        <w:t>(s)</w:t>
      </w:r>
    </w:p>
    <w:p w:rsidR="00294B58" w:rsidRDefault="00A10FD1" w:rsidP="00294B58">
      <w:pPr>
        <w:rPr>
          <w:lang w:eastAsia="zh-CN"/>
        </w:rPr>
      </w:pPr>
      <w:r>
        <w:rPr>
          <w:lang w:eastAsia="zh-CN"/>
        </w:rPr>
        <w:t>Based on above consideration is proposed to conclude that</w:t>
      </w:r>
    </w:p>
    <w:p w:rsidR="00990CAA" w:rsidRPr="00990CAA" w:rsidRDefault="00990CAA" w:rsidP="00990CAA">
      <w:pPr>
        <w:pStyle w:val="ListParagraph"/>
        <w:numPr>
          <w:ilvl w:val="0"/>
          <w:numId w:val="23"/>
        </w:numPr>
        <w:rPr>
          <w:b/>
          <w:lang w:eastAsia="zh-CN"/>
        </w:rPr>
      </w:pPr>
      <w:r w:rsidRPr="00990CAA">
        <w:rPr>
          <w:b/>
          <w:lang w:eastAsia="zh-CN"/>
        </w:rPr>
        <w:t xml:space="preserve">To define an Internal Group ID used within the 5GS functionalities and an External Group ID used by entity external to 5GC, i.e. the PMEC, AF, PEGC, PINE.  </w:t>
      </w:r>
    </w:p>
    <w:p w:rsidR="00990CAA" w:rsidRDefault="00990CAA" w:rsidP="00990CAA">
      <w:pPr>
        <w:pStyle w:val="ListParagraph"/>
        <w:numPr>
          <w:ilvl w:val="0"/>
          <w:numId w:val="23"/>
        </w:numPr>
        <w:rPr>
          <w:b/>
          <w:lang w:eastAsia="zh-CN"/>
        </w:rPr>
      </w:pPr>
      <w:r w:rsidRPr="00990CAA">
        <w:rPr>
          <w:b/>
          <w:lang w:eastAsia="zh-CN"/>
        </w:rPr>
        <w:t>To use the External Group ID instead the PIN ID toward AF and other external entities.</w:t>
      </w:r>
    </w:p>
    <w:p w:rsidR="00990CAA" w:rsidRPr="00772D92" w:rsidRDefault="00990CAA" w:rsidP="00990CAA">
      <w:pPr>
        <w:pStyle w:val="ListParagraph"/>
        <w:numPr>
          <w:ilvl w:val="0"/>
          <w:numId w:val="23"/>
        </w:numPr>
        <w:rPr>
          <w:lang w:eastAsia="zh-CN"/>
        </w:rPr>
      </w:pPr>
      <w:r w:rsidRPr="00990CAA">
        <w:rPr>
          <w:b/>
          <w:lang w:eastAsia="zh-CN"/>
        </w:rPr>
        <w:t>To use the Internal Group ID instead the PIN ID within the 5GS</w:t>
      </w:r>
    </w:p>
    <w:p w:rsidR="00990CAA" w:rsidRPr="00990CAA" w:rsidRDefault="00990CAA" w:rsidP="00990CAA">
      <w:pPr>
        <w:ind w:left="360"/>
        <w:rPr>
          <w:b/>
          <w:lang w:eastAsia="zh-CN"/>
        </w:rPr>
      </w:pPr>
    </w:p>
    <w:p w:rsidR="00A54C28" w:rsidRPr="00990CAA" w:rsidRDefault="00A54C28" w:rsidP="00A54C28">
      <w:pPr>
        <w:rPr>
          <w:lang w:eastAsia="zh-CN"/>
        </w:rPr>
      </w:pPr>
    </w:p>
    <w:p w:rsidR="00A54C28" w:rsidRDefault="00A54C28" w:rsidP="00A54C28">
      <w:pPr>
        <w:rPr>
          <w:lang w:eastAsia="zh-CN"/>
        </w:rPr>
      </w:pP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8B9" w:rsidRDefault="002F78B9">
      <w:r>
        <w:separator/>
      </w:r>
    </w:p>
    <w:p w:rsidR="002F78B9" w:rsidRDefault="002F78B9"/>
  </w:endnote>
  <w:endnote w:type="continuationSeparator" w:id="0">
    <w:p w:rsidR="002F78B9" w:rsidRDefault="002F78B9">
      <w:r>
        <w:continuationSeparator/>
      </w:r>
    </w:p>
    <w:p w:rsidR="002F78B9" w:rsidRDefault="002F7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8B9" w:rsidRDefault="002F78B9">
      <w:r>
        <w:separator/>
      </w:r>
    </w:p>
    <w:p w:rsidR="002F78B9" w:rsidRDefault="002F78B9"/>
  </w:footnote>
  <w:footnote w:type="continuationSeparator" w:id="0">
    <w:p w:rsidR="002F78B9" w:rsidRDefault="002F78B9">
      <w:r>
        <w:continuationSeparator/>
      </w:r>
    </w:p>
    <w:p w:rsidR="002F78B9" w:rsidRDefault="002F78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40243"/>
    <w:multiLevelType w:val="multilevel"/>
    <w:tmpl w:val="EBE663B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550F86"/>
    <w:multiLevelType w:val="multilevel"/>
    <w:tmpl w:val="7E4E18C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456673"/>
    <w:multiLevelType w:val="hybridMultilevel"/>
    <w:tmpl w:val="1D383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6"/>
  </w:num>
  <w:num w:numId="5">
    <w:abstractNumId w:val="13"/>
  </w:num>
  <w:num w:numId="6">
    <w:abstractNumId w:val="20"/>
  </w:num>
  <w:num w:numId="7">
    <w:abstractNumId w:val="8"/>
  </w:num>
  <w:num w:numId="8">
    <w:abstractNumId w:val="12"/>
  </w:num>
  <w:num w:numId="9">
    <w:abstractNumId w:val="19"/>
  </w:num>
  <w:num w:numId="10">
    <w:abstractNumId w:val="22"/>
  </w:num>
  <w:num w:numId="11">
    <w:abstractNumId w:val="9"/>
  </w:num>
  <w:num w:numId="12">
    <w:abstractNumId w:val="0"/>
  </w:num>
  <w:num w:numId="13">
    <w:abstractNumId w:val="4"/>
  </w:num>
  <w:num w:numId="14">
    <w:abstractNumId w:val="10"/>
  </w:num>
  <w:num w:numId="15">
    <w:abstractNumId w:val="14"/>
  </w:num>
  <w:num w:numId="16">
    <w:abstractNumId w:val="5"/>
  </w:num>
  <w:num w:numId="17">
    <w:abstractNumId w:val="18"/>
  </w:num>
  <w:num w:numId="18">
    <w:abstractNumId w:val="11"/>
  </w:num>
  <w:num w:numId="19">
    <w:abstractNumId w:val="15"/>
  </w:num>
  <w:num w:numId="20">
    <w:abstractNumId w:val="17"/>
  </w:num>
  <w:num w:numId="21">
    <w:abstractNumId w:val="2"/>
  </w:num>
  <w:num w:numId="22">
    <w:abstractNumId w:val="3"/>
  </w:num>
  <w:num w:numId="23">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6F7D"/>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8B9"/>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1A8C"/>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0B7F"/>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2C82"/>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6BEC"/>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6A1E"/>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679A"/>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0CAA"/>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15C7"/>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0FD1"/>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4C28"/>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1DA"/>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5DB6"/>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B37"/>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6FC"/>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520C"/>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96D6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262636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purl.org/dc/elements/1.1/"/>
    <ds:schemaRef ds:uri="http://schemas.microsoft.com/sharepoint/v4"/>
    <ds:schemaRef ds:uri="http://schemas.microsoft.com/sharepoint/v3"/>
    <ds:schemaRef ds:uri="http://schemas.microsoft.com/office/2006/documentManagement/types"/>
    <ds:schemaRef ds:uri="17c5c574-4f42-45b3-8a7f-77d8e859d074"/>
    <ds:schemaRef ds:uri="http://schemas.microsoft.com/office/infopath/2007/PartnerControls"/>
    <ds:schemaRef ds:uri="http://purl.org/dc/terms/"/>
    <ds:schemaRef ds:uri="http://www.w3.org/XML/1998/namespace"/>
    <ds:schemaRef ds:uri="http://purl.org/dc/dcmitype/"/>
    <ds:schemaRef ds:uri="http://schemas.openxmlformats.org/package/2006/metadata/core-properties"/>
    <ds:schemaRef ds:uri="66EEDB98-F073-460B-B9B0-9643F9FE785E"/>
    <ds:schemaRef ds:uri="http://schemas.microsoft.com/office/2006/metadata/propertie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E88AD5-4823-48C0-9971-AB853A800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2597</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Huawei2-Marco</cp:lastModifiedBy>
  <cp:revision>2</cp:revision>
  <cp:lastPrinted>2018-08-13T16:59:00Z</cp:lastPrinted>
  <dcterms:created xsi:type="dcterms:W3CDTF">2023-04-07T19:48:00Z</dcterms:created>
  <dcterms:modified xsi:type="dcterms:W3CDTF">2023-04-07T19:48:00Z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1680896721</vt:lpwstr>
  </property>
</Properties>
</file>