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D5B07FF"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335F85">
        <w:rPr>
          <w:rFonts w:ascii="Arial" w:eastAsia="Arial Unicode MS" w:hAnsi="Arial" w:cs="Arial"/>
          <w:b/>
          <w:bCs/>
          <w:sz w:val="24"/>
        </w:rPr>
        <w:t>5</w:t>
      </w:r>
      <w:r w:rsidR="00D7086E">
        <w:rPr>
          <w:rFonts w:ascii="Arial" w:eastAsia="Arial Unicode MS" w:hAnsi="Arial" w:cs="Arial"/>
          <w:b/>
          <w:bCs/>
          <w:sz w:val="24"/>
        </w:rPr>
        <w:t>6</w:t>
      </w:r>
      <w:r>
        <w:rPr>
          <w:rFonts w:ascii="Arial" w:eastAsia="Arial Unicode MS" w:hAnsi="Arial" w:cs="Arial"/>
          <w:b/>
          <w:bCs/>
          <w:sz w:val="24"/>
        </w:rPr>
        <w:tab/>
      </w:r>
      <w:r w:rsidRPr="00B879C9">
        <w:rPr>
          <w:rFonts w:ascii="Arial" w:eastAsia="Arial Unicode MS" w:hAnsi="Arial" w:cs="Arial"/>
          <w:b/>
          <w:i/>
          <w:sz w:val="28"/>
        </w:rPr>
        <w:t>S2-2</w:t>
      </w:r>
      <w:r w:rsidR="0058246D">
        <w:rPr>
          <w:rFonts w:ascii="Arial" w:eastAsia="Arial Unicode MS" w:hAnsi="Arial" w:cs="Arial"/>
          <w:b/>
          <w:i/>
          <w:sz w:val="28"/>
        </w:rPr>
        <w:t>3</w:t>
      </w:r>
      <w:r w:rsidR="00C355FF">
        <w:rPr>
          <w:rFonts w:ascii="Arial" w:eastAsia="Arial Unicode MS" w:hAnsi="Arial" w:cs="Arial"/>
          <w:b/>
          <w:i/>
          <w:sz w:val="28"/>
        </w:rPr>
        <w:t>04544</w:t>
      </w:r>
    </w:p>
    <w:p w14:paraId="4272A802" w14:textId="159D2C1E" w:rsidR="00BC3C6F" w:rsidRPr="003244C5" w:rsidRDefault="00D7086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E-meeting, </w:t>
      </w:r>
      <w:r w:rsidR="009B0A97" w:rsidRPr="009B0A97">
        <w:rPr>
          <w:rFonts w:ascii="Arial" w:eastAsia="Arial Unicode MS" w:hAnsi="Arial" w:cs="Arial"/>
          <w:b/>
          <w:bCs/>
          <w:sz w:val="24"/>
        </w:rPr>
        <w:t>202</w:t>
      </w:r>
      <w:r w:rsidR="0058246D">
        <w:rPr>
          <w:rFonts w:ascii="Arial" w:eastAsia="Arial Unicode MS" w:hAnsi="Arial" w:cs="Arial"/>
          <w:b/>
          <w:bCs/>
          <w:sz w:val="24"/>
        </w:rPr>
        <w:t>3</w:t>
      </w:r>
      <w:r w:rsidR="009B0A97" w:rsidRPr="00AD06CC">
        <w:rPr>
          <w:rFonts w:ascii="Cambria Math" w:eastAsia="Arial Unicode MS" w:hAnsi="Cambria Math" w:cs="Cambria Math"/>
          <w:b/>
          <w:bCs/>
          <w:sz w:val="24"/>
        </w:rPr>
        <w:t>‑</w:t>
      </w:r>
      <w:r w:rsidR="0058246D" w:rsidRPr="0058246D">
        <w:rPr>
          <w:rFonts w:ascii="Arial" w:eastAsia="Arial Unicode MS" w:hAnsi="Arial" w:cs="Arial"/>
          <w:b/>
          <w:bCs/>
          <w:sz w:val="24"/>
        </w:rPr>
        <w:t>0</w:t>
      </w:r>
      <w:r>
        <w:rPr>
          <w:rFonts w:ascii="Arial" w:eastAsia="Arial Unicode MS" w:hAnsi="Arial" w:cs="Arial"/>
          <w:b/>
          <w:bCs/>
          <w:sz w:val="24"/>
        </w:rPr>
        <w:t>4</w:t>
      </w:r>
      <w:r w:rsidR="00B66AD7">
        <w:rPr>
          <w:rFonts w:ascii="Arial" w:eastAsia="Arial Unicode MS" w:hAnsi="Arial" w:cs="Arial"/>
          <w:b/>
          <w:bCs/>
          <w:sz w:val="24"/>
        </w:rPr>
        <w:t>-</w:t>
      </w:r>
      <w:r>
        <w:rPr>
          <w:rFonts w:ascii="Arial" w:eastAsia="Arial Unicode MS" w:hAnsi="Arial" w:cs="Arial"/>
          <w:b/>
          <w:bCs/>
          <w:sz w:val="24"/>
        </w:rPr>
        <w:t>17</w:t>
      </w:r>
      <w:r w:rsidR="00A956B7">
        <w:rPr>
          <w:rFonts w:ascii="Arial" w:eastAsia="Arial Unicode MS" w:hAnsi="Arial" w:cs="Arial"/>
          <w:b/>
          <w:bCs/>
          <w:sz w:val="24"/>
        </w:rPr>
        <w:t xml:space="preserve"> </w:t>
      </w:r>
      <w:r w:rsidR="009B0A97" w:rsidRPr="009B0A97">
        <w:rPr>
          <w:rFonts w:ascii="Arial" w:eastAsia="Arial Unicode MS" w:hAnsi="Arial" w:cs="Arial"/>
          <w:b/>
          <w:bCs/>
          <w:sz w:val="24"/>
        </w:rPr>
        <w:t>- 202</w:t>
      </w:r>
      <w:r w:rsidR="0058246D">
        <w:rPr>
          <w:rFonts w:ascii="Arial" w:eastAsia="Arial Unicode MS" w:hAnsi="Arial" w:cs="Arial"/>
          <w:b/>
          <w:bCs/>
          <w:sz w:val="24"/>
        </w:rPr>
        <w:t>3</w:t>
      </w:r>
      <w:r w:rsidR="009B0A97" w:rsidRPr="00AD06CC">
        <w:rPr>
          <w:rFonts w:ascii="Cambria Math" w:eastAsia="Arial Unicode MS" w:hAnsi="Cambria Math" w:cs="Cambria Math"/>
          <w:b/>
          <w:bCs/>
          <w:sz w:val="24"/>
        </w:rPr>
        <w:t>‑</w:t>
      </w:r>
      <w:r w:rsidR="0058246D" w:rsidRPr="0058246D">
        <w:rPr>
          <w:rFonts w:ascii="Arial" w:eastAsia="Arial Unicode MS" w:hAnsi="Arial" w:cs="Arial"/>
          <w:b/>
          <w:bCs/>
          <w:sz w:val="24"/>
        </w:rPr>
        <w:t>0</w:t>
      </w:r>
      <w:r>
        <w:rPr>
          <w:rFonts w:ascii="Arial" w:eastAsia="Arial Unicode MS" w:hAnsi="Arial" w:cs="Arial"/>
          <w:b/>
          <w:bCs/>
          <w:sz w:val="24"/>
        </w:rPr>
        <w:t>4</w:t>
      </w:r>
      <w:r w:rsidR="00B66AD7">
        <w:rPr>
          <w:rFonts w:ascii="Arial" w:eastAsia="Arial Unicode MS" w:hAnsi="Arial" w:cs="Arial"/>
          <w:b/>
          <w:bCs/>
          <w:sz w:val="24"/>
        </w:rPr>
        <w:t>-</w:t>
      </w:r>
      <w:r w:rsidR="0058246D">
        <w:rPr>
          <w:rFonts w:ascii="Arial" w:eastAsia="Arial Unicode MS" w:hAnsi="Arial" w:cs="Arial"/>
          <w:b/>
          <w:bCs/>
          <w:sz w:val="24"/>
        </w:rPr>
        <w:t>2</w:t>
      </w:r>
      <w:r>
        <w:rPr>
          <w:rFonts w:ascii="Arial" w:eastAsia="Arial Unicode MS" w:hAnsi="Arial" w:cs="Arial"/>
          <w:b/>
          <w:bCs/>
          <w:sz w:val="24"/>
        </w:rPr>
        <w:t>1</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326913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p>
    <w:p w14:paraId="3E28018A" w14:textId="5322428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80D73">
        <w:rPr>
          <w:rFonts w:ascii="Arial" w:hAnsi="Arial" w:cs="Arial"/>
          <w:b/>
        </w:rPr>
        <w:t xml:space="preserve">Enforcing restrictions on AF specific UE Identifier </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095942B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A0829">
        <w:rPr>
          <w:rFonts w:ascii="Arial" w:hAnsi="Arial" w:cs="Arial"/>
          <w:b/>
        </w:rPr>
        <w:t>8.28</w:t>
      </w:r>
    </w:p>
    <w:p w14:paraId="28A59353" w14:textId="6A9EAEFF"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462B3D" w:rsidRPr="00CA76A1">
        <w:rPr>
          <w:rFonts w:ascii="Arial" w:hAnsi="Arial" w:cs="Arial"/>
          <w:b/>
        </w:rPr>
        <w:t xml:space="preserve"> / Rel-1</w:t>
      </w:r>
      <w:r w:rsidR="006D7852" w:rsidRPr="00CA76A1">
        <w:rPr>
          <w:rFonts w:ascii="Arial" w:hAnsi="Arial" w:cs="Arial"/>
          <w:b/>
        </w:rPr>
        <w:t>8</w:t>
      </w:r>
    </w:p>
    <w:p w14:paraId="7311A00F" w14:textId="6CF5642F"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00035665">
        <w:rPr>
          <w:rFonts w:ascii="Arial" w:hAnsi="Arial" w:cs="Arial"/>
          <w:i/>
        </w:rPr>
        <w:t xml:space="preserve"> </w:t>
      </w:r>
      <w:r w:rsidR="00C65C7E">
        <w:rPr>
          <w:rFonts w:ascii="Arial" w:hAnsi="Arial" w:cs="Arial"/>
          <w:i/>
        </w:rPr>
        <w:t>This discussion paper</w:t>
      </w:r>
      <w:r w:rsidR="00D7086E">
        <w:rPr>
          <w:rFonts w:ascii="Arial" w:hAnsi="Arial" w:cs="Arial"/>
          <w:i/>
        </w:rPr>
        <w:t xml:space="preserve"> analyses the impact</w:t>
      </w:r>
      <w:r w:rsidR="00480D73">
        <w:rPr>
          <w:rFonts w:ascii="Arial" w:hAnsi="Arial" w:cs="Arial"/>
          <w:i/>
        </w:rPr>
        <w:t xml:space="preserve"> on 3GPP TS 23.501</w:t>
      </w:r>
      <w:r w:rsidR="00D7086E">
        <w:rPr>
          <w:rFonts w:ascii="Arial" w:hAnsi="Arial" w:cs="Arial"/>
          <w:i/>
        </w:rPr>
        <w:t xml:space="preserve"> from the SA3 conclusion on managing uniqueness of AF specific UE ID across different AFs</w:t>
      </w:r>
      <w:r w:rsidR="00552358">
        <w:rPr>
          <w:rFonts w:ascii="Arial" w:hAnsi="Arial" w:cs="Arial"/>
          <w:i/>
        </w:rPr>
        <w:t>. Related to incoming LS in S2-2303921.</w:t>
      </w:r>
      <w:r w:rsidR="00C65C7E">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C2DD1D" w14:textId="00BC3713" w:rsidR="00F53661" w:rsidRPr="00F53661" w:rsidRDefault="00694C72" w:rsidP="00694C72">
      <w:pPr>
        <w:pStyle w:val="Heading3"/>
      </w:pPr>
      <w:bookmarkStart w:id="0" w:name="_Toc519004414"/>
      <w:r>
        <w:t xml:space="preserve">1.1 </w:t>
      </w:r>
      <w:r w:rsidR="006101DF">
        <w:t>Introduction</w:t>
      </w:r>
    </w:p>
    <w:bookmarkEnd w:id="0"/>
    <w:p w14:paraId="752F44FD" w14:textId="2FBF8A5B" w:rsidR="00D02218" w:rsidRDefault="00D7086E" w:rsidP="00D7086E">
      <w:pPr>
        <w:rPr>
          <w:bCs/>
        </w:rPr>
      </w:pPr>
      <w:r>
        <w:rPr>
          <w:bCs/>
        </w:rPr>
        <w:t>SA3 informed in their LS to SA2 (S2-23</w:t>
      </w:r>
      <w:r w:rsidR="00D02218">
        <w:rPr>
          <w:bCs/>
        </w:rPr>
        <w:t>0</w:t>
      </w:r>
      <w:r w:rsidR="00C35DF3">
        <w:rPr>
          <w:bCs/>
        </w:rPr>
        <w:t>3921/S3-230462</w:t>
      </w:r>
      <w:r w:rsidR="00D02218">
        <w:rPr>
          <w:bCs/>
        </w:rPr>
        <w:t xml:space="preserve">) that SA3 has not specified anything for enforcing AF Specific UE Identifier </w:t>
      </w:r>
      <w:r w:rsidR="001A0612">
        <w:rPr>
          <w:bCs/>
        </w:rPr>
        <w:t>to be</w:t>
      </w:r>
      <w:r w:rsidR="00D02218">
        <w:rPr>
          <w:bCs/>
        </w:rPr>
        <w:t xml:space="preserve"> unique across different AFs. The AF specific UE Identifier is defined</w:t>
      </w:r>
      <w:r w:rsidR="001A0612">
        <w:rPr>
          <w:bCs/>
        </w:rPr>
        <w:t xml:space="preserve"> </w:t>
      </w:r>
      <w:r w:rsidR="00D02218">
        <w:rPr>
          <w:bCs/>
        </w:rPr>
        <w:t>in 3GPP TS 23.501 in the form of an External Identifier and by virtue of the format defined for External Identifier in 3GPP TS 23.003 and 3GPP TS 23.682</w:t>
      </w:r>
      <w:r w:rsidR="00C35DF3">
        <w:rPr>
          <w:bCs/>
        </w:rPr>
        <w:t>,</w:t>
      </w:r>
      <w:r w:rsidR="00D02218">
        <w:rPr>
          <w:bCs/>
        </w:rPr>
        <w:t xml:space="preserve"> the AF Specific UE Identifier can be ensured to be different for different AFs by MNO configuration. </w:t>
      </w:r>
    </w:p>
    <w:p w14:paraId="7A0985C2" w14:textId="77777777" w:rsidR="00F47045" w:rsidRDefault="00F47045" w:rsidP="00D7086E">
      <w:pPr>
        <w:rPr>
          <w:bCs/>
        </w:rPr>
      </w:pPr>
    </w:p>
    <w:p w14:paraId="4BFF595F" w14:textId="21712137" w:rsidR="00F47045" w:rsidRPr="00F47045" w:rsidRDefault="00F47045" w:rsidP="00F47045">
      <w:pPr>
        <w:pStyle w:val="Heading3"/>
      </w:pPr>
      <w:r w:rsidRPr="00F47045">
        <w:t>1.2 Discussions during SA2#155</w:t>
      </w:r>
    </w:p>
    <w:p w14:paraId="39872EF2" w14:textId="34468C96" w:rsidR="00F47045" w:rsidRDefault="00D02218" w:rsidP="00D7086E">
      <w:pPr>
        <w:rPr>
          <w:bCs/>
        </w:rPr>
      </w:pPr>
      <w:r>
        <w:rPr>
          <w:bCs/>
        </w:rPr>
        <w:t>In SA2#155, the CR</w:t>
      </w:r>
      <w:r w:rsidR="00F47045">
        <w:rPr>
          <w:bCs/>
        </w:rPr>
        <w:t xml:space="preserve">4155 to 3GPP TS 23.501 (R1 in S2-2303270) proposed to reword the NOTE 2 in clause 5.20 of 3GPP TS 23.501 to provide helpful information </w:t>
      </w:r>
      <w:r w:rsidR="00480D73">
        <w:rPr>
          <w:bCs/>
        </w:rPr>
        <w:t>on how</w:t>
      </w:r>
      <w:r w:rsidR="00F47045">
        <w:rPr>
          <w:bCs/>
        </w:rPr>
        <w:t xml:space="preserve"> the AF specific UE Identifier is ensured to be unique across different AFs. </w:t>
      </w:r>
      <w:r w:rsidR="001A0612">
        <w:rPr>
          <w:bCs/>
        </w:rPr>
        <w:t>Additionally,</w:t>
      </w:r>
      <w:r w:rsidR="00F47045">
        <w:rPr>
          <w:bCs/>
        </w:rPr>
        <w:t xml:space="preserve"> the NOTE also contained text on how the 5GC</w:t>
      </w:r>
      <w:r w:rsidR="00AD36FD">
        <w:rPr>
          <w:bCs/>
        </w:rPr>
        <w:t xml:space="preserve"> (specifically NEF)</w:t>
      </w:r>
      <w:r w:rsidR="00F47045">
        <w:rPr>
          <w:bCs/>
        </w:rPr>
        <w:t xml:space="preserve"> can enforce </w:t>
      </w:r>
      <w:r w:rsidR="00480D73">
        <w:rPr>
          <w:bCs/>
        </w:rPr>
        <w:t>any usage restrictions on</w:t>
      </w:r>
      <w:r w:rsidR="00F47045">
        <w:rPr>
          <w:bCs/>
        </w:rPr>
        <w:t xml:space="preserve"> AF Specific UE Identifier</w:t>
      </w:r>
      <w:r w:rsidR="00480D73">
        <w:rPr>
          <w:bCs/>
        </w:rPr>
        <w:t xml:space="preserve"> (e.g., the identifier </w:t>
      </w:r>
      <w:r w:rsidR="00F47045">
        <w:rPr>
          <w:bCs/>
        </w:rPr>
        <w:t>is used only the AF that was authorized to use it</w:t>
      </w:r>
      <w:r w:rsidR="00480D73">
        <w:rPr>
          <w:bCs/>
        </w:rPr>
        <w:t>)</w:t>
      </w:r>
      <w:r w:rsidR="00F47045">
        <w:rPr>
          <w:bCs/>
        </w:rPr>
        <w:t xml:space="preserve">. The proposed NOTE 2 is copied below for reference: </w:t>
      </w:r>
    </w:p>
    <w:tbl>
      <w:tblPr>
        <w:tblStyle w:val="TableGrid"/>
        <w:tblW w:w="0" w:type="auto"/>
        <w:tblLook w:val="04A0" w:firstRow="1" w:lastRow="0" w:firstColumn="1" w:lastColumn="0" w:noHBand="0" w:noVBand="1"/>
      </w:tblPr>
      <w:tblGrid>
        <w:gridCol w:w="9628"/>
      </w:tblGrid>
      <w:tr w:rsidR="00F47045" w14:paraId="72AD40CF" w14:textId="77777777" w:rsidTr="00F47045">
        <w:tc>
          <w:tcPr>
            <w:tcW w:w="9628" w:type="dxa"/>
          </w:tcPr>
          <w:p w14:paraId="0EB93830" w14:textId="3A847369" w:rsidR="00F47045" w:rsidRPr="00F47045" w:rsidRDefault="00F47045" w:rsidP="00F47045">
            <w:pPr>
              <w:pStyle w:val="NO"/>
            </w:pPr>
            <w:r w:rsidRPr="009B7589">
              <w:t>NOTE 2:</w:t>
            </w:r>
            <w:r w:rsidRPr="009B7589">
              <w:tab/>
            </w:r>
            <w:r w:rsidRPr="00BF2048">
              <w:t>The AF specific UE identifier is ensured to be unique across different AF</w:t>
            </w:r>
            <w:r>
              <w:t>s</w:t>
            </w:r>
            <w:r w:rsidRPr="00BF2048">
              <w:t xml:space="preserve"> by the MNO configuration as defined in 3GPP TS 23.003 [19]. The enforcement of restrictions on the usage of 'AF specific UE identifier’ is up to NEF implementation</w:t>
            </w:r>
            <w:r w:rsidRPr="009B7589">
              <w:t>.</w:t>
            </w:r>
          </w:p>
        </w:tc>
      </w:tr>
    </w:tbl>
    <w:p w14:paraId="7BA8109F" w14:textId="328F2B91" w:rsidR="00F47045" w:rsidRDefault="00F47045" w:rsidP="00D7086E">
      <w:pPr>
        <w:rPr>
          <w:bCs/>
        </w:rPr>
      </w:pPr>
      <w:r>
        <w:rPr>
          <w:bCs/>
        </w:rPr>
        <w:t xml:space="preserve"> </w:t>
      </w:r>
    </w:p>
    <w:p w14:paraId="3E2F9EAE" w14:textId="170AE402" w:rsidR="00AE03F3" w:rsidRDefault="00AE03F3" w:rsidP="00D7086E">
      <w:pPr>
        <w:rPr>
          <w:bCs/>
        </w:rPr>
      </w:pPr>
      <w:r>
        <w:rPr>
          <w:bCs/>
        </w:rPr>
        <w:t>An example of restriction would be to allow AF specific UE identifier for use only by the AF which had invoked NEF UEId</w:t>
      </w:r>
      <w:r w:rsidR="0068392A">
        <w:rPr>
          <w:bCs/>
        </w:rPr>
        <w:t>_Get</w:t>
      </w:r>
      <w:r>
        <w:rPr>
          <w:bCs/>
        </w:rPr>
        <w:t xml:space="preserve"> service</w:t>
      </w:r>
      <w:r w:rsidR="0068392A">
        <w:rPr>
          <w:bCs/>
        </w:rPr>
        <w:t xml:space="preserve"> operation</w:t>
      </w:r>
      <w:r>
        <w:rPr>
          <w:bCs/>
        </w:rPr>
        <w:t>. This kind of behaviour depends on the MNO policies. It is proposed to reword this sentence as “</w:t>
      </w:r>
      <w:r w:rsidRPr="00AE03F3">
        <w:t>Based on MNO policies, NEF may enforce restrictions on the usage of AF specific UE identifier in further NEF service invocations.</w:t>
      </w:r>
      <w:r>
        <w:t>”</w:t>
      </w:r>
      <w:r>
        <w:rPr>
          <w:bCs/>
        </w:rPr>
        <w:t xml:space="preserve">    </w:t>
      </w:r>
    </w:p>
    <w:p w14:paraId="70565378" w14:textId="3873667D" w:rsidR="008938AF" w:rsidRDefault="00F47045" w:rsidP="00D7086E">
      <w:pPr>
        <w:rPr>
          <w:bCs/>
        </w:rPr>
      </w:pPr>
      <w:r>
        <w:rPr>
          <w:bCs/>
        </w:rPr>
        <w:t xml:space="preserve">However, an additional point was raised during the subsequent sessions that NEF by itself may not be able to enforce the usage restrictions. An example scenario raised by companies was of an AF that retrieved an AF Specific UE Identifier </w:t>
      </w:r>
      <w:r w:rsidR="00D21A33">
        <w:rPr>
          <w:bCs/>
        </w:rPr>
        <w:t xml:space="preserve">from NEF then subsequently invokes services from another 5GC NF e.g., PCF directly. </w:t>
      </w:r>
      <w:r>
        <w:rPr>
          <w:bCs/>
        </w:rPr>
        <w:t xml:space="preserve">  </w:t>
      </w:r>
    </w:p>
    <w:p w14:paraId="5BB163FE" w14:textId="72B3D088" w:rsidR="00CE47DB" w:rsidRDefault="00C35DF3" w:rsidP="00CE47DB">
      <w:pPr>
        <w:rPr>
          <w:bCs/>
        </w:rPr>
      </w:pPr>
      <w:r>
        <w:rPr>
          <w:bCs/>
        </w:rPr>
        <w:t>It is not clear whether such</w:t>
      </w:r>
      <w:r w:rsidR="00CE47DB">
        <w:rPr>
          <w:bCs/>
        </w:rPr>
        <w:t xml:space="preserve"> requirement</w:t>
      </w:r>
      <w:r>
        <w:rPr>
          <w:bCs/>
        </w:rPr>
        <w:t>s were already considered</w:t>
      </w:r>
      <w:r w:rsidR="00CE47DB">
        <w:rPr>
          <w:bCs/>
        </w:rPr>
        <w:t xml:space="preserve"> in the scope of the work to introduce NEF UEId service. 3GPP TS 23.502 Clause 4.15.10</w:t>
      </w:r>
      <w:r w:rsidR="00480D73">
        <w:rPr>
          <w:bCs/>
        </w:rPr>
        <w:t>,</w:t>
      </w:r>
      <w:r w:rsidR="00CE47DB">
        <w:rPr>
          <w:bCs/>
        </w:rPr>
        <w:t xml:space="preserve"> which contains the procedure description for the UE Id retrieval</w:t>
      </w:r>
      <w:r w:rsidR="0032637D">
        <w:rPr>
          <w:bCs/>
        </w:rPr>
        <w:t>,</w:t>
      </w:r>
      <w:r w:rsidR="00480D73">
        <w:rPr>
          <w:bCs/>
        </w:rPr>
        <w:t xml:space="preserve"> has a</w:t>
      </w:r>
      <w:r w:rsidR="00CE47DB">
        <w:rPr>
          <w:bCs/>
        </w:rPr>
        <w:t xml:space="preserve"> NOTE 1 </w:t>
      </w:r>
      <w:r w:rsidR="00480D73">
        <w:rPr>
          <w:bCs/>
        </w:rPr>
        <w:t>as copied below:</w:t>
      </w:r>
      <w:r w:rsidR="00CE47DB">
        <w:rPr>
          <w:bCs/>
        </w:rPr>
        <w:t xml:space="preserve"> </w:t>
      </w:r>
    </w:p>
    <w:tbl>
      <w:tblPr>
        <w:tblStyle w:val="TableGrid"/>
        <w:tblW w:w="0" w:type="auto"/>
        <w:tblLook w:val="04A0" w:firstRow="1" w:lastRow="0" w:firstColumn="1" w:lastColumn="0" w:noHBand="0" w:noVBand="1"/>
      </w:tblPr>
      <w:tblGrid>
        <w:gridCol w:w="9628"/>
      </w:tblGrid>
      <w:tr w:rsidR="00CE47DB" w14:paraId="3A75BBB8" w14:textId="77777777" w:rsidTr="00CE47DB">
        <w:tc>
          <w:tcPr>
            <w:tcW w:w="9628" w:type="dxa"/>
          </w:tcPr>
          <w:p w14:paraId="4C2B76B4" w14:textId="464650FA" w:rsidR="00CE47DB" w:rsidRPr="00CE47DB" w:rsidRDefault="00CE47DB" w:rsidP="00CE47DB">
            <w:pPr>
              <w:pStyle w:val="NormalWeb"/>
              <w:rPr>
                <w:lang w:val="en-DE" w:eastAsia="en-GB"/>
              </w:rPr>
            </w:pPr>
            <w:r>
              <w:rPr>
                <w:rFonts w:ascii="TimesNewRomanPSMT" w:hAnsi="TimesNewRomanPSMT"/>
                <w:sz w:val="20"/>
                <w:szCs w:val="20"/>
              </w:rPr>
              <w:t>NOTE 1: After retrieving AF specific UE ID, the AF can invoke NEF provided services (</w:t>
            </w:r>
            <w:r w:rsidR="00C35DF3">
              <w:rPr>
                <w:rFonts w:ascii="TimesNewRomanPSMT" w:hAnsi="TimesNewRomanPSMT"/>
                <w:sz w:val="20"/>
                <w:szCs w:val="20"/>
              </w:rPr>
              <w:t>e.g.</w:t>
            </w:r>
            <w:r>
              <w:rPr>
                <w:rFonts w:ascii="TimesNewRomanPSMT" w:hAnsi="TimesNewRomanPSMT"/>
                <w:sz w:val="20"/>
                <w:szCs w:val="20"/>
              </w:rPr>
              <w:t xml:space="preserve"> location monitoring). </w:t>
            </w:r>
          </w:p>
        </w:tc>
      </w:tr>
    </w:tbl>
    <w:p w14:paraId="09F6EC96" w14:textId="3F55EA7B" w:rsidR="00D7086E" w:rsidRDefault="00D7086E" w:rsidP="00D7086E">
      <w:pPr>
        <w:rPr>
          <w:bCs/>
        </w:rPr>
      </w:pPr>
    </w:p>
    <w:p w14:paraId="39CE9274" w14:textId="5844A607" w:rsidR="00B03CE5" w:rsidRDefault="00B03CE5" w:rsidP="00D7086E">
      <w:pPr>
        <w:rPr>
          <w:bCs/>
        </w:rPr>
      </w:pPr>
      <w:r>
        <w:rPr>
          <w:bCs/>
        </w:rPr>
        <w:t xml:space="preserve">It appears that intention of the feature was to enable an AF to further invoke NEF provided services. </w:t>
      </w:r>
    </w:p>
    <w:p w14:paraId="4AB74345" w14:textId="239582FB" w:rsidR="00AD36FD" w:rsidRDefault="00D21A33" w:rsidP="00D7086E">
      <w:pPr>
        <w:rPr>
          <w:bCs/>
        </w:rPr>
      </w:pPr>
      <w:r>
        <w:rPr>
          <w:bCs/>
        </w:rPr>
        <w:lastRenderedPageBreak/>
        <w:t>The N</w:t>
      </w:r>
      <w:r w:rsidR="0068392A">
        <w:rPr>
          <w:bCs/>
        </w:rPr>
        <w:t>nef_</w:t>
      </w:r>
      <w:r>
        <w:rPr>
          <w:bCs/>
        </w:rPr>
        <w:t>UEId service was defined for</w:t>
      </w:r>
      <w:r w:rsidR="0068392A">
        <w:rPr>
          <w:bCs/>
        </w:rPr>
        <w:t xml:space="preserve"> the typical use by an</w:t>
      </w:r>
      <w:r>
        <w:rPr>
          <w:bCs/>
        </w:rPr>
        <w:t xml:space="preserve"> untrusted AF which do not have any identifier for the UE except IP Address</w:t>
      </w:r>
      <w:r w:rsidR="005351BC">
        <w:rPr>
          <w:bCs/>
        </w:rPr>
        <w:t xml:space="preserve"> or MAC address</w:t>
      </w:r>
      <w:r>
        <w:rPr>
          <w:bCs/>
        </w:rPr>
        <w:t xml:space="preserve">. </w:t>
      </w:r>
      <w:r w:rsidR="00AD36FD">
        <w:rPr>
          <w:bCs/>
        </w:rPr>
        <w:t>I</w:t>
      </w:r>
      <w:r>
        <w:rPr>
          <w:bCs/>
        </w:rPr>
        <w:t>t is unlikely that such an AF will have the necessary credentials to directly invoke other 5GC NF services. Looking at this the other way, if the AF</w:t>
      </w:r>
      <w:r w:rsidR="00AD36FD">
        <w:rPr>
          <w:bCs/>
        </w:rPr>
        <w:t xml:space="preserve"> had credentials to invoke PCF services</w:t>
      </w:r>
      <w:r>
        <w:rPr>
          <w:bCs/>
        </w:rPr>
        <w:t>, then it would not have the need to retrieve AF Specific UE Identifier</w:t>
      </w:r>
      <w:r w:rsidR="00AD36FD">
        <w:rPr>
          <w:bCs/>
        </w:rPr>
        <w:t xml:space="preserve"> through NEF</w:t>
      </w:r>
      <w:r>
        <w:rPr>
          <w:bCs/>
        </w:rPr>
        <w:t>.</w:t>
      </w:r>
    </w:p>
    <w:p w14:paraId="29A9D8F4" w14:textId="3E8EB2DC" w:rsidR="00CE47DB" w:rsidRDefault="0068392A" w:rsidP="00D7086E">
      <w:pPr>
        <w:rPr>
          <w:bCs/>
        </w:rPr>
      </w:pPr>
      <w:r>
        <w:rPr>
          <w:bCs/>
        </w:rPr>
        <w:t>Additionally,</w:t>
      </w:r>
      <w:r w:rsidR="00CE47DB">
        <w:rPr>
          <w:bCs/>
        </w:rPr>
        <w:t xml:space="preserve"> we can look at the </w:t>
      </w:r>
      <w:r w:rsidR="00B8482B">
        <w:rPr>
          <w:bCs/>
        </w:rPr>
        <w:t xml:space="preserve">services exposed by other 5GC NFs which accept GPSI as an input parameter to see if the above mentioned scenario might be applicable: </w:t>
      </w:r>
    </w:p>
    <w:p w14:paraId="6956200E" w14:textId="74018B10" w:rsidR="00CE47DB" w:rsidRDefault="00CE47DB" w:rsidP="00D7086E">
      <w:pPr>
        <w:rPr>
          <w:bCs/>
        </w:rPr>
      </w:pPr>
      <w:r>
        <w:rPr>
          <w:bCs/>
        </w:rPr>
        <w:t>TSCTSF</w:t>
      </w:r>
      <w:r w:rsidR="00315C6C">
        <w:rPr>
          <w:bCs/>
        </w:rPr>
        <w:t xml:space="preserve"> ASTI</w:t>
      </w:r>
      <w:r>
        <w:rPr>
          <w:bCs/>
        </w:rPr>
        <w:t xml:space="preserve"> service</w:t>
      </w:r>
      <w:r w:rsidR="005347C0">
        <w:rPr>
          <w:bCs/>
        </w:rPr>
        <w:t xml:space="preserve"> (Access Stratum Timing Distribution): It is possible to use </w:t>
      </w:r>
      <w:r w:rsidR="00315C6C">
        <w:rPr>
          <w:bCs/>
        </w:rPr>
        <w:t xml:space="preserve">GPSI is </w:t>
      </w:r>
      <w:r w:rsidR="005347C0">
        <w:rPr>
          <w:bCs/>
        </w:rPr>
        <w:t>a required</w:t>
      </w:r>
      <w:r w:rsidR="00315C6C">
        <w:rPr>
          <w:bCs/>
        </w:rPr>
        <w:t xml:space="preserve"> input parameter. </w:t>
      </w:r>
      <w:r w:rsidR="005347C0">
        <w:rPr>
          <w:bCs/>
        </w:rPr>
        <w:t xml:space="preserve">This service can be invoked by an </w:t>
      </w:r>
      <w:r w:rsidR="00315C6C">
        <w:rPr>
          <w:bCs/>
        </w:rPr>
        <w:t xml:space="preserve">AF. But it is a very specific </w:t>
      </w:r>
      <w:r w:rsidR="005347C0">
        <w:rPr>
          <w:bCs/>
        </w:rPr>
        <w:t>service,</w:t>
      </w:r>
      <w:r w:rsidR="00315C6C">
        <w:rPr>
          <w:bCs/>
        </w:rPr>
        <w:t xml:space="preserve"> and </w:t>
      </w:r>
      <w:r w:rsidR="005347C0">
        <w:rPr>
          <w:bCs/>
        </w:rPr>
        <w:t xml:space="preserve">it seems unlikely the use case </w:t>
      </w:r>
      <w:r w:rsidR="00315C6C">
        <w:rPr>
          <w:bCs/>
        </w:rPr>
        <w:t xml:space="preserve">would </w:t>
      </w:r>
      <w:r w:rsidR="005347C0">
        <w:rPr>
          <w:bCs/>
        </w:rPr>
        <w:t>ap</w:t>
      </w:r>
      <w:r w:rsidR="00315C6C">
        <w:rPr>
          <w:bCs/>
        </w:rPr>
        <w:t>ply</w:t>
      </w:r>
      <w:r w:rsidR="005347C0">
        <w:rPr>
          <w:bCs/>
        </w:rPr>
        <w:t xml:space="preserve"> with this service</w:t>
      </w:r>
      <w:r w:rsidR="00315C6C">
        <w:rPr>
          <w:bCs/>
        </w:rPr>
        <w:t xml:space="preserve"> (</w:t>
      </w:r>
      <w:r w:rsidR="005347C0">
        <w:rPr>
          <w:bCs/>
        </w:rPr>
        <w:t xml:space="preserve">an AF using </w:t>
      </w:r>
      <w:r w:rsidR="00315C6C">
        <w:rPr>
          <w:bCs/>
        </w:rPr>
        <w:t>IP address to</w:t>
      </w:r>
      <w:r w:rsidR="005347C0">
        <w:rPr>
          <w:bCs/>
        </w:rPr>
        <w:t xml:space="preserve"> translate to AF Specific </w:t>
      </w:r>
      <w:r w:rsidR="00315C6C">
        <w:rPr>
          <w:bCs/>
        </w:rPr>
        <w:t>UE</w:t>
      </w:r>
      <w:r w:rsidR="005347C0">
        <w:rPr>
          <w:bCs/>
        </w:rPr>
        <w:t xml:space="preserve"> I</w:t>
      </w:r>
      <w:r w:rsidR="00315C6C">
        <w:rPr>
          <w:bCs/>
        </w:rPr>
        <w:t>d</w:t>
      </w:r>
      <w:r w:rsidR="005347C0">
        <w:rPr>
          <w:bCs/>
        </w:rPr>
        <w:t>entifier</w:t>
      </w:r>
      <w:r w:rsidR="00315C6C">
        <w:rPr>
          <w:bCs/>
        </w:rPr>
        <w:t xml:space="preserve"> and then configur</w:t>
      </w:r>
      <w:r w:rsidR="005347C0">
        <w:rPr>
          <w:bCs/>
        </w:rPr>
        <w:t>ing</w:t>
      </w:r>
      <w:r w:rsidR="00315C6C">
        <w:rPr>
          <w:bCs/>
        </w:rPr>
        <w:t xml:space="preserve"> the session for ASTI)</w:t>
      </w:r>
      <w:r w:rsidR="005347C0">
        <w:rPr>
          <w:bCs/>
        </w:rPr>
        <w:t>.</w:t>
      </w:r>
    </w:p>
    <w:p w14:paraId="1670E22E" w14:textId="46E5C819" w:rsidR="00CE47DB" w:rsidRDefault="00315C6C" w:rsidP="00D7086E">
      <w:pPr>
        <w:rPr>
          <w:bCs/>
        </w:rPr>
      </w:pPr>
      <w:r>
        <w:rPr>
          <w:bCs/>
        </w:rPr>
        <w:t>AMF services</w:t>
      </w:r>
      <w:r w:rsidR="005347C0">
        <w:rPr>
          <w:bCs/>
        </w:rPr>
        <w:t xml:space="preserve">: </w:t>
      </w:r>
      <w:r>
        <w:rPr>
          <w:bCs/>
        </w:rPr>
        <w:t>GPSI is an optional (if available, along with SUPI)</w:t>
      </w:r>
      <w:r w:rsidR="00407F9B">
        <w:rPr>
          <w:bCs/>
        </w:rPr>
        <w:t xml:space="preserve">. </w:t>
      </w:r>
      <w:r w:rsidR="005347C0">
        <w:rPr>
          <w:bCs/>
        </w:rPr>
        <w:t>Additionally,</w:t>
      </w:r>
      <w:r w:rsidR="00882FF7">
        <w:rPr>
          <w:bCs/>
        </w:rPr>
        <w:t xml:space="preserve"> AF cannot be a service invoker</w:t>
      </w:r>
      <w:r w:rsidR="00CF4756">
        <w:rPr>
          <w:bCs/>
        </w:rPr>
        <w:t xml:space="preserve"> as per 3GPP TS 23.502</w:t>
      </w:r>
      <w:r w:rsidR="00226E84">
        <w:rPr>
          <w:bCs/>
        </w:rPr>
        <w:t xml:space="preserve"> Table 5.2.2.1-</w:t>
      </w:r>
      <w:r w:rsidR="00B03CE5">
        <w:rPr>
          <w:bCs/>
        </w:rPr>
        <w:t>1.</w:t>
      </w:r>
    </w:p>
    <w:p w14:paraId="4F57F2E9" w14:textId="3638DA40" w:rsidR="005347C0" w:rsidRDefault="005347C0" w:rsidP="005347C0">
      <w:pPr>
        <w:rPr>
          <w:bCs/>
        </w:rPr>
      </w:pPr>
      <w:r>
        <w:rPr>
          <w:bCs/>
        </w:rPr>
        <w:t xml:space="preserve">SMF event exposure: GPSI is an input parameter, if available. AF can be a service invoker only for AppRelocationInfo event exposure which does not have GPSI as an input parameter. </w:t>
      </w:r>
    </w:p>
    <w:p w14:paraId="0345A9F5" w14:textId="40433BC1" w:rsidR="005347C0" w:rsidRDefault="005347C0" w:rsidP="005347C0">
      <w:pPr>
        <w:rPr>
          <w:bCs/>
        </w:rPr>
      </w:pPr>
      <w:r>
        <w:rPr>
          <w:bCs/>
        </w:rPr>
        <w:t xml:space="preserve">PCF services: GPSI is an optional input parameter for PolicyControl services.   </w:t>
      </w:r>
    </w:p>
    <w:p w14:paraId="703A4AB5" w14:textId="17A2B207" w:rsidR="00CE47DB" w:rsidRDefault="00CE47DB" w:rsidP="00D7086E">
      <w:pPr>
        <w:rPr>
          <w:bCs/>
        </w:rPr>
      </w:pPr>
      <w:r>
        <w:rPr>
          <w:bCs/>
        </w:rPr>
        <w:t>BSF services</w:t>
      </w:r>
      <w:r w:rsidR="005347C0">
        <w:rPr>
          <w:bCs/>
        </w:rPr>
        <w:t>:</w:t>
      </w:r>
      <w:r>
        <w:rPr>
          <w:bCs/>
        </w:rPr>
        <w:t xml:space="preserve"> </w:t>
      </w:r>
      <w:r w:rsidR="005347C0">
        <w:rPr>
          <w:bCs/>
        </w:rPr>
        <w:t>E</w:t>
      </w:r>
      <w:r>
        <w:rPr>
          <w:bCs/>
        </w:rPr>
        <w:t>ither GPSI is</w:t>
      </w:r>
      <w:r w:rsidR="005347C0">
        <w:rPr>
          <w:bCs/>
        </w:rPr>
        <w:t xml:space="preserve"> </w:t>
      </w:r>
      <w:r w:rsidR="00226E84">
        <w:rPr>
          <w:bCs/>
        </w:rPr>
        <w:t>a</w:t>
      </w:r>
      <w:r>
        <w:rPr>
          <w:bCs/>
        </w:rPr>
        <w:t xml:space="preserve">n output parameter or an optional input parameter </w:t>
      </w:r>
      <w:r w:rsidR="005347C0">
        <w:rPr>
          <w:bCs/>
        </w:rPr>
        <w:t xml:space="preserve">for BSF services. </w:t>
      </w:r>
      <w:r>
        <w:rPr>
          <w:bCs/>
        </w:rPr>
        <w:t xml:space="preserve">(SUPI is the mandatory input to identify the UE) </w:t>
      </w:r>
    </w:p>
    <w:p w14:paraId="13C4F107" w14:textId="260178EC" w:rsidR="00CE47DB" w:rsidRDefault="00CE47DB" w:rsidP="00D7086E">
      <w:pPr>
        <w:rPr>
          <w:bCs/>
        </w:rPr>
      </w:pPr>
      <w:r>
        <w:rPr>
          <w:bCs/>
        </w:rPr>
        <w:t>SMSF services</w:t>
      </w:r>
      <w:r w:rsidR="005347C0">
        <w:rPr>
          <w:bCs/>
        </w:rPr>
        <w:t xml:space="preserve">: </w:t>
      </w:r>
      <w:r>
        <w:rPr>
          <w:bCs/>
        </w:rPr>
        <w:t>GPSI is an optional input parameter</w:t>
      </w:r>
      <w:r w:rsidR="005347C0">
        <w:rPr>
          <w:bCs/>
        </w:rPr>
        <w:t>. Moreover,</w:t>
      </w:r>
      <w:r w:rsidR="00882FF7">
        <w:rPr>
          <w:bCs/>
        </w:rPr>
        <w:t xml:space="preserve"> AF is not a service invoker </w:t>
      </w:r>
      <w:r w:rsidR="00226E84">
        <w:rPr>
          <w:bCs/>
        </w:rPr>
        <w:t>as per 3GPP TS 23.502 Table 5.2.9.1-</w:t>
      </w:r>
      <w:r w:rsidR="00B03CE5">
        <w:rPr>
          <w:bCs/>
        </w:rPr>
        <w:t>1.</w:t>
      </w:r>
    </w:p>
    <w:p w14:paraId="4BCB5EF3" w14:textId="3EAF12EA" w:rsidR="00CE47DB" w:rsidRDefault="00CE47DB" w:rsidP="00D7086E">
      <w:pPr>
        <w:rPr>
          <w:bCs/>
        </w:rPr>
      </w:pPr>
      <w:r>
        <w:rPr>
          <w:bCs/>
        </w:rPr>
        <w:t>UDR</w:t>
      </w:r>
      <w:r w:rsidR="00315C6C">
        <w:rPr>
          <w:bCs/>
        </w:rPr>
        <w:t xml:space="preserve"> / UDM</w:t>
      </w:r>
      <w:r>
        <w:rPr>
          <w:bCs/>
        </w:rPr>
        <w:t xml:space="preserve"> services</w:t>
      </w:r>
      <w:r w:rsidR="005347C0">
        <w:rPr>
          <w:bCs/>
        </w:rPr>
        <w:t>: GPSI is a possible input parameter. But</w:t>
      </w:r>
      <w:r>
        <w:rPr>
          <w:bCs/>
        </w:rPr>
        <w:t xml:space="preserve"> </w:t>
      </w:r>
      <w:r w:rsidR="00882FF7">
        <w:rPr>
          <w:bCs/>
        </w:rPr>
        <w:t>AF cannot be a service invoker</w:t>
      </w:r>
      <w:r w:rsidR="00226E84">
        <w:rPr>
          <w:bCs/>
        </w:rPr>
        <w:t xml:space="preserve"> as per 3GPP TS 23.502 Table 5.2.3.1-1 and Table 5.2.12.1-1</w:t>
      </w:r>
      <w:r w:rsidR="00882FF7">
        <w:rPr>
          <w:bCs/>
        </w:rPr>
        <w:t>.</w:t>
      </w:r>
      <w:r>
        <w:rPr>
          <w:bCs/>
        </w:rPr>
        <w:t xml:space="preserve"> </w:t>
      </w:r>
    </w:p>
    <w:p w14:paraId="418F4EB8" w14:textId="19D39AA0" w:rsidR="005347C0" w:rsidRDefault="005347C0" w:rsidP="005347C0">
      <w:pPr>
        <w:rPr>
          <w:bCs/>
        </w:rPr>
      </w:pPr>
      <w:r>
        <w:rPr>
          <w:bCs/>
        </w:rPr>
        <w:t xml:space="preserve">AF Event exposure: Accepts GPSI as an input parameter. </w:t>
      </w:r>
      <w:r w:rsidR="00F75735">
        <w:rPr>
          <w:bCs/>
        </w:rPr>
        <w:t>However,</w:t>
      </w:r>
      <w:r>
        <w:rPr>
          <w:bCs/>
        </w:rPr>
        <w:t xml:space="preserve"> this service is defined specifically for analytics exposure so far</w:t>
      </w:r>
      <w:r w:rsidR="00226E84">
        <w:rPr>
          <w:bCs/>
        </w:rPr>
        <w:t xml:space="preserve"> as per 3GPP TS 23.502 Clause 5.2.19.1</w:t>
      </w:r>
      <w:r>
        <w:rPr>
          <w:bCs/>
        </w:rPr>
        <w:t xml:space="preserve">. </w:t>
      </w:r>
    </w:p>
    <w:p w14:paraId="250EBDAD" w14:textId="63B59C50" w:rsidR="005347C0" w:rsidRDefault="005347C0" w:rsidP="00D7086E">
      <w:pPr>
        <w:rPr>
          <w:bCs/>
        </w:rPr>
      </w:pPr>
      <w:r>
        <w:rPr>
          <w:bCs/>
        </w:rPr>
        <w:t>Considering the above, we could infer that an inter-NF</w:t>
      </w:r>
      <w:r w:rsidR="00AE03F3">
        <w:rPr>
          <w:bCs/>
        </w:rPr>
        <w:t xml:space="preserve"> (</w:t>
      </w:r>
      <w:r w:rsidR="00B03CE5">
        <w:rPr>
          <w:bCs/>
        </w:rPr>
        <w:t>i.e.</w:t>
      </w:r>
      <w:r w:rsidR="00AE03F3">
        <w:rPr>
          <w:bCs/>
        </w:rPr>
        <w:t>, between NEF and other 5GC NFs that may expose services accepting AF Specific UE Identifiers)</w:t>
      </w:r>
      <w:r>
        <w:rPr>
          <w:bCs/>
        </w:rPr>
        <w:t xml:space="preserve"> enforcement of usage restrictions of AF specific UE Identifier is not needed. Any enforcement that is needed can be localised to NEF implementation. </w:t>
      </w:r>
    </w:p>
    <w:p w14:paraId="3199B3C5" w14:textId="30F55A36" w:rsidR="00551D1A" w:rsidRPr="005347C0" w:rsidRDefault="005347C0" w:rsidP="009A78AD">
      <w:pPr>
        <w:rPr>
          <w:b/>
        </w:rPr>
      </w:pPr>
      <w:r w:rsidRPr="005347C0">
        <w:rPr>
          <w:b/>
        </w:rPr>
        <w:t xml:space="preserve">Observation 1: An inter-NF coordination for enforcing usage restrictions of AF Specific UE Identifier is not needed.  </w:t>
      </w:r>
    </w:p>
    <w:p w14:paraId="11DB7678" w14:textId="67758C55" w:rsidR="00407F9B" w:rsidRPr="005347C0" w:rsidRDefault="005347C0" w:rsidP="009A78AD">
      <w:pPr>
        <w:rPr>
          <w:b/>
        </w:rPr>
      </w:pPr>
      <w:r w:rsidRPr="005347C0">
        <w:rPr>
          <w:b/>
        </w:rPr>
        <w:t xml:space="preserve">Proposal 1: It is proposed that SA2 agrees to </w:t>
      </w:r>
      <w:r w:rsidR="00B03CE5">
        <w:rPr>
          <w:b/>
        </w:rPr>
        <w:t xml:space="preserve">rephrase </w:t>
      </w:r>
      <w:r w:rsidRPr="005347C0">
        <w:rPr>
          <w:b/>
        </w:rPr>
        <w:t xml:space="preserve">NOTE 2 as “The AF specific UE identifier is ensured to be unique across different AFs by the MNO configuration as defined in 3GPP TS 23.003 [19]. </w:t>
      </w:r>
      <w:r w:rsidR="00AE03F3" w:rsidRPr="00AE03F3">
        <w:rPr>
          <w:b/>
          <w:bCs/>
        </w:rPr>
        <w:t>Based on MNO policies, NEF may enforce restrictions on the usage of AF specific UE identifier</w:t>
      </w:r>
      <w:r w:rsidR="00AE03F3">
        <w:rPr>
          <w:b/>
          <w:bCs/>
        </w:rPr>
        <w:t xml:space="preserve"> in further NEF service invocations.</w:t>
      </w:r>
      <w:r w:rsidRPr="005347C0">
        <w:rPr>
          <w:b/>
        </w:rPr>
        <w:t>”</w:t>
      </w:r>
    </w:p>
    <w:p w14:paraId="1A82875C" w14:textId="59B3F2D3" w:rsidR="00407F9B" w:rsidRDefault="00407F9B" w:rsidP="009A78AD">
      <w:pPr>
        <w:rPr>
          <w:bCs/>
        </w:rPr>
      </w:pPr>
      <w:r>
        <w:rPr>
          <w:bCs/>
        </w:rPr>
        <w:t>As an alternat</w:t>
      </w:r>
      <w:r w:rsidR="005347C0">
        <w:rPr>
          <w:bCs/>
        </w:rPr>
        <w:t>ive</w:t>
      </w:r>
      <w:r>
        <w:rPr>
          <w:bCs/>
        </w:rPr>
        <w:t>, we can modify the NOTE</w:t>
      </w:r>
      <w:r w:rsidR="005347C0">
        <w:rPr>
          <w:bCs/>
        </w:rPr>
        <w:t xml:space="preserve"> </w:t>
      </w:r>
      <w:r>
        <w:rPr>
          <w:bCs/>
        </w:rPr>
        <w:t xml:space="preserve">2 to capture </w:t>
      </w:r>
      <w:r w:rsidR="005347C0">
        <w:rPr>
          <w:bCs/>
        </w:rPr>
        <w:t>an inter-NF coordination</w:t>
      </w:r>
      <w:r w:rsidR="00624955">
        <w:rPr>
          <w:bCs/>
        </w:rPr>
        <w:t xml:space="preserve"> (e.g., between NEF and TSCTSF)</w:t>
      </w:r>
      <w:r w:rsidR="005347C0">
        <w:rPr>
          <w:bCs/>
        </w:rPr>
        <w:t xml:space="preserve"> for</w:t>
      </w:r>
      <w:r>
        <w:rPr>
          <w:bCs/>
        </w:rPr>
        <w:t xml:space="preserve"> enforcement is not </w:t>
      </w:r>
      <w:r w:rsidR="00AE03F3">
        <w:rPr>
          <w:bCs/>
        </w:rPr>
        <w:t>supported</w:t>
      </w:r>
      <w:r>
        <w:rPr>
          <w:bCs/>
        </w:rPr>
        <w:t xml:space="preserve"> </w:t>
      </w:r>
      <w:r w:rsidR="00AE03F3">
        <w:rPr>
          <w:bCs/>
        </w:rPr>
        <w:t xml:space="preserve">in </w:t>
      </w:r>
      <w:r>
        <w:rPr>
          <w:bCs/>
        </w:rPr>
        <w:t xml:space="preserve">this release. </w:t>
      </w:r>
    </w:p>
    <w:tbl>
      <w:tblPr>
        <w:tblStyle w:val="TableGrid"/>
        <w:tblW w:w="0" w:type="auto"/>
        <w:tblLook w:val="04A0" w:firstRow="1" w:lastRow="0" w:firstColumn="1" w:lastColumn="0" w:noHBand="0" w:noVBand="1"/>
      </w:tblPr>
      <w:tblGrid>
        <w:gridCol w:w="9628"/>
      </w:tblGrid>
      <w:tr w:rsidR="005347C0" w14:paraId="1ABA0E97" w14:textId="77777777" w:rsidTr="00BF2048">
        <w:tc>
          <w:tcPr>
            <w:tcW w:w="9628" w:type="dxa"/>
          </w:tcPr>
          <w:p w14:paraId="3DFFD5CE" w14:textId="40E4DC75" w:rsidR="005347C0" w:rsidRPr="00F47045" w:rsidRDefault="005347C0" w:rsidP="00BF2048">
            <w:pPr>
              <w:pStyle w:val="NO"/>
            </w:pPr>
            <w:r w:rsidRPr="009B7589">
              <w:t>NOTE 2:</w:t>
            </w:r>
            <w:r w:rsidRPr="009B7589">
              <w:tab/>
            </w:r>
            <w:r w:rsidRPr="00BF2048">
              <w:t>The AF specific UE identifier is ensured to be unique across different AF</w:t>
            </w:r>
            <w:r>
              <w:t>s</w:t>
            </w:r>
            <w:r w:rsidRPr="00BF2048">
              <w:t xml:space="preserve"> by the MNO configuration as defined in 3GPP TS 23.003 [19].</w:t>
            </w:r>
            <w:r w:rsidRPr="00AE03F3">
              <w:rPr>
                <w:bCs/>
              </w:rPr>
              <w:t xml:space="preserve"> </w:t>
            </w:r>
            <w:r w:rsidR="00AE03F3" w:rsidRPr="00AE03F3">
              <w:rPr>
                <w:bCs/>
              </w:rPr>
              <w:t>Based on MNO policies, NEF may enforce restrictions on the usage of AF specific UE identifier in further NEF service invocations.</w:t>
            </w:r>
            <w:r>
              <w:t xml:space="preserve"> </w:t>
            </w:r>
            <w:r w:rsidRPr="005347C0">
              <w:rPr>
                <w:highlight w:val="yellow"/>
              </w:rPr>
              <w:t xml:space="preserve">An inter-NF coordination for enforcing restriction </w:t>
            </w:r>
            <w:r w:rsidR="00AE03F3">
              <w:rPr>
                <w:highlight w:val="yellow"/>
              </w:rPr>
              <w:t xml:space="preserve">on </w:t>
            </w:r>
            <w:r w:rsidRPr="005347C0">
              <w:rPr>
                <w:highlight w:val="yellow"/>
              </w:rPr>
              <w:t>using AF specific UE Identifier is not supported in this release</w:t>
            </w:r>
            <w:r>
              <w:t>.</w:t>
            </w:r>
          </w:p>
        </w:tc>
      </w:tr>
    </w:tbl>
    <w:p w14:paraId="6BB163A6" w14:textId="77777777" w:rsidR="00407F9B" w:rsidRDefault="00407F9B" w:rsidP="009A78AD">
      <w:pPr>
        <w:rPr>
          <w:bCs/>
        </w:rPr>
      </w:pPr>
    </w:p>
    <w:p w14:paraId="7B7C3DAB" w14:textId="4F4975FD" w:rsidR="00407F9B" w:rsidRPr="005347C0" w:rsidRDefault="005347C0" w:rsidP="009A78AD">
      <w:pPr>
        <w:rPr>
          <w:b/>
        </w:rPr>
      </w:pPr>
      <w:r w:rsidRPr="005347C0">
        <w:rPr>
          <w:b/>
        </w:rPr>
        <w:t>Proposal 2: As an alternative, the NOTE 2 can be revised to make it clear that an inter-NF coordination is not supported in this release.</w:t>
      </w:r>
    </w:p>
    <w:p w14:paraId="61AA872D" w14:textId="77777777" w:rsidR="00407F9B" w:rsidRDefault="00407F9B" w:rsidP="009A78AD">
      <w:pPr>
        <w:rPr>
          <w:bCs/>
        </w:rPr>
      </w:pPr>
    </w:p>
    <w:p w14:paraId="082639B3" w14:textId="5CEC9BF6" w:rsidR="00CA089A" w:rsidRDefault="00DF3C60" w:rsidP="009A78AD">
      <w:pPr>
        <w:rPr>
          <w:rFonts w:ascii="Arial" w:hAnsi="Arial"/>
          <w:color w:val="auto"/>
          <w:sz w:val="36"/>
        </w:rPr>
      </w:pPr>
      <w:r>
        <w:rPr>
          <w:rFonts w:ascii="Arial" w:hAnsi="Arial"/>
          <w:color w:val="auto"/>
          <w:sz w:val="36"/>
        </w:rPr>
        <w:t>2. Proposal</w:t>
      </w:r>
      <w:r w:rsidRPr="00DF3C60">
        <w:rPr>
          <w:rFonts w:ascii="Arial" w:hAnsi="Arial"/>
          <w:color w:val="auto"/>
          <w:sz w:val="36"/>
        </w:rPr>
        <w:t xml:space="preserve"> </w:t>
      </w:r>
    </w:p>
    <w:p w14:paraId="4929AD88" w14:textId="775C94A7" w:rsidR="005347C0" w:rsidRDefault="00F75735" w:rsidP="004725AF">
      <w:r>
        <w:t xml:space="preserve">It is proposed that </w:t>
      </w:r>
      <w:r w:rsidR="005347C0" w:rsidRPr="00F75735">
        <w:t>SA2 agree</w:t>
      </w:r>
      <w:r>
        <w:t>s</w:t>
      </w:r>
      <w:r w:rsidR="005347C0" w:rsidRPr="00F75735">
        <w:t xml:space="preserve"> on one of the alternative proposals to </w:t>
      </w:r>
      <w:r w:rsidRPr="00F75735">
        <w:t xml:space="preserve">describe how uniqueness of AF specific UE Identifier is ensured and how usage restrictions are enforced. </w:t>
      </w:r>
      <w:r w:rsidR="005347C0" w:rsidRPr="00F75735">
        <w:t xml:space="preserve"> </w:t>
      </w:r>
    </w:p>
    <w:p w14:paraId="087275DF" w14:textId="71EA5831" w:rsidR="00F75735" w:rsidRDefault="00F75735" w:rsidP="00F75735">
      <w:pPr>
        <w:rPr>
          <w:b/>
        </w:rPr>
      </w:pPr>
      <w:r w:rsidRPr="005347C0">
        <w:rPr>
          <w:b/>
        </w:rPr>
        <w:lastRenderedPageBreak/>
        <w:t xml:space="preserve">Proposal 1: It is proposed that SA2 agrees to </w:t>
      </w:r>
      <w:r w:rsidR="00C35DF3">
        <w:rPr>
          <w:b/>
        </w:rPr>
        <w:t xml:space="preserve">rephrase </w:t>
      </w:r>
      <w:r w:rsidRPr="005347C0">
        <w:rPr>
          <w:b/>
        </w:rPr>
        <w:t>NOTE 2 as “The AF specific UE identifier is ensured to be unique across different AFs by the MNO configuration as defined in 3GPP TS 23.003 [19].</w:t>
      </w:r>
      <w:r w:rsidR="00AE03F3">
        <w:rPr>
          <w:b/>
        </w:rPr>
        <w:t xml:space="preserve"> </w:t>
      </w:r>
      <w:r w:rsidR="00AE03F3" w:rsidRPr="00AE03F3">
        <w:rPr>
          <w:b/>
          <w:bCs/>
        </w:rPr>
        <w:t>Based on MNO policies, NEF may enforce restrictions on the usage of AF specific UE identifier</w:t>
      </w:r>
      <w:r w:rsidR="00AE03F3">
        <w:rPr>
          <w:b/>
          <w:bCs/>
        </w:rPr>
        <w:t xml:space="preserve"> in further NEF service invocations.</w:t>
      </w:r>
      <w:r w:rsidRPr="005347C0">
        <w:rPr>
          <w:b/>
        </w:rPr>
        <w:t>”</w:t>
      </w:r>
    </w:p>
    <w:p w14:paraId="0FC2017B" w14:textId="77777777" w:rsidR="00F75735" w:rsidRDefault="00F75735" w:rsidP="00F75735">
      <w:pPr>
        <w:rPr>
          <w:b/>
        </w:rPr>
      </w:pPr>
      <w:r w:rsidRPr="005347C0">
        <w:rPr>
          <w:b/>
        </w:rPr>
        <w:t>Proposal 2: As an alternative, the NOTE 2 can be revised to make it clear that an inter-NF coordination is not supported in this release.</w:t>
      </w:r>
    </w:p>
    <w:p w14:paraId="6E4FF020" w14:textId="77777777" w:rsidR="00F75735" w:rsidRPr="005347C0" w:rsidRDefault="00F75735" w:rsidP="00F75735">
      <w:pPr>
        <w:rPr>
          <w:b/>
        </w:rPr>
      </w:pPr>
    </w:p>
    <w:p w14:paraId="52ACCD69" w14:textId="303E357E" w:rsidR="00DF3C60" w:rsidRDefault="00E108D3" w:rsidP="009A78AD">
      <w:pPr>
        <w:rPr>
          <w:rFonts w:ascii="Arial" w:hAnsi="Arial"/>
          <w:color w:val="auto"/>
          <w:sz w:val="36"/>
        </w:rPr>
      </w:pPr>
      <w:r>
        <w:rPr>
          <w:rFonts w:ascii="Arial" w:hAnsi="Arial"/>
          <w:color w:val="auto"/>
          <w:sz w:val="36"/>
        </w:rPr>
        <w:t>3. References</w:t>
      </w:r>
    </w:p>
    <w:p w14:paraId="6E79CC01" w14:textId="51A82EEE" w:rsidR="00E108D3" w:rsidRDefault="00E108D3" w:rsidP="00E108D3">
      <w:r>
        <w:t>1. S2-23</w:t>
      </w:r>
      <w:r w:rsidR="00D02CEE">
        <w:t>0</w:t>
      </w:r>
      <w:r w:rsidR="00D02218">
        <w:t>2201</w:t>
      </w:r>
      <w:r w:rsidR="00D02CEE">
        <w:t>:</w:t>
      </w:r>
      <w:r w:rsidR="00D02218">
        <w:t xml:space="preserve"> </w:t>
      </w:r>
      <w:hyperlink r:id="rId12" w:history="1">
        <w:r w:rsidR="00D02218" w:rsidRPr="0055019D">
          <w:rPr>
            <w:rStyle w:val="Hyperlink"/>
          </w:rPr>
          <w:t>https://www.3gpp.org/ftp/tsg_sa/WG2_Arch/TSGS2_155_Athens_2023-02/Docs/S2-2302201.zip</w:t>
        </w:r>
      </w:hyperlink>
      <w:r w:rsidR="00D02218">
        <w:t xml:space="preserve"> </w:t>
      </w:r>
      <w:r w:rsidR="00D02CEE">
        <w:t xml:space="preserve"> </w:t>
      </w:r>
    </w:p>
    <w:p w14:paraId="6735D349" w14:textId="6B80ECAC" w:rsidR="00F75735" w:rsidRDefault="00E108D3" w:rsidP="00E108D3">
      <w:r>
        <w:t>3. S2-230</w:t>
      </w:r>
      <w:r w:rsidR="00F75735">
        <w:t>3270</w:t>
      </w:r>
      <w:r>
        <w:t>:</w:t>
      </w:r>
      <w:r w:rsidR="00F75735">
        <w:t xml:space="preserve"> </w:t>
      </w:r>
      <w:hyperlink r:id="rId13" w:history="1">
        <w:r w:rsidR="00F75735" w:rsidRPr="00F75735">
          <w:rPr>
            <w:rStyle w:val="Hyperlink"/>
          </w:rPr>
          <w:t>https://www.3gpp.org/ftp/tsg_sa/WG2_Arch/TSGS2_155_Athens_2023-02/Docs/S2-2303270.zip</w:t>
        </w:r>
      </w:hyperlink>
    </w:p>
    <w:p w14:paraId="43CCEE5C" w14:textId="19D06BDA" w:rsidR="00F75735" w:rsidRDefault="00F75735" w:rsidP="00E108D3">
      <w:r>
        <w:t xml:space="preserve">3. 3GPP TS 23.501: </w:t>
      </w:r>
      <w:hyperlink r:id="rId14" w:history="1">
        <w:r w:rsidRPr="0055019D">
          <w:rPr>
            <w:rStyle w:val="Hyperlink"/>
          </w:rPr>
          <w:t>https://www.3gpp.org/ftp/Specs/latest/Rel-18/23_series/23501-i00.zip</w:t>
        </w:r>
      </w:hyperlink>
      <w:r>
        <w:t xml:space="preserve"> </w:t>
      </w:r>
    </w:p>
    <w:p w14:paraId="09867FAB" w14:textId="4DC08B6C" w:rsidR="00F75735" w:rsidRDefault="00F75735" w:rsidP="00E108D3">
      <w:r>
        <w:t xml:space="preserve">4. 3GPP TS 23.502: </w:t>
      </w:r>
      <w:hyperlink r:id="rId15" w:history="1">
        <w:r w:rsidRPr="0055019D">
          <w:rPr>
            <w:rStyle w:val="Hyperlink"/>
          </w:rPr>
          <w:t>https://www.3gpp.org/ftp/Specs/latest/Rel-18/23_series/23502-i00.zip</w:t>
        </w:r>
      </w:hyperlink>
      <w:r>
        <w:t xml:space="preserve"> </w:t>
      </w:r>
    </w:p>
    <w:p w14:paraId="5BB01D71" w14:textId="7A56ED27" w:rsidR="001A0612" w:rsidRDefault="00F75735" w:rsidP="001A0612">
      <w:r>
        <w:t xml:space="preserve">5. 3GPP TS 23.003: </w:t>
      </w:r>
      <w:hyperlink r:id="rId16" w:history="1">
        <w:r w:rsidR="001A0612" w:rsidRPr="0055019D">
          <w:rPr>
            <w:rStyle w:val="Hyperlink"/>
          </w:rPr>
          <w:t>https://www.3gpp.org/ftp/Specs/latest/Rel-18/23_series/23003-i00.zip</w:t>
        </w:r>
      </w:hyperlink>
      <w:r w:rsidR="001A0612">
        <w:t xml:space="preserve"> </w:t>
      </w:r>
    </w:p>
    <w:p w14:paraId="7766E154" w14:textId="74EE5C2F" w:rsidR="001A0612" w:rsidRDefault="001A0612" w:rsidP="00E108D3">
      <w:r>
        <w:t xml:space="preserve">6. 3GPP TS 23.682: </w:t>
      </w:r>
      <w:hyperlink r:id="rId17" w:history="1">
        <w:r w:rsidRPr="0055019D">
          <w:rPr>
            <w:rStyle w:val="Hyperlink"/>
          </w:rPr>
          <w:t>https://www.3gpp.org/ftp/Specs/latest/Rel-17/23_series/23682-h30.zip</w:t>
        </w:r>
      </w:hyperlink>
      <w:r>
        <w:t xml:space="preserve"> </w:t>
      </w:r>
    </w:p>
    <w:p w14:paraId="38486982" w14:textId="44CAE527" w:rsidR="00E108D3" w:rsidRPr="00DF3C60" w:rsidRDefault="00E108D3" w:rsidP="00E108D3">
      <w:r>
        <w:t xml:space="preserve"> </w:t>
      </w:r>
    </w:p>
    <w:sectPr w:rsidR="00E108D3" w:rsidRPr="00DF3C60">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9C72F" w14:textId="77777777" w:rsidR="0013194A" w:rsidRDefault="0013194A">
      <w:r>
        <w:separator/>
      </w:r>
    </w:p>
    <w:p w14:paraId="6E7B4DBB" w14:textId="77777777" w:rsidR="0013194A" w:rsidRDefault="0013194A"/>
  </w:endnote>
  <w:endnote w:type="continuationSeparator" w:id="0">
    <w:p w14:paraId="49FB8E16" w14:textId="77777777" w:rsidR="0013194A" w:rsidRDefault="0013194A">
      <w:r>
        <w:continuationSeparator/>
      </w:r>
    </w:p>
    <w:p w14:paraId="5286ABDF" w14:textId="77777777" w:rsidR="0013194A" w:rsidRDefault="0013194A"/>
  </w:endnote>
  <w:endnote w:type="continuationNotice" w:id="1">
    <w:p w14:paraId="269F2D67" w14:textId="77777777" w:rsidR="0013194A" w:rsidRDefault="00131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3612" w14:textId="77777777" w:rsidR="0013194A" w:rsidRDefault="0013194A">
      <w:r>
        <w:separator/>
      </w:r>
    </w:p>
    <w:p w14:paraId="148F3A57" w14:textId="77777777" w:rsidR="0013194A" w:rsidRDefault="0013194A"/>
  </w:footnote>
  <w:footnote w:type="continuationSeparator" w:id="0">
    <w:p w14:paraId="707B8ABE" w14:textId="77777777" w:rsidR="0013194A" w:rsidRDefault="0013194A">
      <w:r>
        <w:continuationSeparator/>
      </w:r>
    </w:p>
    <w:p w14:paraId="4E8692AF" w14:textId="77777777" w:rsidR="0013194A" w:rsidRDefault="0013194A"/>
  </w:footnote>
  <w:footnote w:type="continuationNotice" w:id="1">
    <w:p w14:paraId="350BF7C0" w14:textId="77777777" w:rsidR="0013194A" w:rsidRDefault="001319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65pt;height:15.65pt" o:bullet="t">
        <v:imagedata r:id="rId1" o:title="art7234"/>
      </v:shape>
    </w:pict>
  </w:numPicBullet>
  <w:abstractNum w:abstractNumId="0" w15:restartNumberingAfterBreak="0">
    <w:nsid w:val="FFFFFF7C"/>
    <w:multiLevelType w:val="singleLevel"/>
    <w:tmpl w:val="ACE8BC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AA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1607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5006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249E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38CA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96D9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4EAD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4452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E6FA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29"/>
  </w:num>
  <w:num w:numId="2" w16cid:durableId="546264430">
    <w:abstractNumId w:val="21"/>
  </w:num>
  <w:num w:numId="3" w16cid:durableId="976226586">
    <w:abstractNumId w:val="13"/>
  </w:num>
  <w:num w:numId="4" w16cid:durableId="816263066">
    <w:abstractNumId w:val="19"/>
  </w:num>
  <w:num w:numId="5" w16cid:durableId="1930458234">
    <w:abstractNumId w:val="28"/>
  </w:num>
  <w:num w:numId="6" w16cid:durableId="212472176">
    <w:abstractNumId w:val="37"/>
  </w:num>
  <w:num w:numId="7" w16cid:durableId="60948834">
    <w:abstractNumId w:val="23"/>
  </w:num>
  <w:num w:numId="8" w16cid:durableId="833450075">
    <w:abstractNumId w:val="27"/>
  </w:num>
  <w:num w:numId="9" w16cid:durableId="138305074">
    <w:abstractNumId w:val="31"/>
  </w:num>
  <w:num w:numId="10" w16cid:durableId="1376542618">
    <w:abstractNumId w:val="38"/>
  </w:num>
  <w:num w:numId="11" w16cid:durableId="1798327382">
    <w:abstractNumId w:val="24"/>
  </w:num>
  <w:num w:numId="12" w16cid:durableId="1221402666">
    <w:abstractNumId w:val="10"/>
  </w:num>
  <w:num w:numId="13" w16cid:durableId="1139225555">
    <w:abstractNumId w:val="17"/>
  </w:num>
  <w:num w:numId="14" w16cid:durableId="925386879">
    <w:abstractNumId w:val="25"/>
  </w:num>
  <w:num w:numId="15" w16cid:durableId="2003192033">
    <w:abstractNumId w:val="36"/>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3"/>
  </w:num>
  <w:num w:numId="27" w16cid:durableId="1201014842">
    <w:abstractNumId w:val="34"/>
  </w:num>
  <w:num w:numId="28" w16cid:durableId="20907469">
    <w:abstractNumId w:val="35"/>
  </w:num>
  <w:num w:numId="29" w16cid:durableId="834958855">
    <w:abstractNumId w:val="15"/>
  </w:num>
  <w:num w:numId="30" w16cid:durableId="2118600509">
    <w:abstractNumId w:val="22"/>
  </w:num>
  <w:num w:numId="31" w16cid:durableId="885145315">
    <w:abstractNumId w:val="14"/>
  </w:num>
  <w:num w:numId="32" w16cid:durableId="328557071">
    <w:abstractNumId w:val="20"/>
  </w:num>
  <w:num w:numId="33" w16cid:durableId="525564251">
    <w:abstractNumId w:val="12"/>
  </w:num>
  <w:num w:numId="34" w16cid:durableId="1224827392">
    <w:abstractNumId w:val="26"/>
  </w:num>
  <w:num w:numId="35" w16cid:durableId="1467815605">
    <w:abstractNumId w:val="11"/>
  </w:num>
  <w:num w:numId="36" w16cid:durableId="628360908">
    <w:abstractNumId w:val="16"/>
  </w:num>
  <w:num w:numId="37" w16cid:durableId="138422062">
    <w:abstractNumId w:val="39"/>
  </w:num>
  <w:num w:numId="38" w16cid:durableId="226840274">
    <w:abstractNumId w:val="30"/>
  </w:num>
  <w:num w:numId="39" w16cid:durableId="372073332">
    <w:abstractNumId w:val="18"/>
  </w:num>
  <w:num w:numId="40" w16cid:durableId="1518035842">
    <w:abstractNumId w:val="32"/>
  </w:num>
  <w:num w:numId="41" w16cid:durableId="978850798">
    <w:abstractNumId w:val="0"/>
  </w:num>
  <w:num w:numId="42" w16cid:durableId="1949003934">
    <w:abstractNumId w:val="1"/>
  </w:num>
  <w:num w:numId="43" w16cid:durableId="1441294515">
    <w:abstractNumId w:val="2"/>
  </w:num>
  <w:num w:numId="44" w16cid:durableId="1612784227">
    <w:abstractNumId w:val="3"/>
  </w:num>
  <w:num w:numId="45" w16cid:durableId="1872843056">
    <w:abstractNumId w:val="8"/>
  </w:num>
  <w:num w:numId="46" w16cid:durableId="207500968">
    <w:abstractNumId w:val="4"/>
  </w:num>
  <w:num w:numId="47" w16cid:durableId="246309683">
    <w:abstractNumId w:val="5"/>
  </w:num>
  <w:num w:numId="48" w16cid:durableId="1502086917">
    <w:abstractNumId w:val="6"/>
  </w:num>
  <w:num w:numId="49" w16cid:durableId="26297407">
    <w:abstractNumId w:val="7"/>
  </w:num>
  <w:num w:numId="50" w16cid:durableId="2641409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94A"/>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2C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612"/>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C4"/>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CA"/>
    <w:rsid w:val="00200C7B"/>
    <w:rsid w:val="002013DE"/>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E84"/>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C6C"/>
    <w:rsid w:val="00316798"/>
    <w:rsid w:val="00317BA6"/>
    <w:rsid w:val="00317BCE"/>
    <w:rsid w:val="0032155D"/>
    <w:rsid w:val="00321F67"/>
    <w:rsid w:val="0032241D"/>
    <w:rsid w:val="00323B53"/>
    <w:rsid w:val="00323DAB"/>
    <w:rsid w:val="003244C5"/>
    <w:rsid w:val="00324F09"/>
    <w:rsid w:val="00325BE6"/>
    <w:rsid w:val="0032637D"/>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77C"/>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03D"/>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07F9B"/>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25AF"/>
    <w:rsid w:val="004745FD"/>
    <w:rsid w:val="00474F62"/>
    <w:rsid w:val="004758BE"/>
    <w:rsid w:val="004764D7"/>
    <w:rsid w:val="0047702E"/>
    <w:rsid w:val="00477264"/>
    <w:rsid w:val="004774B4"/>
    <w:rsid w:val="00480C89"/>
    <w:rsid w:val="00480D73"/>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7C0"/>
    <w:rsid w:val="00534833"/>
    <w:rsid w:val="005348AA"/>
    <w:rsid w:val="00534F9B"/>
    <w:rsid w:val="005351BC"/>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358"/>
    <w:rsid w:val="00552995"/>
    <w:rsid w:val="00552D00"/>
    <w:rsid w:val="00552EDB"/>
    <w:rsid w:val="0055392F"/>
    <w:rsid w:val="00553C48"/>
    <w:rsid w:val="0055417F"/>
    <w:rsid w:val="00554C55"/>
    <w:rsid w:val="0055561B"/>
    <w:rsid w:val="00555F6C"/>
    <w:rsid w:val="00556068"/>
    <w:rsid w:val="005568FB"/>
    <w:rsid w:val="0055782B"/>
    <w:rsid w:val="0056088C"/>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46D"/>
    <w:rsid w:val="00582750"/>
    <w:rsid w:val="005827C3"/>
    <w:rsid w:val="00582896"/>
    <w:rsid w:val="00582D40"/>
    <w:rsid w:val="00582E6E"/>
    <w:rsid w:val="005860AC"/>
    <w:rsid w:val="00590772"/>
    <w:rsid w:val="00590D46"/>
    <w:rsid w:val="005910A1"/>
    <w:rsid w:val="00591AC5"/>
    <w:rsid w:val="005932C8"/>
    <w:rsid w:val="00593984"/>
    <w:rsid w:val="00594158"/>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1ED2"/>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1DF"/>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955"/>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2A"/>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E87"/>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D63"/>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5DD5"/>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A51"/>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2FF7"/>
    <w:rsid w:val="00883EB3"/>
    <w:rsid w:val="00884656"/>
    <w:rsid w:val="0088596E"/>
    <w:rsid w:val="00886995"/>
    <w:rsid w:val="008869AA"/>
    <w:rsid w:val="008872E1"/>
    <w:rsid w:val="008879DA"/>
    <w:rsid w:val="008907FD"/>
    <w:rsid w:val="00890F18"/>
    <w:rsid w:val="00892063"/>
    <w:rsid w:val="008938AF"/>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5BFD"/>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0B6"/>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77B25"/>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5CF6"/>
    <w:rsid w:val="00A964DC"/>
    <w:rsid w:val="00A96D7B"/>
    <w:rsid w:val="00A96E57"/>
    <w:rsid w:val="00A9719F"/>
    <w:rsid w:val="00A971BA"/>
    <w:rsid w:val="00A97625"/>
    <w:rsid w:val="00A97CE6"/>
    <w:rsid w:val="00AA0654"/>
    <w:rsid w:val="00AA0829"/>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36FD"/>
    <w:rsid w:val="00AD435F"/>
    <w:rsid w:val="00AD442F"/>
    <w:rsid w:val="00AD4F39"/>
    <w:rsid w:val="00AD5BD9"/>
    <w:rsid w:val="00AD67C7"/>
    <w:rsid w:val="00AD6FE0"/>
    <w:rsid w:val="00AD715E"/>
    <w:rsid w:val="00AD773B"/>
    <w:rsid w:val="00AE03F3"/>
    <w:rsid w:val="00AE0983"/>
    <w:rsid w:val="00AE1472"/>
    <w:rsid w:val="00AE19A4"/>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CE5"/>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858"/>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A00"/>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64E8"/>
    <w:rsid w:val="00B7723F"/>
    <w:rsid w:val="00B77B34"/>
    <w:rsid w:val="00B80DC6"/>
    <w:rsid w:val="00B81E96"/>
    <w:rsid w:val="00B82125"/>
    <w:rsid w:val="00B82343"/>
    <w:rsid w:val="00B8312C"/>
    <w:rsid w:val="00B847BB"/>
    <w:rsid w:val="00B8482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327"/>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5FF"/>
    <w:rsid w:val="00C358C3"/>
    <w:rsid w:val="00C35DF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7E"/>
    <w:rsid w:val="00C65C92"/>
    <w:rsid w:val="00C663D6"/>
    <w:rsid w:val="00C66615"/>
    <w:rsid w:val="00C66957"/>
    <w:rsid w:val="00C67AC5"/>
    <w:rsid w:val="00C70037"/>
    <w:rsid w:val="00C704DD"/>
    <w:rsid w:val="00C7058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7DB"/>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4756"/>
    <w:rsid w:val="00CF5694"/>
    <w:rsid w:val="00CF571A"/>
    <w:rsid w:val="00CF5721"/>
    <w:rsid w:val="00CF65AA"/>
    <w:rsid w:val="00CF7310"/>
    <w:rsid w:val="00CF788B"/>
    <w:rsid w:val="00D000CD"/>
    <w:rsid w:val="00D002A7"/>
    <w:rsid w:val="00D00D5A"/>
    <w:rsid w:val="00D017E2"/>
    <w:rsid w:val="00D02218"/>
    <w:rsid w:val="00D02A7E"/>
    <w:rsid w:val="00D02CEE"/>
    <w:rsid w:val="00D03D28"/>
    <w:rsid w:val="00D0487D"/>
    <w:rsid w:val="00D07514"/>
    <w:rsid w:val="00D07B2B"/>
    <w:rsid w:val="00D1088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A33"/>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86E"/>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A5C"/>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8D3"/>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67DD"/>
    <w:rsid w:val="00F47045"/>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5735"/>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E108D3"/>
    <w:rPr>
      <w:color w:val="605E5C"/>
      <w:shd w:val="clear" w:color="auto" w:fill="E1DFDD"/>
    </w:rPr>
  </w:style>
  <w:style w:type="character" w:styleId="FollowedHyperlink">
    <w:name w:val="FollowedHyperlink"/>
    <w:basedOn w:val="DefaultParagraphFont"/>
    <w:rsid w:val="00C65C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1542193">
      <w:bodyDiv w:val="1"/>
      <w:marLeft w:val="0"/>
      <w:marRight w:val="0"/>
      <w:marTop w:val="0"/>
      <w:marBottom w:val="0"/>
      <w:divBdr>
        <w:top w:val="none" w:sz="0" w:space="0" w:color="auto"/>
        <w:left w:val="none" w:sz="0" w:space="0" w:color="auto"/>
        <w:bottom w:val="none" w:sz="0" w:space="0" w:color="auto"/>
        <w:right w:val="none" w:sz="0" w:space="0" w:color="auto"/>
      </w:divBdr>
      <w:divsChild>
        <w:div w:id="141511838">
          <w:marLeft w:val="0"/>
          <w:marRight w:val="0"/>
          <w:marTop w:val="0"/>
          <w:marBottom w:val="0"/>
          <w:divBdr>
            <w:top w:val="none" w:sz="0" w:space="0" w:color="auto"/>
            <w:left w:val="none" w:sz="0" w:space="0" w:color="auto"/>
            <w:bottom w:val="none" w:sz="0" w:space="0" w:color="auto"/>
            <w:right w:val="none" w:sz="0" w:space="0" w:color="auto"/>
          </w:divBdr>
          <w:divsChild>
            <w:div w:id="1698846940">
              <w:marLeft w:val="0"/>
              <w:marRight w:val="0"/>
              <w:marTop w:val="0"/>
              <w:marBottom w:val="0"/>
              <w:divBdr>
                <w:top w:val="none" w:sz="0" w:space="0" w:color="auto"/>
                <w:left w:val="none" w:sz="0" w:space="0" w:color="auto"/>
                <w:bottom w:val="none" w:sz="0" w:space="0" w:color="auto"/>
                <w:right w:val="none" w:sz="0" w:space="0" w:color="auto"/>
              </w:divBdr>
              <w:divsChild>
                <w:div w:id="203607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5_Athens_2023-02/Docs/S2-2303270.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2_Arch/TSGS2_155_Athens_2023-02/Docs/S2-2302201.zip" TargetMode="External"/><Relationship Id="rId17" Type="http://schemas.openxmlformats.org/officeDocument/2006/relationships/hyperlink" Target="https://www.3gpp.org/ftp/Specs/latest/Rel-17/23_series/23682-h30.zip" TargetMode="External"/><Relationship Id="rId2" Type="http://schemas.openxmlformats.org/officeDocument/2006/relationships/customXml" Target="../customXml/item2.xml"/><Relationship Id="rId16" Type="http://schemas.openxmlformats.org/officeDocument/2006/relationships/hyperlink" Target="https://www.3gpp.org/ftp/Specs/latest/Rel-18/23_series/23003-i0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Specs/latest/Rel-18/23_series/23502-i00.zip"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latest/Rel-18/23_series/23501-i00.zip"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1207</Words>
  <Characters>6885</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cp:lastModifiedBy>
  <cp:revision>12</cp:revision>
  <cp:lastPrinted>2018-08-14T09:59:00Z</cp:lastPrinted>
  <dcterms:created xsi:type="dcterms:W3CDTF">2023-03-29T10:16:00Z</dcterms:created>
  <dcterms:modified xsi:type="dcterms:W3CDTF">2023-04-07T10:22:00Z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