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EE477" w14:textId="77777777" w:rsidR="00AE68A4" w:rsidRDefault="00AE68A4" w:rsidP="00AE68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#S2-156E</w:t>
      </w:r>
      <w:r>
        <w:rPr>
          <w:rFonts w:cs="Arial"/>
          <w:b/>
          <w:noProof/>
          <w:sz w:val="24"/>
        </w:rPr>
        <w:tab/>
        <w:t>S2-2303983</w:t>
      </w:r>
    </w:p>
    <w:p w14:paraId="0980B490" w14:textId="77777777" w:rsidR="00AE68A4" w:rsidRDefault="00AE68A4" w:rsidP="00AE68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April, 2023, Electronic</w:t>
      </w:r>
    </w:p>
    <w:p w14:paraId="6EB5A9AD" w14:textId="1ADF7463" w:rsidR="00AE68A4" w:rsidRPr="00AE68A4" w:rsidRDefault="00AE68A4" w:rsidP="00AE68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ED364F8" w14:textId="77777777" w:rsidR="00AE68A4" w:rsidRDefault="00AE68A4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4A3B4503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E41A96">
        <w:rPr>
          <w:b/>
          <w:noProof/>
          <w:sz w:val="24"/>
        </w:rPr>
        <w:t>0</w:t>
      </w:r>
      <w:r w:rsidR="00581831">
        <w:rPr>
          <w:b/>
          <w:noProof/>
          <w:sz w:val="24"/>
        </w:rPr>
        <w:t>792</w:t>
      </w:r>
    </w:p>
    <w:p w14:paraId="67A46174" w14:textId="42C69279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581831">
        <w:rPr>
          <w:rFonts w:cs="Arial"/>
          <w:b/>
          <w:bCs/>
          <w:color w:val="BFBFBF"/>
          <w:sz w:val="22"/>
        </w:rPr>
        <w:t xml:space="preserve">(revision </w:t>
      </w:r>
      <w:r w:rsidR="00581831">
        <w:rPr>
          <w:b/>
          <w:noProof/>
          <w:color w:val="BFBFBF"/>
          <w:sz w:val="24"/>
        </w:rPr>
        <w:t>S6-230582)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097B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F6377">
        <w:rPr>
          <w:rFonts w:ascii="Arial" w:hAnsi="Arial" w:cs="Arial"/>
          <w:b/>
          <w:sz w:val="22"/>
          <w:szCs w:val="22"/>
        </w:rPr>
        <w:t xml:space="preserve">Alignment of SA3 </w:t>
      </w:r>
      <w:r w:rsidR="009B65F1">
        <w:rPr>
          <w:rFonts w:ascii="Arial" w:hAnsi="Arial" w:cs="Arial"/>
          <w:b/>
          <w:sz w:val="22"/>
          <w:szCs w:val="22"/>
        </w:rPr>
        <w:t>security aspects for Personal IoT Networks</w:t>
      </w:r>
    </w:p>
    <w:p w14:paraId="6DF36BBF" w14:textId="3AEFB6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CE2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2E7963FE" w14:textId="2FC7BF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65F1">
        <w:rPr>
          <w:rFonts w:ascii="Arial" w:hAnsi="Arial" w:cs="Arial"/>
          <w:b/>
          <w:bCs/>
          <w:sz w:val="22"/>
          <w:szCs w:val="22"/>
        </w:rPr>
        <w:t>PIN</w:t>
      </w:r>
      <w:r w:rsidR="00896F14">
        <w:rPr>
          <w:rFonts w:ascii="Arial" w:hAnsi="Arial" w:cs="Arial"/>
          <w:b/>
          <w:bCs/>
          <w:sz w:val="22"/>
          <w:szCs w:val="22"/>
        </w:rPr>
        <w:t>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0CD1354" w:rsidR="00B97703" w:rsidRPr="00B17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743D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743D">
        <w:rPr>
          <w:rFonts w:ascii="Arial" w:hAnsi="Arial" w:cs="Arial"/>
          <w:b/>
          <w:sz w:val="22"/>
          <w:szCs w:val="22"/>
          <w:lang w:val="en-US"/>
        </w:rPr>
        <w:tab/>
      </w:r>
      <w:bookmarkStart w:id="3" w:name="OLE_LINK12"/>
      <w:bookmarkStart w:id="4" w:name="OLE_LINK13"/>
      <w:bookmarkStart w:id="5" w:name="OLE_LINK14"/>
      <w:r w:rsidR="009B65F1" w:rsidRPr="00B1743D">
        <w:rPr>
          <w:rFonts w:ascii="Arial" w:hAnsi="Arial" w:cs="Arial"/>
          <w:b/>
          <w:bCs/>
          <w:sz w:val="22"/>
          <w:szCs w:val="22"/>
          <w:lang w:val="en-US"/>
        </w:rPr>
        <w:t>SA6</w:t>
      </w:r>
      <w:bookmarkEnd w:id="3"/>
      <w:bookmarkEnd w:id="4"/>
      <w:bookmarkEnd w:id="5"/>
    </w:p>
    <w:p w14:paraId="01147493" w14:textId="2C534A31" w:rsidR="00B97703" w:rsidRPr="00D15D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D15D28">
        <w:rPr>
          <w:rFonts w:ascii="Arial" w:hAnsi="Arial" w:cs="Arial"/>
          <w:b/>
          <w:sz w:val="22"/>
          <w:szCs w:val="22"/>
          <w:lang w:val="fr-CA"/>
        </w:rPr>
        <w:t>To: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76983" w:rsidRPr="00D15D28">
        <w:rPr>
          <w:rFonts w:ascii="Arial" w:hAnsi="Arial" w:cs="Arial"/>
          <w:b/>
          <w:bCs/>
          <w:sz w:val="22"/>
          <w:szCs w:val="22"/>
          <w:lang w:val="fr-CA"/>
        </w:rPr>
        <w:t>3</w:t>
      </w:r>
    </w:p>
    <w:p w14:paraId="08C8D7FD" w14:textId="6BBF6309" w:rsidR="00B97703" w:rsidRPr="00D15D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D15D28">
        <w:rPr>
          <w:rFonts w:ascii="Arial" w:hAnsi="Arial" w:cs="Arial"/>
          <w:b/>
          <w:sz w:val="22"/>
          <w:szCs w:val="22"/>
          <w:lang w:val="fr-CA"/>
        </w:rPr>
        <w:t>Cc: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76983" w:rsidRPr="00D15D28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6"/>
    <w:bookmarkEnd w:id="7"/>
    <w:p w14:paraId="1C12BB50" w14:textId="77777777" w:rsidR="00B97703" w:rsidRPr="00D15D2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5B5BB55E" w:rsidR="00B97703" w:rsidRPr="00D15D2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D15D28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19B1ED30" w:rsidR="00B97703" w:rsidRPr="00B17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B1743D">
        <w:rPr>
          <w:rFonts w:ascii="Arial" w:hAnsi="Arial" w:cs="Arial"/>
          <w:b/>
          <w:bCs/>
          <w:sz w:val="22"/>
          <w:szCs w:val="22"/>
          <w:lang w:val="en-US"/>
        </w:rPr>
        <w:t>michel.roy@interdigital.com</w:t>
      </w:r>
    </w:p>
    <w:p w14:paraId="4009E3A9" w14:textId="59E50FF8" w:rsidR="00B97703" w:rsidRPr="00B17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743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3BD184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61D1">
        <w:rPr>
          <w:rFonts w:ascii="Arial" w:hAnsi="Arial" w:cs="Arial"/>
          <w:bCs/>
        </w:rPr>
        <w:t>NA</w:t>
      </w:r>
    </w:p>
    <w:p w14:paraId="23BA7AB9" w14:textId="23EC989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78372F" w14:textId="273C8A08" w:rsidR="00301EAA" w:rsidRDefault="00301EAA" w:rsidP="00676983">
      <w:r>
        <w:t xml:space="preserve">3GPP TSG SA WG6 has concluded </w:t>
      </w:r>
      <w:r w:rsidR="00083A33">
        <w:t>the</w:t>
      </w:r>
      <w:r>
        <w:t xml:space="preserve"> Release-18 study TR 23.700-78</w:t>
      </w:r>
      <w:r w:rsidR="00581831">
        <w:t xml:space="preserve"> (</w:t>
      </w:r>
      <w:r w:rsidR="005F58A2">
        <w:t>FS_PINAPP</w:t>
      </w:r>
      <w:r>
        <w:t xml:space="preserve">) on an </w:t>
      </w:r>
      <w:r w:rsidR="006B7E1B">
        <w:t>e</w:t>
      </w:r>
      <w:r>
        <w:t xml:space="preserve">nablement </w:t>
      </w:r>
      <w:r w:rsidR="006B7E1B">
        <w:t>l</w:t>
      </w:r>
      <w:r>
        <w:t xml:space="preserve">ayer for Personal IoT Networks and is </w:t>
      </w:r>
      <w:r w:rsidR="00083A33">
        <w:t xml:space="preserve">now </w:t>
      </w:r>
      <w:r>
        <w:t xml:space="preserve">transposing </w:t>
      </w:r>
      <w:r w:rsidR="00083A33">
        <w:t>the</w:t>
      </w:r>
      <w:r w:rsidR="006B7E1B">
        <w:t xml:space="preserve"> </w:t>
      </w:r>
      <w:r>
        <w:t xml:space="preserve">conclusions </w:t>
      </w:r>
      <w:r w:rsidR="00083A33">
        <w:t xml:space="preserve">of the TR </w:t>
      </w:r>
      <w:r>
        <w:t>to normative text in the corresponding TS 23.542</w:t>
      </w:r>
      <w:r w:rsidR="00581831">
        <w:t xml:space="preserve"> (PINAPP)</w:t>
      </w:r>
      <w:r>
        <w:t>.</w:t>
      </w:r>
    </w:p>
    <w:p w14:paraId="30C8A77E" w14:textId="36844FA3" w:rsidR="006472D0" w:rsidRDefault="00AE44B3" w:rsidP="006472D0">
      <w:pPr>
        <w:rPr>
          <w:rFonts w:eastAsia="DengXian"/>
          <w:lang w:eastAsia="zh-CN"/>
        </w:rPr>
      </w:pPr>
      <w:r>
        <w:t xml:space="preserve">SA6 is delighted that SA3 has </w:t>
      </w:r>
      <w:r w:rsidR="006472D0">
        <w:t>included</w:t>
      </w:r>
      <w:r>
        <w:t xml:space="preserve"> the following security aspects as part of</w:t>
      </w:r>
      <w:r w:rsidR="00D21E53">
        <w:t xml:space="preserve"> the</w:t>
      </w:r>
      <w:r>
        <w:t xml:space="preserve"> FS_PIN_Sec</w:t>
      </w:r>
      <w:r w:rsidR="00D21E53">
        <w:t xml:space="preserve"> study </w:t>
      </w:r>
      <w:r>
        <w:rPr>
          <w:rFonts w:eastAsia="DengXian"/>
          <w:lang w:eastAsia="zh-CN"/>
        </w:rPr>
        <w:t>(SD-220525)</w:t>
      </w:r>
      <w:r w:rsidR="00D21E53">
        <w:rPr>
          <w:rFonts w:eastAsia="DengXian"/>
          <w:lang w:eastAsia="zh-CN"/>
        </w:rPr>
        <w:t>:</w:t>
      </w:r>
    </w:p>
    <w:p w14:paraId="1126A8D8" w14:textId="5D158AE2" w:rsidR="00AE44B3" w:rsidRPr="006472D0" w:rsidRDefault="00AE44B3" w:rsidP="006472D0">
      <w:pPr>
        <w:ind w:left="720"/>
        <w:rPr>
          <w:i/>
          <w:iCs/>
        </w:rPr>
      </w:pPr>
      <w:r w:rsidRPr="00AE44B3">
        <w:rPr>
          <w:rFonts w:eastAsia="DengXian"/>
          <w:i/>
          <w:iCs/>
          <w:lang w:eastAsia="zh-CN"/>
        </w:rPr>
        <w:t>“SA6 also has agreed to study the application-level aspects for PIN</w:t>
      </w:r>
      <w:r w:rsidRPr="00AE44B3">
        <w:rPr>
          <w:i/>
          <w:iCs/>
        </w:rPr>
        <w:t>. If there’s potential security impacts in SA6 study, potential solutions shall be studied.”</w:t>
      </w:r>
    </w:p>
    <w:p w14:paraId="4FE6B902" w14:textId="702B09DC" w:rsidR="00AE44B3" w:rsidRDefault="006472D0" w:rsidP="00AE44B3">
      <w:r>
        <w:t xml:space="preserve">SA6 would like to inform SA3 that </w:t>
      </w:r>
      <w:r w:rsidR="00A00B60">
        <w:t xml:space="preserve">TS 23.542 defines </w:t>
      </w:r>
      <w:r w:rsidR="00107311">
        <w:t xml:space="preserve">service </w:t>
      </w:r>
      <w:r w:rsidR="00C42310">
        <w:t xml:space="preserve">procedures </w:t>
      </w:r>
      <w:r w:rsidR="00301EAA">
        <w:t xml:space="preserve">of the PIN </w:t>
      </w:r>
      <w:r w:rsidR="006B7E1B">
        <w:t>e</w:t>
      </w:r>
      <w:r w:rsidR="00301EAA">
        <w:t xml:space="preserve">nablement </w:t>
      </w:r>
      <w:r w:rsidR="006B7E1B">
        <w:t>l</w:t>
      </w:r>
      <w:r w:rsidR="00301EAA">
        <w:t xml:space="preserve">ayer </w:t>
      </w:r>
      <w:r w:rsidR="00A00B60">
        <w:t xml:space="preserve">that </w:t>
      </w:r>
      <w:r w:rsidR="00C42310">
        <w:t>require authorization and/or authentication</w:t>
      </w:r>
      <w:r w:rsidR="007F6377">
        <w:t xml:space="preserve"> between </w:t>
      </w:r>
      <w:r w:rsidR="00C40B4F">
        <w:t xml:space="preserve">various PIN </w:t>
      </w:r>
      <w:r w:rsidR="007F6377">
        <w:t>participants</w:t>
      </w:r>
      <w:r w:rsidR="00C40B4F">
        <w:t xml:space="preserve"> (e.g., </w:t>
      </w:r>
      <w:r w:rsidR="00C40B4F" w:rsidRPr="00C40B4F">
        <w:t>PINE</w:t>
      </w:r>
      <w:r w:rsidR="00C40B4F">
        <w:t xml:space="preserve">, </w:t>
      </w:r>
      <w:r w:rsidR="00C40B4F" w:rsidRPr="00C40B4F">
        <w:t>PEMC, PEGC</w:t>
      </w:r>
      <w:r w:rsidR="00C40B4F">
        <w:t xml:space="preserve">, </w:t>
      </w:r>
      <w:r w:rsidR="00C40B4F" w:rsidRPr="00C40B4F">
        <w:t>PIN server</w:t>
      </w:r>
      <w:r w:rsidR="00C40B4F">
        <w:t>)</w:t>
      </w:r>
      <w:r w:rsidR="003B4E8B">
        <w:t>,</w:t>
      </w:r>
      <w:r w:rsidR="00301EAA">
        <w:t xml:space="preserve"> in a manner </w:t>
      </w:r>
      <w:r w:rsidR="006B7E1B">
        <w:t xml:space="preserve">similar </w:t>
      </w:r>
      <w:r w:rsidR="00301EAA">
        <w:t xml:space="preserve">to </w:t>
      </w:r>
      <w:r w:rsidR="003B4E8B">
        <w:t xml:space="preserve">what </w:t>
      </w:r>
      <w:r w:rsidR="00D576A4">
        <w:t xml:space="preserve">SA3 </w:t>
      </w:r>
      <w:r w:rsidR="00C40B4F">
        <w:t xml:space="preserve">has specified </w:t>
      </w:r>
      <w:r w:rsidR="003B4E8B">
        <w:t xml:space="preserve">in </w:t>
      </w:r>
      <w:r w:rsidR="00A00B60">
        <w:t xml:space="preserve">TS 33.558 </w:t>
      </w:r>
      <w:r w:rsidR="003B4E8B">
        <w:t xml:space="preserve">for the </w:t>
      </w:r>
      <w:r w:rsidR="00D576A4">
        <w:t xml:space="preserve">SA6 </w:t>
      </w:r>
      <w:r w:rsidR="006B7E1B">
        <w:t>e</w:t>
      </w:r>
      <w:r w:rsidR="003B4E8B">
        <w:t xml:space="preserve">dge </w:t>
      </w:r>
      <w:r w:rsidR="006B7E1B">
        <w:t>e</w:t>
      </w:r>
      <w:r w:rsidR="003B4E8B">
        <w:t xml:space="preserve">nablement </w:t>
      </w:r>
      <w:r w:rsidR="006B7E1B">
        <w:t>l</w:t>
      </w:r>
      <w:r w:rsidR="003B4E8B">
        <w:t>ayer (TS 23.558).</w:t>
      </w:r>
    </w:p>
    <w:p w14:paraId="21997248" w14:textId="391BC196" w:rsidR="009405A2" w:rsidRDefault="009405A2" w:rsidP="00AE44B3">
      <w:r>
        <w:t xml:space="preserve">SA6 provides one illustrative example, other examples are available in TS 23.542. In the </w:t>
      </w:r>
      <w:r w:rsidR="00D21E53" w:rsidRPr="00D21E53">
        <w:t>PIN</w:t>
      </w:r>
      <w:r>
        <w:t xml:space="preserve"> </w:t>
      </w:r>
      <w:r w:rsidR="008A012F">
        <w:t>Join</w:t>
      </w:r>
      <w:r>
        <w:t xml:space="preserve"> procedure, the PINE sends a PIN </w:t>
      </w:r>
      <w:r w:rsidR="008A012F">
        <w:t>Join</w:t>
      </w:r>
      <w:r>
        <w:t xml:space="preserve"> request to the </w:t>
      </w:r>
      <w:r w:rsidR="008A012F">
        <w:t>PEGC</w:t>
      </w:r>
      <w:r>
        <w:t xml:space="preserve"> that includes security credentials</w:t>
      </w:r>
      <w:r w:rsidR="00442E69">
        <w:t>;</w:t>
      </w:r>
      <w:r>
        <w:t xml:space="preserve"> upon receiving the request, </w:t>
      </w:r>
      <w:r w:rsidR="00442E69">
        <w:t xml:space="preserve">the </w:t>
      </w:r>
      <w:r w:rsidR="008A012F">
        <w:t xml:space="preserve">PEGC </w:t>
      </w:r>
      <w:r>
        <w:t xml:space="preserve">performs an authorization check </w:t>
      </w:r>
      <w:r w:rsidR="00442E69">
        <w:t xml:space="preserve">on </w:t>
      </w:r>
      <w:r w:rsidR="008A012F">
        <w:t xml:space="preserve">the </w:t>
      </w:r>
      <w:r w:rsidR="00442E69">
        <w:t xml:space="preserve">provided PINE credentials </w:t>
      </w:r>
      <w:r w:rsidR="008A012F">
        <w:t xml:space="preserve">before </w:t>
      </w:r>
      <w:r>
        <w:t xml:space="preserve">processing the request. </w:t>
      </w:r>
    </w:p>
    <w:p w14:paraId="274D0BDC" w14:textId="77777777" w:rsidR="00B97703" w:rsidRPr="00D15D28" w:rsidRDefault="002F1940" w:rsidP="000F6242">
      <w:pPr>
        <w:pStyle w:val="Heading1"/>
        <w:rPr>
          <w:lang w:val="en-US"/>
        </w:rPr>
      </w:pPr>
      <w:r w:rsidRPr="00D15D28">
        <w:rPr>
          <w:lang w:val="en-US"/>
        </w:rPr>
        <w:t>2</w:t>
      </w:r>
      <w:r w:rsidRPr="00D15D28">
        <w:rPr>
          <w:lang w:val="en-US"/>
        </w:rPr>
        <w:tab/>
      </w:r>
      <w:r w:rsidR="000F6242" w:rsidRPr="00D15D28">
        <w:rPr>
          <w:lang w:val="en-US"/>
        </w:rPr>
        <w:t>Actions</w:t>
      </w:r>
    </w:p>
    <w:p w14:paraId="51CCBAE2" w14:textId="4B77502D" w:rsidR="00B97703" w:rsidRPr="00D15D2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15D28">
        <w:rPr>
          <w:rFonts w:ascii="Arial" w:hAnsi="Arial" w:cs="Arial"/>
          <w:b/>
          <w:lang w:val="en-US"/>
        </w:rPr>
        <w:t>To</w:t>
      </w:r>
      <w:r w:rsidR="000F6242" w:rsidRPr="00D15D28">
        <w:rPr>
          <w:rFonts w:ascii="Arial" w:hAnsi="Arial" w:cs="Arial"/>
          <w:b/>
          <w:lang w:val="en-US"/>
        </w:rPr>
        <w:t xml:space="preserve"> </w:t>
      </w:r>
      <w:r w:rsidR="006E1A83" w:rsidRPr="00D15D28">
        <w:rPr>
          <w:rFonts w:ascii="Arial" w:hAnsi="Arial" w:cs="Arial"/>
          <w:b/>
          <w:lang w:val="en-US"/>
        </w:rPr>
        <w:t>SA3</w:t>
      </w:r>
    </w:p>
    <w:p w14:paraId="5EED9D37" w14:textId="6447E5D9" w:rsidR="006E1A83" w:rsidRPr="007F6377" w:rsidRDefault="00B97703" w:rsidP="006E1A83">
      <w:pPr>
        <w:rPr>
          <w:color w:val="0070C0"/>
          <w:lang w:val="en-US"/>
        </w:rPr>
      </w:pPr>
      <w:r w:rsidRPr="007F6377">
        <w:rPr>
          <w:lang w:val="en-US"/>
        </w:rPr>
        <w:t xml:space="preserve">ACTION: </w:t>
      </w:r>
      <w:r w:rsidR="007F6377" w:rsidRPr="007F6377">
        <w:rPr>
          <w:lang w:val="en-US"/>
        </w:rPr>
        <w:t xml:space="preserve">SA6 asks SA3 to </w:t>
      </w:r>
      <w:r w:rsidR="0050173D" w:rsidRPr="00BB7759">
        <w:t xml:space="preserve">kindly consider </w:t>
      </w:r>
      <w:r w:rsidR="006472D0">
        <w:t xml:space="preserve">the </w:t>
      </w:r>
      <w:r w:rsidR="0050173D" w:rsidRPr="00BB7759">
        <w:t>above</w:t>
      </w:r>
      <w:r w:rsidR="006472D0">
        <w:t xml:space="preserve"> information.</w:t>
      </w:r>
      <w:r w:rsidRPr="007F6377">
        <w:rPr>
          <w:color w:val="0070C0"/>
          <w:lang w:val="en-US"/>
        </w:rPr>
        <w:tab/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A2B2E" w14:textId="77777777" w:rsidR="001A00ED" w:rsidRDefault="001A00ED">
      <w:pPr>
        <w:spacing w:after="0"/>
      </w:pPr>
      <w:r>
        <w:separator/>
      </w:r>
    </w:p>
  </w:endnote>
  <w:endnote w:type="continuationSeparator" w:id="0">
    <w:p w14:paraId="500F0A95" w14:textId="77777777" w:rsidR="001A00ED" w:rsidRDefault="001A00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3C9C" w14:textId="77777777" w:rsidR="001A00ED" w:rsidRDefault="001A00ED">
      <w:pPr>
        <w:spacing w:after="0"/>
      </w:pPr>
      <w:r>
        <w:separator/>
      </w:r>
    </w:p>
  </w:footnote>
  <w:footnote w:type="continuationSeparator" w:id="0">
    <w:p w14:paraId="46F7E5B9" w14:textId="77777777" w:rsidR="001A00ED" w:rsidRDefault="001A00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652344"/>
    <w:multiLevelType w:val="hybridMultilevel"/>
    <w:tmpl w:val="AF5AC26C"/>
    <w:lvl w:ilvl="0" w:tplc="207C7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458C8"/>
    <w:multiLevelType w:val="hybridMultilevel"/>
    <w:tmpl w:val="7116BB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4"/>
  </w:num>
  <w:num w:numId="3" w16cid:durableId="1220171162">
    <w:abstractNumId w:val="3"/>
  </w:num>
  <w:num w:numId="4" w16cid:durableId="1402748457">
    <w:abstractNumId w:val="0"/>
  </w:num>
  <w:num w:numId="5" w16cid:durableId="81730285">
    <w:abstractNumId w:val="2"/>
  </w:num>
  <w:num w:numId="6" w16cid:durableId="6525669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3A33"/>
    <w:rsid w:val="00095BC2"/>
    <w:rsid w:val="000F6242"/>
    <w:rsid w:val="00107311"/>
    <w:rsid w:val="00174844"/>
    <w:rsid w:val="00174FB8"/>
    <w:rsid w:val="00187771"/>
    <w:rsid w:val="001A00ED"/>
    <w:rsid w:val="002201E4"/>
    <w:rsid w:val="00270389"/>
    <w:rsid w:val="00274FC2"/>
    <w:rsid w:val="002A6824"/>
    <w:rsid w:val="002F1940"/>
    <w:rsid w:val="00301EAA"/>
    <w:rsid w:val="00320F57"/>
    <w:rsid w:val="0035780F"/>
    <w:rsid w:val="00383545"/>
    <w:rsid w:val="003B4E8B"/>
    <w:rsid w:val="003B654D"/>
    <w:rsid w:val="003C489E"/>
    <w:rsid w:val="003D3743"/>
    <w:rsid w:val="003D61D1"/>
    <w:rsid w:val="00433500"/>
    <w:rsid w:val="00433F71"/>
    <w:rsid w:val="004368C2"/>
    <w:rsid w:val="00440D43"/>
    <w:rsid w:val="00442E69"/>
    <w:rsid w:val="00450252"/>
    <w:rsid w:val="0045595F"/>
    <w:rsid w:val="00481393"/>
    <w:rsid w:val="004B46AC"/>
    <w:rsid w:val="004D063A"/>
    <w:rsid w:val="004E3939"/>
    <w:rsid w:val="0050173D"/>
    <w:rsid w:val="00520EC6"/>
    <w:rsid w:val="00524687"/>
    <w:rsid w:val="0053173D"/>
    <w:rsid w:val="00581831"/>
    <w:rsid w:val="005B5087"/>
    <w:rsid w:val="005F1CE2"/>
    <w:rsid w:val="005F58A2"/>
    <w:rsid w:val="006472D0"/>
    <w:rsid w:val="00667E3D"/>
    <w:rsid w:val="00676983"/>
    <w:rsid w:val="006A3A35"/>
    <w:rsid w:val="006B7E1B"/>
    <w:rsid w:val="006E0D4F"/>
    <w:rsid w:val="006E1A83"/>
    <w:rsid w:val="006F2D99"/>
    <w:rsid w:val="00726022"/>
    <w:rsid w:val="0077459E"/>
    <w:rsid w:val="007F4F92"/>
    <w:rsid w:val="007F6377"/>
    <w:rsid w:val="007F6F25"/>
    <w:rsid w:val="00832B2B"/>
    <w:rsid w:val="00857845"/>
    <w:rsid w:val="008858CD"/>
    <w:rsid w:val="00896F14"/>
    <w:rsid w:val="008A012F"/>
    <w:rsid w:val="008D772F"/>
    <w:rsid w:val="009405A2"/>
    <w:rsid w:val="00953874"/>
    <w:rsid w:val="0095717B"/>
    <w:rsid w:val="009814EE"/>
    <w:rsid w:val="0099764C"/>
    <w:rsid w:val="009B65F1"/>
    <w:rsid w:val="00A00B60"/>
    <w:rsid w:val="00A46CCB"/>
    <w:rsid w:val="00A71544"/>
    <w:rsid w:val="00AC6106"/>
    <w:rsid w:val="00AE1828"/>
    <w:rsid w:val="00AE44B3"/>
    <w:rsid w:val="00AE68A4"/>
    <w:rsid w:val="00B1743D"/>
    <w:rsid w:val="00B33F3C"/>
    <w:rsid w:val="00B9061B"/>
    <w:rsid w:val="00B97703"/>
    <w:rsid w:val="00BB6A1F"/>
    <w:rsid w:val="00C04BAC"/>
    <w:rsid w:val="00C1026A"/>
    <w:rsid w:val="00C17B7B"/>
    <w:rsid w:val="00C23C20"/>
    <w:rsid w:val="00C362C0"/>
    <w:rsid w:val="00C40B4F"/>
    <w:rsid w:val="00C42310"/>
    <w:rsid w:val="00CF6087"/>
    <w:rsid w:val="00D02856"/>
    <w:rsid w:val="00D144DE"/>
    <w:rsid w:val="00D15D28"/>
    <w:rsid w:val="00D209D8"/>
    <w:rsid w:val="00D21E53"/>
    <w:rsid w:val="00D25CD3"/>
    <w:rsid w:val="00D576A4"/>
    <w:rsid w:val="00D62A0E"/>
    <w:rsid w:val="00D84FCE"/>
    <w:rsid w:val="00D856BD"/>
    <w:rsid w:val="00DF0C64"/>
    <w:rsid w:val="00DF7E9B"/>
    <w:rsid w:val="00E236F4"/>
    <w:rsid w:val="00E41A96"/>
    <w:rsid w:val="00E92981"/>
    <w:rsid w:val="00EC0AE9"/>
    <w:rsid w:val="00ED48C3"/>
    <w:rsid w:val="00F03A91"/>
    <w:rsid w:val="00F33593"/>
    <w:rsid w:val="00F34B3C"/>
    <w:rsid w:val="00F4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8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68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68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68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68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68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68A4"/>
    <w:pPr>
      <w:outlineLvl w:val="5"/>
    </w:pPr>
  </w:style>
  <w:style w:type="paragraph" w:styleId="Heading7">
    <w:name w:val="heading 7"/>
    <w:basedOn w:val="H6"/>
    <w:next w:val="Normal"/>
    <w:qFormat/>
    <w:rsid w:val="00AE68A4"/>
    <w:pPr>
      <w:outlineLvl w:val="6"/>
    </w:pPr>
  </w:style>
  <w:style w:type="paragraph" w:styleId="Heading8">
    <w:name w:val="heading 8"/>
    <w:basedOn w:val="Heading1"/>
    <w:next w:val="Normal"/>
    <w:qFormat/>
    <w:rsid w:val="00AE68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68A4"/>
    <w:pPr>
      <w:outlineLvl w:val="8"/>
    </w:pPr>
  </w:style>
  <w:style w:type="character" w:default="1" w:styleId="DefaultParagraphFont">
    <w:name w:val="Default Paragraph Font"/>
    <w:semiHidden/>
    <w:rsid w:val="00AE68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68A4"/>
  </w:style>
  <w:style w:type="paragraph" w:styleId="Header">
    <w:name w:val="header"/>
    <w:link w:val="HeaderChar"/>
    <w:rsid w:val="00AE68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68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68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E68A4"/>
    <w:pPr>
      <w:spacing w:before="180"/>
      <w:ind w:left="2693" w:hanging="2693"/>
    </w:pPr>
    <w:rPr>
      <w:b/>
    </w:rPr>
  </w:style>
  <w:style w:type="paragraph" w:styleId="TOC1">
    <w:name w:val="toc 1"/>
    <w:semiHidden/>
    <w:rsid w:val="00AE68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68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68A4"/>
    <w:pPr>
      <w:ind w:left="1701" w:hanging="1701"/>
    </w:pPr>
  </w:style>
  <w:style w:type="paragraph" w:styleId="TOC4">
    <w:name w:val="toc 4"/>
    <w:basedOn w:val="TOC3"/>
    <w:semiHidden/>
    <w:rsid w:val="00AE68A4"/>
    <w:pPr>
      <w:ind w:left="1418" w:hanging="1418"/>
    </w:pPr>
  </w:style>
  <w:style w:type="paragraph" w:styleId="TOC3">
    <w:name w:val="toc 3"/>
    <w:basedOn w:val="TOC2"/>
    <w:semiHidden/>
    <w:rsid w:val="00AE68A4"/>
    <w:pPr>
      <w:ind w:left="1134" w:hanging="1134"/>
    </w:pPr>
  </w:style>
  <w:style w:type="paragraph" w:styleId="TOC2">
    <w:name w:val="toc 2"/>
    <w:basedOn w:val="TOC1"/>
    <w:semiHidden/>
    <w:rsid w:val="00AE68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68A4"/>
    <w:pPr>
      <w:ind w:left="284"/>
    </w:pPr>
  </w:style>
  <w:style w:type="paragraph" w:styleId="Index1">
    <w:name w:val="index 1"/>
    <w:basedOn w:val="Normal"/>
    <w:semiHidden/>
    <w:rsid w:val="00AE68A4"/>
    <w:pPr>
      <w:keepLines/>
      <w:spacing w:after="0"/>
    </w:pPr>
  </w:style>
  <w:style w:type="paragraph" w:customStyle="1" w:styleId="ZH">
    <w:name w:val="ZH"/>
    <w:rsid w:val="00AE68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68A4"/>
    <w:pPr>
      <w:outlineLvl w:val="9"/>
    </w:pPr>
  </w:style>
  <w:style w:type="paragraph" w:styleId="ListNumber2">
    <w:name w:val="List Number 2"/>
    <w:basedOn w:val="ListNumber"/>
    <w:semiHidden/>
    <w:rsid w:val="00AE68A4"/>
    <w:pPr>
      <w:ind w:left="851"/>
    </w:pPr>
  </w:style>
  <w:style w:type="character" w:styleId="FootnoteReference">
    <w:name w:val="footnote reference"/>
    <w:basedOn w:val="DefaultParagraphFont"/>
    <w:semiHidden/>
    <w:rsid w:val="00AE68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68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E68A4"/>
    <w:rPr>
      <w:b/>
    </w:rPr>
  </w:style>
  <w:style w:type="paragraph" w:customStyle="1" w:styleId="TAC">
    <w:name w:val="TAC"/>
    <w:basedOn w:val="TAL"/>
    <w:rsid w:val="00AE68A4"/>
    <w:pPr>
      <w:jc w:val="center"/>
    </w:pPr>
  </w:style>
  <w:style w:type="paragraph" w:customStyle="1" w:styleId="TF">
    <w:name w:val="TF"/>
    <w:basedOn w:val="TH"/>
    <w:rsid w:val="00AE68A4"/>
    <w:pPr>
      <w:keepNext w:val="0"/>
      <w:spacing w:before="0" w:after="240"/>
    </w:pPr>
  </w:style>
  <w:style w:type="paragraph" w:customStyle="1" w:styleId="NO">
    <w:name w:val="NO"/>
    <w:basedOn w:val="Normal"/>
    <w:rsid w:val="00AE68A4"/>
    <w:pPr>
      <w:keepLines/>
      <w:ind w:left="1135" w:hanging="851"/>
    </w:pPr>
  </w:style>
  <w:style w:type="paragraph" w:styleId="TOC9">
    <w:name w:val="toc 9"/>
    <w:basedOn w:val="TOC8"/>
    <w:semiHidden/>
    <w:rsid w:val="00AE68A4"/>
    <w:pPr>
      <w:ind w:left="1418" w:hanging="1418"/>
    </w:pPr>
  </w:style>
  <w:style w:type="paragraph" w:customStyle="1" w:styleId="EX">
    <w:name w:val="EX"/>
    <w:basedOn w:val="Normal"/>
    <w:rsid w:val="00AE68A4"/>
    <w:pPr>
      <w:keepLines/>
      <w:ind w:left="1702" w:hanging="1418"/>
    </w:pPr>
  </w:style>
  <w:style w:type="paragraph" w:customStyle="1" w:styleId="FP">
    <w:name w:val="FP"/>
    <w:basedOn w:val="Normal"/>
    <w:rsid w:val="00AE68A4"/>
    <w:pPr>
      <w:spacing w:after="0"/>
    </w:pPr>
  </w:style>
  <w:style w:type="paragraph" w:customStyle="1" w:styleId="LD">
    <w:name w:val="LD"/>
    <w:rsid w:val="00AE68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68A4"/>
    <w:pPr>
      <w:spacing w:after="0"/>
    </w:pPr>
  </w:style>
  <w:style w:type="paragraph" w:customStyle="1" w:styleId="EW">
    <w:name w:val="EW"/>
    <w:basedOn w:val="EX"/>
    <w:rsid w:val="00AE68A4"/>
    <w:pPr>
      <w:spacing w:after="0"/>
    </w:pPr>
  </w:style>
  <w:style w:type="paragraph" w:styleId="TOC6">
    <w:name w:val="toc 6"/>
    <w:basedOn w:val="TOC5"/>
    <w:next w:val="Normal"/>
    <w:semiHidden/>
    <w:rsid w:val="00AE68A4"/>
    <w:pPr>
      <w:ind w:left="1985" w:hanging="1985"/>
    </w:pPr>
  </w:style>
  <w:style w:type="paragraph" w:styleId="TOC7">
    <w:name w:val="toc 7"/>
    <w:basedOn w:val="TOC6"/>
    <w:next w:val="Normal"/>
    <w:semiHidden/>
    <w:rsid w:val="00AE68A4"/>
    <w:pPr>
      <w:ind w:left="2268" w:hanging="2268"/>
    </w:pPr>
  </w:style>
  <w:style w:type="paragraph" w:styleId="ListBullet2">
    <w:name w:val="List Bullet 2"/>
    <w:basedOn w:val="ListBullet"/>
    <w:semiHidden/>
    <w:rsid w:val="00AE68A4"/>
    <w:pPr>
      <w:ind w:left="851"/>
    </w:pPr>
  </w:style>
  <w:style w:type="paragraph" w:styleId="ListBullet3">
    <w:name w:val="List Bullet 3"/>
    <w:basedOn w:val="ListBullet2"/>
    <w:semiHidden/>
    <w:rsid w:val="00AE68A4"/>
    <w:pPr>
      <w:ind w:left="1135"/>
    </w:pPr>
  </w:style>
  <w:style w:type="paragraph" w:styleId="ListNumber">
    <w:name w:val="List Number"/>
    <w:basedOn w:val="List"/>
    <w:semiHidden/>
    <w:rsid w:val="00AE68A4"/>
  </w:style>
  <w:style w:type="paragraph" w:customStyle="1" w:styleId="EQ">
    <w:name w:val="EQ"/>
    <w:basedOn w:val="Normal"/>
    <w:next w:val="Normal"/>
    <w:rsid w:val="00AE68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68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68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68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68A4"/>
    <w:pPr>
      <w:jc w:val="right"/>
    </w:pPr>
  </w:style>
  <w:style w:type="paragraph" w:customStyle="1" w:styleId="H6">
    <w:name w:val="H6"/>
    <w:basedOn w:val="Heading5"/>
    <w:next w:val="Normal"/>
    <w:rsid w:val="00AE68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68A4"/>
    <w:pPr>
      <w:ind w:left="851" w:hanging="851"/>
    </w:pPr>
  </w:style>
  <w:style w:type="paragraph" w:customStyle="1" w:styleId="TAL">
    <w:name w:val="TAL"/>
    <w:basedOn w:val="Normal"/>
    <w:rsid w:val="00AE68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68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68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68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68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68A4"/>
    <w:pPr>
      <w:framePr w:wrap="notBeside" w:y="16161"/>
    </w:pPr>
  </w:style>
  <w:style w:type="character" w:customStyle="1" w:styleId="ZGSM">
    <w:name w:val="ZGSM"/>
    <w:rsid w:val="00AE68A4"/>
  </w:style>
  <w:style w:type="paragraph" w:styleId="List2">
    <w:name w:val="List 2"/>
    <w:basedOn w:val="List"/>
    <w:semiHidden/>
    <w:rsid w:val="00AE68A4"/>
    <w:pPr>
      <w:ind w:left="851"/>
    </w:pPr>
  </w:style>
  <w:style w:type="paragraph" w:customStyle="1" w:styleId="ZG">
    <w:name w:val="ZG"/>
    <w:rsid w:val="00AE68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68A4"/>
    <w:pPr>
      <w:ind w:left="1135"/>
    </w:pPr>
  </w:style>
  <w:style w:type="paragraph" w:styleId="List4">
    <w:name w:val="List 4"/>
    <w:basedOn w:val="List3"/>
    <w:semiHidden/>
    <w:rsid w:val="00AE68A4"/>
    <w:pPr>
      <w:ind w:left="1418"/>
    </w:pPr>
  </w:style>
  <w:style w:type="paragraph" w:styleId="List5">
    <w:name w:val="List 5"/>
    <w:basedOn w:val="List4"/>
    <w:semiHidden/>
    <w:rsid w:val="00AE68A4"/>
    <w:pPr>
      <w:ind w:left="1702"/>
    </w:pPr>
  </w:style>
  <w:style w:type="paragraph" w:customStyle="1" w:styleId="EditorsNote">
    <w:name w:val="Editor's Note"/>
    <w:basedOn w:val="NO"/>
    <w:rsid w:val="00AE68A4"/>
    <w:rPr>
      <w:color w:val="FF0000"/>
    </w:rPr>
  </w:style>
  <w:style w:type="paragraph" w:styleId="List">
    <w:name w:val="List"/>
    <w:basedOn w:val="Normal"/>
    <w:semiHidden/>
    <w:rsid w:val="00AE68A4"/>
    <w:pPr>
      <w:ind w:left="568" w:hanging="284"/>
    </w:pPr>
  </w:style>
  <w:style w:type="paragraph" w:styleId="ListBullet">
    <w:name w:val="List Bullet"/>
    <w:basedOn w:val="List"/>
    <w:semiHidden/>
    <w:rsid w:val="00AE68A4"/>
  </w:style>
  <w:style w:type="paragraph" w:styleId="ListBullet4">
    <w:name w:val="List Bullet 4"/>
    <w:basedOn w:val="ListBullet3"/>
    <w:semiHidden/>
    <w:rsid w:val="00AE68A4"/>
    <w:pPr>
      <w:ind w:left="1418"/>
    </w:pPr>
  </w:style>
  <w:style w:type="paragraph" w:styleId="ListBullet5">
    <w:name w:val="List Bullet 5"/>
    <w:basedOn w:val="ListBullet4"/>
    <w:semiHidden/>
    <w:rsid w:val="00AE68A4"/>
    <w:pPr>
      <w:ind w:left="1702"/>
    </w:pPr>
  </w:style>
  <w:style w:type="paragraph" w:customStyle="1" w:styleId="B2">
    <w:name w:val="B2"/>
    <w:basedOn w:val="List2"/>
    <w:rsid w:val="00AE68A4"/>
  </w:style>
  <w:style w:type="paragraph" w:customStyle="1" w:styleId="B3">
    <w:name w:val="B3"/>
    <w:basedOn w:val="List3"/>
    <w:rsid w:val="00AE68A4"/>
  </w:style>
  <w:style w:type="paragraph" w:customStyle="1" w:styleId="B4">
    <w:name w:val="B4"/>
    <w:basedOn w:val="List4"/>
    <w:rsid w:val="00AE68A4"/>
  </w:style>
  <w:style w:type="paragraph" w:customStyle="1" w:styleId="B5">
    <w:name w:val="B5"/>
    <w:basedOn w:val="List5"/>
    <w:rsid w:val="00AE68A4"/>
  </w:style>
  <w:style w:type="paragraph" w:customStyle="1" w:styleId="ZTD">
    <w:name w:val="ZTD"/>
    <w:basedOn w:val="ZB"/>
    <w:rsid w:val="00AE68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236F4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6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36F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236F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BB8CA80-B05F-42D7-8051-6A93462FC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10381-E78C-44BC-840A-C0256D6EB3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0ADF9-6D92-4EFC-8A36-6AF36399CC9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2023-04-04T10:57:00Z</dcterms:created>
  <dcterms:modified xsi:type="dcterms:W3CDTF">2023-04-04T10:57:00Z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