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98464" w14:textId="671DCA6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335D5">
        <w:rPr>
          <w:rFonts w:ascii="Arial" w:eastAsia="宋体" w:hAnsi="Arial"/>
          <w:b/>
          <w:i/>
          <w:noProof/>
          <w:color w:val="auto"/>
          <w:sz w:val="28"/>
          <w:lang w:eastAsia="en-US"/>
        </w:rPr>
        <w:t>8731</w:t>
      </w:r>
    </w:p>
    <w:p w14:paraId="6DE8A261" w14:textId="03DC9B1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6BE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0AA60F9" w14:textId="77777777" w:rsidR="00A24F28" w:rsidRPr="00927C1B" w:rsidRDefault="00A24F28" w:rsidP="00A24F28">
      <w:pPr>
        <w:rPr>
          <w:rFonts w:ascii="Arial" w:hAnsi="Arial" w:cs="Arial"/>
        </w:rPr>
      </w:pPr>
    </w:p>
    <w:p w14:paraId="7356DC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4826F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4E6" w:rsidRPr="00A144E6">
        <w:rPr>
          <w:rFonts w:ascii="Arial" w:hAnsi="Arial" w:cs="Arial"/>
          <w:b/>
        </w:rPr>
        <w:t>Discussion on MOCN Multicast issue</w:t>
      </w:r>
    </w:p>
    <w:p w14:paraId="790AF20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144E6">
        <w:rPr>
          <w:rFonts w:ascii="Arial" w:hAnsi="Arial" w:cs="Arial"/>
          <w:b/>
        </w:rPr>
        <w:t>Discussion</w:t>
      </w:r>
    </w:p>
    <w:p w14:paraId="33F491E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E5B20">
        <w:rPr>
          <w:rFonts w:ascii="Arial" w:hAnsi="Arial" w:cs="Arial"/>
          <w:b/>
        </w:rPr>
        <w:t>9.18</w:t>
      </w:r>
    </w:p>
    <w:p w14:paraId="488EE36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4AE8">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B5AF2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11A33">
        <w:rPr>
          <w:rFonts w:ascii="Arial" w:hAnsi="Arial" w:cs="Arial"/>
          <w:i/>
        </w:rPr>
        <w:t xml:space="preserve">An LS from RAN3 and RP asking for whether to support multicast for KI#2. This discussion paper analyses the difficulties of supporting multicast in Rel-18 and suggests to not </w:t>
      </w:r>
      <w:r w:rsidR="00BD387D">
        <w:rPr>
          <w:rFonts w:ascii="Arial" w:hAnsi="Arial" w:cs="Arial"/>
          <w:i/>
        </w:rPr>
        <w:t>including</w:t>
      </w:r>
      <w:r w:rsidR="00A11A33">
        <w:rPr>
          <w:rFonts w:ascii="Arial" w:hAnsi="Arial" w:cs="Arial"/>
          <w:i/>
        </w:rPr>
        <w:t xml:space="preserve"> that at least in the study phase. </w:t>
      </w:r>
    </w:p>
    <w:p w14:paraId="510CED0A" w14:textId="77777777" w:rsidR="00BD387D" w:rsidRDefault="00BD387D" w:rsidP="00BD387D">
      <w:pPr>
        <w:pStyle w:val="1"/>
      </w:pPr>
      <w:r w:rsidRPr="00927C1B">
        <w:t xml:space="preserve">1. </w:t>
      </w:r>
      <w:r>
        <w:t>Introduction</w:t>
      </w:r>
    </w:p>
    <w:p w14:paraId="77EE8739" w14:textId="77777777" w:rsidR="00BD387D" w:rsidRDefault="001715D1" w:rsidP="00BD387D">
      <w:pPr>
        <w:rPr>
          <w:rFonts w:eastAsia="MS Mincho"/>
        </w:rPr>
      </w:pPr>
      <w:r>
        <w:rPr>
          <w:rFonts w:eastAsia="MS Mincho" w:hint="eastAsia"/>
        </w:rPr>
        <w:t xml:space="preserve">RAN WG3 in </w:t>
      </w:r>
      <w:r w:rsidR="007D15B8">
        <w:rPr>
          <w:rFonts w:eastAsia="MS Mincho" w:hint="eastAsia"/>
        </w:rPr>
        <w:t>RAN3#117-e meeting sent LS</w:t>
      </w:r>
      <w:r w:rsidR="00F87896">
        <w:rPr>
          <w:rFonts w:eastAsia="MS Mincho"/>
        </w:rPr>
        <w:t xml:space="preserve"> (</w:t>
      </w:r>
      <w:r w:rsidR="00F87896" w:rsidRPr="00F87896">
        <w:rPr>
          <w:rFonts w:eastAsia="MS Mincho"/>
        </w:rPr>
        <w:t>R3-225229</w:t>
      </w:r>
      <w:r w:rsidR="00F87896">
        <w:rPr>
          <w:rFonts w:eastAsia="MS Mincho"/>
        </w:rPr>
        <w:t>)</w:t>
      </w:r>
      <w:r w:rsidR="007D15B8">
        <w:rPr>
          <w:rFonts w:eastAsia="MS Mincho" w:hint="eastAsia"/>
        </w:rPr>
        <w:t xml:space="preserve"> to RAN</w:t>
      </w:r>
      <w:r>
        <w:rPr>
          <w:rFonts w:eastAsia="MS Mincho" w:hint="eastAsia"/>
        </w:rPr>
        <w:t xml:space="preserve"> plenary and </w:t>
      </w:r>
      <w:r w:rsidR="007D15B8">
        <w:rPr>
          <w:rFonts w:eastAsia="MS Mincho"/>
        </w:rPr>
        <w:t>CC to SA plenary and SA WG2. In general, it highlights the current misaligned status between Rel-18 MBS WID in RAN WGs and SA WG2. Quote from the LS:</w:t>
      </w:r>
    </w:p>
    <w:tbl>
      <w:tblPr>
        <w:tblStyle w:val="aa"/>
        <w:tblW w:w="0" w:type="auto"/>
        <w:tblLook w:val="04A0" w:firstRow="1" w:lastRow="0" w:firstColumn="1" w:lastColumn="0" w:noHBand="0" w:noVBand="1"/>
      </w:tblPr>
      <w:tblGrid>
        <w:gridCol w:w="9628"/>
      </w:tblGrid>
      <w:tr w:rsidR="007D15B8" w14:paraId="220756AB" w14:textId="77777777" w:rsidTr="007D15B8">
        <w:tc>
          <w:tcPr>
            <w:tcW w:w="9628" w:type="dxa"/>
          </w:tcPr>
          <w:p w14:paraId="14C699CF" w14:textId="77777777" w:rsidR="007D15B8" w:rsidRPr="007D15B8" w:rsidRDefault="007D15B8" w:rsidP="00BD387D">
            <w:pPr>
              <w:rPr>
                <w:rFonts w:eastAsia="MS Mincho"/>
                <w:i/>
              </w:rPr>
            </w:pPr>
            <w:r w:rsidRPr="007D15B8">
              <w:rPr>
                <w:rFonts w:ascii="Arial" w:hAnsi="Arial" w:cs="Arial"/>
                <w:i/>
                <w:lang w:eastAsia="zh-CN"/>
              </w:rPr>
              <w:t>RAN3</w:t>
            </w:r>
            <w:r w:rsidRPr="007D15B8">
              <w:rPr>
                <w:rFonts w:ascii="Arial" w:eastAsia="Calibri" w:hAnsi="Arial" w:cs="Arial"/>
                <w:i/>
              </w:rPr>
              <w:t xml:space="preserve"> </w:t>
            </w:r>
            <w:r w:rsidRPr="007D15B8">
              <w:rPr>
                <w:rFonts w:ascii="Arial" w:hAnsi="Arial" w:cs="Arial"/>
                <w:i/>
                <w:lang w:eastAsia="zh-CN"/>
              </w:rPr>
              <w:t xml:space="preserve">is discussing </w:t>
            </w:r>
            <w:bookmarkStart w:id="0" w:name="OLE_LINK34"/>
            <w:bookmarkStart w:id="1" w:name="OLE_LINK35"/>
            <w:r w:rsidRPr="007D15B8">
              <w:rPr>
                <w:rFonts w:ascii="Arial" w:eastAsia="宋体" w:hAnsi="Arial" w:cs="Arial"/>
                <w:i/>
                <w:iCs/>
                <w:lang w:eastAsia="zh-CN"/>
              </w:rPr>
              <w:t>resource efficiency for MBS reception in RAN sharing scenario</w:t>
            </w:r>
            <w:bookmarkEnd w:id="0"/>
            <w:bookmarkEnd w:id="1"/>
            <w:r w:rsidRPr="007D15B8">
              <w:rPr>
                <w:rFonts w:ascii="Arial" w:eastAsia="宋体" w:hAnsi="Arial" w:cs="Arial"/>
                <w:i/>
                <w:iCs/>
                <w:lang w:eastAsia="zh-CN"/>
              </w:rPr>
              <w:t>s</w:t>
            </w:r>
            <w:r w:rsidRPr="007D15B8">
              <w:rPr>
                <w:rFonts w:ascii="Arial" w:eastAsia="宋体" w:hAnsi="Arial" w:cs="Arial"/>
                <w:i/>
                <w:lang w:eastAsia="zh-CN"/>
              </w:rPr>
              <w:t xml:space="preserve"> as requested by the WID in RP-213568 and has identified that the scope of that work task is not restricted with regards to the type of the MBS session (broadcast / multicast), while being aware that respective ongoing studies in SA2 for </w:t>
            </w:r>
            <w:r w:rsidRPr="007D15B8">
              <w:rPr>
                <w:rFonts w:ascii="Arial" w:eastAsia="宋体" w:hAnsi="Arial" w:cs="Arial" w:hint="eastAsia"/>
                <w:i/>
                <w:lang w:val="en-US" w:eastAsia="zh-CN"/>
              </w:rPr>
              <w:t>R</w:t>
            </w:r>
            <w:r w:rsidRPr="007D15B8">
              <w:rPr>
                <w:rFonts w:ascii="Arial" w:eastAsia="宋体" w:hAnsi="Arial" w:cs="Arial"/>
                <w:i/>
                <w:lang w:eastAsia="zh-CN"/>
              </w:rPr>
              <w:t>elease18 have been conducted for broadcast MBS sessions only.</w:t>
            </w:r>
          </w:p>
        </w:tc>
      </w:tr>
    </w:tbl>
    <w:p w14:paraId="0E94A801" w14:textId="77777777" w:rsidR="007D15B8" w:rsidRDefault="007D15B8" w:rsidP="00BD387D">
      <w:pPr>
        <w:rPr>
          <w:rFonts w:eastAsia="MS Mincho"/>
        </w:rPr>
      </w:pPr>
    </w:p>
    <w:p w14:paraId="77FDE595" w14:textId="29F3B561" w:rsidR="007D15B8" w:rsidRDefault="00FE0CA4" w:rsidP="00BD387D">
      <w:pPr>
        <w:rPr>
          <w:rFonts w:eastAsia="MS Mincho"/>
        </w:rPr>
      </w:pPr>
      <w:r>
        <w:rPr>
          <w:rFonts w:eastAsia="MS Mincho"/>
        </w:rPr>
        <w:t>TSG RAN also discussed s</w:t>
      </w:r>
      <w:r w:rsidR="00F71D92">
        <w:rPr>
          <w:rFonts w:eastAsia="MS Mincho" w:hint="eastAsia"/>
        </w:rPr>
        <w:t xml:space="preserve">uch issue in </w:t>
      </w:r>
      <w:r w:rsidR="00C208CF">
        <w:rPr>
          <w:rFonts w:eastAsia="MS Mincho"/>
        </w:rPr>
        <w:t xml:space="preserve">RP-97e </w:t>
      </w:r>
      <w:r w:rsidR="00135E68">
        <w:rPr>
          <w:rFonts w:eastAsia="MS Mincho"/>
        </w:rPr>
        <w:t>(</w:t>
      </w:r>
      <w:r w:rsidR="00C52F61" w:rsidRPr="00C52F61">
        <w:rPr>
          <w:rFonts w:eastAsia="MS Mincho"/>
        </w:rPr>
        <w:t>RP-222678</w:t>
      </w:r>
      <w:r w:rsidR="00135E68">
        <w:rPr>
          <w:rFonts w:eastAsia="MS Mincho"/>
        </w:rPr>
        <w:t>)</w:t>
      </w:r>
      <w:r w:rsidR="00C208CF">
        <w:rPr>
          <w:rFonts w:eastAsia="MS Mincho"/>
        </w:rPr>
        <w:t>, and considered</w:t>
      </w:r>
      <w:r w:rsidR="00C52F61">
        <w:rPr>
          <w:rFonts w:eastAsia="MS Mincho"/>
        </w:rPr>
        <w:t xml:space="preserve"> </w:t>
      </w:r>
      <w:r w:rsidR="00C208CF">
        <w:rPr>
          <w:rFonts w:eastAsia="MS Mincho"/>
        </w:rPr>
        <w:t>including</w:t>
      </w:r>
      <w:r>
        <w:rPr>
          <w:rFonts w:eastAsia="MS Mincho"/>
        </w:rPr>
        <w:t xml:space="preserve"> efficient MBS reception in RAN sharing scenario for mul</w:t>
      </w:r>
      <w:r w:rsidR="00F87896">
        <w:rPr>
          <w:rFonts w:eastAsia="MS Mincho"/>
        </w:rPr>
        <w:t>ticast service</w:t>
      </w:r>
      <w:r w:rsidR="00C208CF">
        <w:rPr>
          <w:rFonts w:eastAsia="MS Mincho"/>
        </w:rPr>
        <w:t xml:space="preserve"> is beneficial</w:t>
      </w:r>
      <w:r w:rsidR="00F87896">
        <w:rPr>
          <w:rFonts w:eastAsia="MS Mincho"/>
        </w:rPr>
        <w:t xml:space="preserve"> in Rel-18 scope. TSG RAN also suggests RAN WG3 to prioritize the broadcast scenario before getting the response from SA2.</w:t>
      </w:r>
    </w:p>
    <w:tbl>
      <w:tblPr>
        <w:tblStyle w:val="aa"/>
        <w:tblW w:w="0" w:type="auto"/>
        <w:tblLook w:val="04A0" w:firstRow="1" w:lastRow="0" w:firstColumn="1" w:lastColumn="0" w:noHBand="0" w:noVBand="1"/>
      </w:tblPr>
      <w:tblGrid>
        <w:gridCol w:w="9628"/>
      </w:tblGrid>
      <w:tr w:rsidR="00C52F61" w14:paraId="63324BB9" w14:textId="77777777" w:rsidTr="00C52F61">
        <w:tc>
          <w:tcPr>
            <w:tcW w:w="9628" w:type="dxa"/>
          </w:tcPr>
          <w:p w14:paraId="541A4947" w14:textId="77777777" w:rsidR="00C52F61" w:rsidRPr="00C52F61" w:rsidRDefault="00C52F61" w:rsidP="00C52F61">
            <w:pPr>
              <w:jc w:val="both"/>
              <w:rPr>
                <w:rFonts w:ascii="Arial" w:hAnsi="Arial" w:cs="Arial"/>
                <w:i/>
                <w:lang w:eastAsia="zh-CN"/>
              </w:rPr>
            </w:pPr>
            <w:r w:rsidRPr="00C52F61">
              <w:rPr>
                <w:rFonts w:ascii="Arial" w:hAnsi="Arial" w:cs="Arial"/>
                <w:i/>
                <w:lang w:eastAsia="zh-CN"/>
              </w:rPr>
              <w:t xml:space="preserve">TSG RAN thanks RAN3 for the LS on the scope of resource efficiency for MBS reception in RAN sharing scenarios. </w:t>
            </w:r>
          </w:p>
          <w:p w14:paraId="0F7A12E5" w14:textId="77777777" w:rsidR="00C52F61" w:rsidRPr="00C52F61" w:rsidRDefault="00C52F61" w:rsidP="00C52F61">
            <w:pPr>
              <w:jc w:val="both"/>
              <w:rPr>
                <w:rFonts w:ascii="Arial" w:hAnsi="Arial" w:cs="Arial"/>
                <w:i/>
                <w:lang w:eastAsia="zh-CN"/>
              </w:rPr>
            </w:pPr>
            <w:r w:rsidRPr="00C52F61">
              <w:rPr>
                <w:rFonts w:ascii="Arial" w:hAnsi="Arial" w:cs="Arial"/>
                <w:i/>
                <w:lang w:eastAsia="zh-CN"/>
              </w:rPr>
              <w:t>TSG RAN considers that from technical point of view support of resource efficiency for MBS reception is beneficial regardless of the MBS session type (broadcast / multicast).</w:t>
            </w:r>
          </w:p>
          <w:p w14:paraId="27898EA6" w14:textId="2B1FFA58" w:rsidR="00C52F61" w:rsidRPr="00C52F61" w:rsidRDefault="00C52F61" w:rsidP="00C52F61">
            <w:pPr>
              <w:jc w:val="both"/>
              <w:rPr>
                <w:rFonts w:ascii="Arial" w:eastAsiaTheme="minorEastAsia" w:hAnsi="Arial" w:cs="Arial"/>
                <w:lang w:eastAsia="zh-CN"/>
              </w:rPr>
            </w:pPr>
            <w:r w:rsidRPr="00C52F61">
              <w:rPr>
                <w:rFonts w:ascii="Arial" w:hAnsi="Arial" w:cs="Arial"/>
                <w:i/>
                <w:lang w:eastAsia="zh-CN"/>
              </w:rPr>
              <w:t xml:space="preserve">TSG RAN suggests RAN3 to </w:t>
            </w:r>
            <w:r w:rsidRPr="00C52F61">
              <w:rPr>
                <w:rFonts w:ascii="Arial" w:hAnsi="Arial" w:cs="Arial" w:hint="eastAsia"/>
                <w:i/>
                <w:lang w:eastAsia="zh-CN"/>
              </w:rPr>
              <w:t xml:space="preserve">focus on </w:t>
            </w:r>
            <w:r w:rsidRPr="00C52F61">
              <w:rPr>
                <w:rFonts w:ascii="Arial" w:hAnsi="Arial" w:cs="Arial"/>
                <w:i/>
                <w:lang w:eastAsia="zh-CN"/>
              </w:rPr>
              <w:t xml:space="preserve">the </w:t>
            </w:r>
            <w:r w:rsidRPr="00C52F61">
              <w:rPr>
                <w:rFonts w:ascii="Arial" w:hAnsi="Arial" w:cs="Arial" w:hint="eastAsia"/>
                <w:i/>
                <w:lang w:eastAsia="zh-CN"/>
              </w:rPr>
              <w:t xml:space="preserve">work on the </w:t>
            </w:r>
            <w:r w:rsidRPr="00C52F61">
              <w:rPr>
                <w:rFonts w:ascii="Arial" w:hAnsi="Arial" w:cs="Arial"/>
                <w:i/>
                <w:lang w:eastAsia="zh-CN"/>
              </w:rPr>
              <w:t>broadcast service for resource efficiency improvement for MBS reception in RAN sharing scenario,</w:t>
            </w:r>
            <w:r w:rsidRPr="00C52F61">
              <w:rPr>
                <w:rFonts w:ascii="Arial" w:hAnsi="Arial" w:cs="Arial" w:hint="eastAsia"/>
                <w:i/>
                <w:lang w:eastAsia="zh-CN"/>
              </w:rPr>
              <w:t xml:space="preserve"> and to </w:t>
            </w:r>
            <w:r w:rsidRPr="00C52F61">
              <w:rPr>
                <w:rFonts w:ascii="Arial" w:hAnsi="Arial" w:cs="Arial"/>
                <w:i/>
                <w:lang w:eastAsia="zh-CN"/>
              </w:rPr>
              <w:t>further</w:t>
            </w:r>
            <w:r w:rsidRPr="00C52F61">
              <w:rPr>
                <w:rFonts w:ascii="Arial" w:hAnsi="Arial" w:cs="Arial" w:hint="eastAsia"/>
                <w:i/>
                <w:lang w:eastAsia="zh-CN"/>
              </w:rPr>
              <w:t xml:space="preserve"> coordinate with SA2 on the applicability of the solution to </w:t>
            </w:r>
            <w:r w:rsidRPr="00C52F61">
              <w:rPr>
                <w:rFonts w:ascii="Arial" w:hAnsi="Arial" w:cs="Arial"/>
                <w:i/>
                <w:lang w:eastAsia="zh-CN"/>
              </w:rPr>
              <w:t>multicast</w:t>
            </w:r>
            <w:r w:rsidRPr="00C52F61">
              <w:rPr>
                <w:rFonts w:ascii="Arial" w:hAnsi="Arial" w:cs="Arial" w:hint="eastAsia"/>
                <w:i/>
                <w:lang w:eastAsia="zh-CN"/>
              </w:rPr>
              <w:t xml:space="preserve"> service when needed. </w:t>
            </w:r>
          </w:p>
        </w:tc>
      </w:tr>
    </w:tbl>
    <w:p w14:paraId="529913AA" w14:textId="77777777" w:rsidR="00C52F61" w:rsidRDefault="00C52F61" w:rsidP="00BD387D">
      <w:pPr>
        <w:rPr>
          <w:rFonts w:eastAsia="MS Mincho"/>
        </w:rPr>
      </w:pPr>
    </w:p>
    <w:p w14:paraId="625D804F" w14:textId="77777777" w:rsidR="00FE0CA4" w:rsidRPr="00F87896" w:rsidRDefault="00FE0CA4" w:rsidP="00BD387D">
      <w:pPr>
        <w:rPr>
          <w:rFonts w:eastAsia="MS Mincho"/>
        </w:rPr>
      </w:pPr>
      <w:r>
        <w:rPr>
          <w:rFonts w:eastAsia="MS Mincho"/>
        </w:rPr>
        <w:t xml:space="preserve">Therefore, it is needed for SA2 to clarify such aspect in this meeting. </w:t>
      </w:r>
    </w:p>
    <w:p w14:paraId="38104837" w14:textId="77777777" w:rsidR="00BD387D" w:rsidRDefault="00BD387D" w:rsidP="00BD387D">
      <w:pPr>
        <w:pStyle w:val="1"/>
        <w:rPr>
          <w:lang w:eastAsia="zh-CN"/>
        </w:rPr>
      </w:pPr>
      <w:r>
        <w:rPr>
          <w:lang w:eastAsia="zh-CN"/>
        </w:rPr>
        <w:t>2. Discussion</w:t>
      </w:r>
    </w:p>
    <w:p w14:paraId="63AF46F0" w14:textId="77777777" w:rsidR="00A318EC" w:rsidRPr="00A318EC" w:rsidRDefault="00A318EC" w:rsidP="00A318EC">
      <w:pPr>
        <w:pStyle w:val="3"/>
        <w:rPr>
          <w:rFonts w:eastAsia="宋体"/>
          <w:lang w:eastAsia="en-GB"/>
        </w:rPr>
      </w:pPr>
      <w:r w:rsidRPr="00A318EC">
        <w:rPr>
          <w:rFonts w:eastAsia="宋体" w:hint="eastAsia"/>
          <w:lang w:eastAsia="en-GB"/>
        </w:rPr>
        <w:t>2.1</w:t>
      </w:r>
      <w:r w:rsidRPr="00A318EC">
        <w:rPr>
          <w:rFonts w:eastAsia="宋体" w:hint="eastAsia"/>
          <w:lang w:eastAsia="en-GB"/>
        </w:rPr>
        <w:tab/>
        <w:t>Issue o</w:t>
      </w:r>
      <w:r w:rsidRPr="00A318EC">
        <w:rPr>
          <w:rFonts w:eastAsia="宋体"/>
          <w:lang w:eastAsia="en-GB"/>
        </w:rPr>
        <w:t>f sequence number</w:t>
      </w:r>
    </w:p>
    <w:p w14:paraId="564140AD" w14:textId="77777777" w:rsidR="00F53117" w:rsidRDefault="00F53117" w:rsidP="00F53117">
      <w:pPr>
        <w:rPr>
          <w:rFonts w:eastAsia="MS Mincho"/>
        </w:rPr>
      </w:pPr>
      <w:r>
        <w:rPr>
          <w:rFonts w:eastAsia="MS Mincho"/>
        </w:rPr>
        <w:t xml:space="preserve">The CN sequence number is introduced in Rel-17 for addressing the service continuity issue. For the downlink packet, the MB-UPF generates the sequence number as follows (clause 7.2.3.5 of TS 23.247): </w:t>
      </w:r>
    </w:p>
    <w:tbl>
      <w:tblPr>
        <w:tblStyle w:val="aa"/>
        <w:tblW w:w="0" w:type="auto"/>
        <w:tblLook w:val="04A0" w:firstRow="1" w:lastRow="0" w:firstColumn="1" w:lastColumn="0" w:noHBand="0" w:noVBand="1"/>
      </w:tblPr>
      <w:tblGrid>
        <w:gridCol w:w="9628"/>
      </w:tblGrid>
      <w:tr w:rsidR="00F53117" w14:paraId="5DDD4DF7" w14:textId="77777777" w:rsidTr="00DD4246">
        <w:tc>
          <w:tcPr>
            <w:tcW w:w="9628" w:type="dxa"/>
          </w:tcPr>
          <w:p w14:paraId="205AFE5F" w14:textId="77777777" w:rsidR="00F53117" w:rsidRPr="00002DBE" w:rsidRDefault="00F53117" w:rsidP="00DD4246">
            <w:pPr>
              <w:rPr>
                <w:rFonts w:eastAsia="MS Mincho"/>
                <w:i/>
              </w:rPr>
            </w:pPr>
            <w:r w:rsidRPr="00002DBE">
              <w:rPr>
                <w:i/>
                <w:lang w:eastAsia="ko-KR"/>
              </w:rPr>
              <w:t>For each MBS QoS flow, the MB-UPF adds a sequence number in each data packet of the MBS session sent by the MB-UPF and forwarded to all related NG-RAN nodes and UPFs via GTP-U tunnel. When the UPF forwards the received MBS data packet, the sequence number shall not be changed.</w:t>
            </w:r>
          </w:p>
        </w:tc>
      </w:tr>
    </w:tbl>
    <w:p w14:paraId="0E04D333" w14:textId="77777777" w:rsidR="00F53117" w:rsidRPr="004C3BFD" w:rsidRDefault="00F53117" w:rsidP="00F53117">
      <w:pPr>
        <w:rPr>
          <w:rFonts w:eastAsia="MS Mincho"/>
          <w:lang w:val="en-US"/>
        </w:rPr>
      </w:pPr>
    </w:p>
    <w:p w14:paraId="6A271687" w14:textId="77777777" w:rsidR="00F53117" w:rsidRDefault="00F53117" w:rsidP="00F53117">
      <w:pPr>
        <w:rPr>
          <w:rFonts w:eastAsiaTheme="minorEastAsia"/>
          <w:lang w:val="en-US" w:eastAsia="zh-CN"/>
        </w:rPr>
      </w:pPr>
      <w:r>
        <w:rPr>
          <w:rFonts w:eastAsiaTheme="minorEastAsia"/>
          <w:lang w:val="en-US" w:eastAsia="zh-CN"/>
        </w:rPr>
        <w:lastRenderedPageBreak/>
        <w:t>An</w:t>
      </w:r>
      <w:r w:rsidR="00E4683B">
        <w:rPr>
          <w:rFonts w:eastAsiaTheme="minorEastAsia"/>
          <w:lang w:val="en-US" w:eastAsia="zh-CN"/>
        </w:rPr>
        <w:t>d NG-RAN nodes may then generate the PDCP SN number</w:t>
      </w:r>
      <w:r w:rsidR="00FF22B5">
        <w:rPr>
          <w:rFonts w:eastAsiaTheme="minorEastAsia"/>
          <w:lang w:val="en-US" w:eastAsia="zh-CN"/>
        </w:rPr>
        <w:t xml:space="preserve"> based on the sequence number in the GTP-U header</w:t>
      </w:r>
      <w:r w:rsidR="00E4683B">
        <w:rPr>
          <w:rFonts w:eastAsiaTheme="minorEastAsia"/>
          <w:lang w:val="en-US" w:eastAsia="zh-CN"/>
        </w:rPr>
        <w:t xml:space="preserve">. </w:t>
      </w:r>
    </w:p>
    <w:p w14:paraId="7898326C" w14:textId="66751D41" w:rsidR="00A318EC" w:rsidRDefault="00A318EC" w:rsidP="00F53117">
      <w:r>
        <w:rPr>
          <w:rFonts w:eastAsiaTheme="minorEastAsia"/>
          <w:lang w:val="en-US" w:eastAsia="zh-CN"/>
        </w:rPr>
        <w:t>This mechanism works well in Rel-17 given that the</w:t>
      </w:r>
      <w:r w:rsidR="004C0305">
        <w:rPr>
          <w:rFonts w:eastAsiaTheme="minorEastAsia"/>
          <w:lang w:val="en-US" w:eastAsia="zh-CN"/>
        </w:rPr>
        <w:t xml:space="preserve"> network have a single </w:t>
      </w:r>
      <w:r w:rsidR="004C0305" w:rsidRPr="00BF0BB7">
        <w:t>MBS Session Anchor</w:t>
      </w:r>
      <w:r w:rsidR="004C0305">
        <w:t xml:space="preserve"> (i.e., MB-UPF)</w:t>
      </w:r>
      <w:r w:rsidR="00563522">
        <w:t>. A</w:t>
      </w:r>
      <w:r w:rsidR="003D714C">
        <w:t>ll the NG-RAN nodes have the similar understanding</w:t>
      </w:r>
      <w:r w:rsidR="00D86821">
        <w:t xml:space="preserve"> </w:t>
      </w:r>
      <w:r w:rsidR="00E55720">
        <w:t xml:space="preserve">regarding the sequence number. </w:t>
      </w:r>
      <w:r w:rsidR="00507ADA">
        <w:t xml:space="preserve">However, </w:t>
      </w:r>
      <w:r w:rsidR="00E55720">
        <w:t xml:space="preserve">MOCN network sharing may somehow break </w:t>
      </w:r>
      <w:r w:rsidR="00507ADA">
        <w:t xml:space="preserve">such </w:t>
      </w:r>
      <w:r w:rsidR="00E55720">
        <w:t>assumption</w:t>
      </w:r>
      <w:r w:rsidR="006E7E2E">
        <w:t xml:space="preserve"> because there are multiple MB-UPFs belongs to different PLMNs, and currently there is no mechanism </w:t>
      </w:r>
      <w:r w:rsidR="00AF7747">
        <w:t>to synchronize the sequence number</w:t>
      </w:r>
      <w:r w:rsidR="00CD5CA5">
        <w:t xml:space="preserve">. </w:t>
      </w:r>
    </w:p>
    <w:p w14:paraId="325B01E7" w14:textId="516E9C80" w:rsidR="005003DC" w:rsidRPr="00FC63FA" w:rsidRDefault="005003DC" w:rsidP="00F53117">
      <w:pPr>
        <w:rPr>
          <w:rFonts w:eastAsiaTheme="minorEastAsia"/>
          <w:lang w:val="en-US" w:eastAsia="zh-CN"/>
        </w:rPr>
      </w:pPr>
      <w:r>
        <w:t>As a result, different MB-UPFs are very likely generating different (and irrelevant)</w:t>
      </w:r>
      <w:r w:rsidR="00FC63FA">
        <w:t xml:space="preserve"> </w:t>
      </w:r>
      <w:r w:rsidR="00FC63FA">
        <w:rPr>
          <w:lang w:val="en-US"/>
        </w:rPr>
        <w:t>sequence number</w:t>
      </w:r>
      <w:r>
        <w:t xml:space="preserve">, and </w:t>
      </w:r>
      <w:r w:rsidR="00FC63FA">
        <w:t xml:space="preserve">NG-RAN nodes cannot derive a proper data forwarding plan. Figure </w:t>
      </w:r>
      <w:r w:rsidR="00FC63FA">
        <w:rPr>
          <w:lang w:val="en-US"/>
        </w:rPr>
        <w:t>2.1</w:t>
      </w:r>
      <w:r w:rsidR="00FC63FA" w:rsidRPr="00496CB0">
        <w:t>-1</w:t>
      </w:r>
      <w:r w:rsidR="00FC63FA">
        <w:t xml:space="preserve"> depicts one example of such dilemma. </w:t>
      </w:r>
    </w:p>
    <w:p w14:paraId="01D36355" w14:textId="77777777" w:rsidR="00BD387D" w:rsidRDefault="00473CBD" w:rsidP="006D38B9">
      <w:pPr>
        <w:pStyle w:val="ab"/>
        <w:spacing w:before="0" w:beforeAutospacing="0" w:after="0" w:afterAutospacing="0"/>
        <w:jc w:val="center"/>
        <w:textAlignment w:val="baseline"/>
        <w:rPr>
          <w:rFonts w:eastAsiaTheme="minorEastAsia"/>
          <w:lang w:eastAsia="zh-CN"/>
        </w:rPr>
      </w:pPr>
      <w:r>
        <w:rPr>
          <w:noProof/>
          <w:lang w:eastAsia="zh-CN"/>
        </w:rPr>
        <mc:AlternateContent>
          <mc:Choice Requires="wpc">
            <w:drawing>
              <wp:inline distT="0" distB="0" distL="0" distR="0" wp14:anchorId="26D74CB0" wp14:editId="1D2C6D55">
                <wp:extent cx="5421086" cy="301752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0" name="组合 30"/>
                        <wpg:cNvGrpSpPr/>
                        <wpg:grpSpPr>
                          <a:xfrm>
                            <a:off x="1736995" y="675873"/>
                            <a:ext cx="1445956" cy="293184"/>
                            <a:chOff x="1736995" y="677032"/>
                            <a:chExt cx="1445956" cy="293184"/>
                          </a:xfrm>
                        </wpg:grpSpPr>
                        <wps:wsp>
                          <wps:cNvPr id="28" name="流程图: 直接访问存储器 28"/>
                          <wps:cNvSpPr/>
                          <wps:spPr>
                            <a:xfrm>
                              <a:off x="1736995" y="677032"/>
                              <a:ext cx="953135" cy="292100"/>
                            </a:xfrm>
                            <a:prstGeom prst="flowChartMagneticDrum">
                              <a:avLst/>
                            </a:prstGeom>
                            <a:ln/>
                          </wps:spPr>
                          <wps:style>
                            <a:lnRef idx="1">
                              <a:schemeClr val="accent3"/>
                            </a:lnRef>
                            <a:fillRef idx="2">
                              <a:schemeClr val="accent3"/>
                            </a:fillRef>
                            <a:effectRef idx="1">
                              <a:schemeClr val="accent3"/>
                            </a:effectRef>
                            <a:fontRef idx="minor">
                              <a:schemeClr val="dk1"/>
                            </a:fontRef>
                          </wps:style>
                          <wps:bodyPr rtlCol="0" anchor="ctr"/>
                        </wps:wsp>
                        <wps:wsp>
                          <wps:cNvPr id="27" name="流程图: 直接访问存储器 27"/>
                          <wps:cNvSpPr/>
                          <wps:spPr>
                            <a:xfrm>
                              <a:off x="2229816" y="677481"/>
                              <a:ext cx="953135" cy="292735"/>
                            </a:xfrm>
                            <a:prstGeom prst="flowChartMagneticDrum">
                              <a:avLst/>
                            </a:prstGeom>
                            <a:ln/>
                          </wps:spPr>
                          <wps:style>
                            <a:lnRef idx="1">
                              <a:schemeClr val="accent3"/>
                            </a:lnRef>
                            <a:fillRef idx="2">
                              <a:schemeClr val="accent3"/>
                            </a:fillRef>
                            <a:effectRef idx="1">
                              <a:schemeClr val="accent3"/>
                            </a:effectRef>
                            <a:fontRef idx="minor">
                              <a:schemeClr val="dk1"/>
                            </a:fontRef>
                          </wps:style>
                          <wps:bodyPr rtlCol="0" anchor="ctr"/>
                        </wps:wsp>
                      </wpg:wgp>
                      <wpg:wgp>
                        <wpg:cNvPr id="3" name="组合 3"/>
                        <wpg:cNvGrpSpPr/>
                        <wpg:grpSpPr>
                          <a:xfrm>
                            <a:off x="0" y="112678"/>
                            <a:ext cx="5380386" cy="2802923"/>
                            <a:chOff x="0" y="139738"/>
                            <a:chExt cx="6672522" cy="3476064"/>
                          </a:xfrm>
                        </wpg:grpSpPr>
                        <wpg:grpSp>
                          <wpg:cNvPr id="4" name="组合 4"/>
                          <wpg:cNvGrpSpPr/>
                          <wpg:grpSpPr>
                            <a:xfrm>
                              <a:off x="0" y="139738"/>
                              <a:ext cx="6202080" cy="3476064"/>
                              <a:chOff x="0" y="139738"/>
                              <a:chExt cx="6202080" cy="3476064"/>
                            </a:xfrm>
                          </wpg:grpSpPr>
                          <wps:wsp>
                            <wps:cNvPr id="7" name="等腰三角形 7"/>
                            <wps:cNvSpPr/>
                            <wps:spPr>
                              <a:xfrm>
                                <a:off x="1429807" y="555367"/>
                                <a:ext cx="648071" cy="936104"/>
                              </a:xfrm>
                              <a:prstGeom prst="triangle">
                                <a:avLst/>
                              </a:prstGeom>
                              <a:ln/>
                            </wps:spPr>
                            <wps:style>
                              <a:lnRef idx="1">
                                <a:schemeClr val="accent3"/>
                              </a:lnRef>
                              <a:fillRef idx="2">
                                <a:schemeClr val="accent3"/>
                              </a:fillRef>
                              <a:effectRef idx="1">
                                <a:schemeClr val="accent3"/>
                              </a:effectRef>
                              <a:fontRef idx="minor">
                                <a:schemeClr val="dk1"/>
                              </a:fontRef>
                            </wps:style>
                            <wps:bodyPr rtlCol="0" anchor="ctr"/>
                          </wps:wsp>
                          <wps:wsp>
                            <wps:cNvPr id="8" name="等腰三角形 8"/>
                            <wps:cNvSpPr/>
                            <wps:spPr>
                              <a:xfrm>
                                <a:off x="1753842" y="2267299"/>
                                <a:ext cx="648071" cy="936105"/>
                              </a:xfrm>
                              <a:prstGeom prst="triangle">
                                <a:avLst/>
                              </a:prstGeom>
                              <a:ln/>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9" name="文本框 6"/>
                            <wps:cNvSpPr txBox="1"/>
                            <wps:spPr>
                              <a:xfrm>
                                <a:off x="1297789" y="152138"/>
                                <a:ext cx="841837" cy="421312"/>
                              </a:xfrm>
                              <a:prstGeom prst="rect">
                                <a:avLst/>
                              </a:prstGeom>
                              <a:noFill/>
                            </wps:spPr>
                            <wps:txbx>
                              <w:txbxContent>
                                <w:p w14:paraId="6D1D4D5A"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S-RAN</w:t>
                                  </w:r>
                                </w:p>
                                <w:p w14:paraId="182D5D06"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(PLMN a)</w:t>
                                  </w:r>
                                </w:p>
                              </w:txbxContent>
                            </wps:txbx>
                            <wps:bodyPr wrap="square" rtlCol="0">
                              <a:spAutoFit/>
                            </wps:bodyPr>
                          </wps:wsp>
                          <wps:wsp>
                            <wps:cNvPr id="10" name="文本框 7"/>
                            <wps:cNvSpPr txBox="1"/>
                            <wps:spPr>
                              <a:xfrm>
                                <a:off x="1663011" y="3194489"/>
                                <a:ext cx="848137" cy="421313"/>
                              </a:xfrm>
                              <a:prstGeom prst="rect">
                                <a:avLst/>
                              </a:prstGeom>
                              <a:noFill/>
                            </wps:spPr>
                            <wps:txbx>
                              <w:txbxContent>
                                <w:p w14:paraId="52DC78A1"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T-RAN</w:t>
                                  </w:r>
                                </w:p>
                                <w:p w14:paraId="6F0C9FA9"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(PLMN b)</w:t>
                                  </w:r>
                                </w:p>
                              </w:txbxContent>
                            </wps:txbx>
                            <wps:bodyPr wrap="square" rtlCol="0">
                              <a:spAutoFit/>
                            </wps:bodyPr>
                          </wps:wsp>
                          <wps:wsp>
                            <wps:cNvPr id="11" name="矩形 11"/>
                            <wps:cNvSpPr/>
                            <wps:spPr>
                              <a:xfrm>
                                <a:off x="4734598" y="753896"/>
                                <a:ext cx="1061734" cy="523800"/>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C5D155D" w14:textId="77777777" w:rsidR="00473CBD" w:rsidRPr="006D38B9" w:rsidRDefault="00473CBD" w:rsidP="00473CBD">
                                  <w:pPr>
                                    <w:pStyle w:val="ab"/>
                                    <w:spacing w:before="0" w:beforeAutospacing="0" w:after="0" w:afterAutospacing="0"/>
                                    <w:jc w:val="center"/>
                                    <w:textAlignment w:val="baseline"/>
                                    <w:rPr>
                                      <w:b/>
                                      <w:sz w:val="20"/>
                                    </w:rPr>
                                  </w:pPr>
                                  <w:r w:rsidRPr="006D38B9">
                                    <w:rPr>
                                      <w:rFonts w:asciiTheme="minorHAnsi" w:eastAsiaTheme="minorEastAsia" w:hAnsi="Calibri" w:cstheme="minorBidi"/>
                                      <w:b/>
                                      <w:kern w:val="24"/>
                                      <w:szCs w:val="36"/>
                                    </w:rPr>
                                    <w:t>MB-UPF</w:t>
                                  </w:r>
                                </w:p>
                                <w:p w14:paraId="2A097B56" w14:textId="77777777" w:rsidR="00473CBD" w:rsidRPr="006D38B9" w:rsidRDefault="00473CBD" w:rsidP="00473CBD">
                                  <w:pPr>
                                    <w:pStyle w:val="ab"/>
                                    <w:spacing w:before="0" w:beforeAutospacing="0" w:after="0" w:afterAutospacing="0"/>
                                    <w:jc w:val="center"/>
                                    <w:textAlignment w:val="baseline"/>
                                    <w:rPr>
                                      <w:b/>
                                      <w:sz w:val="20"/>
                                    </w:rPr>
                                  </w:pPr>
                                  <w:r w:rsidRPr="006D38B9">
                                    <w:rPr>
                                      <w:rFonts w:asciiTheme="minorHAnsi" w:eastAsiaTheme="minorEastAsia" w:hAnsi="Calibri" w:cstheme="minorBidi"/>
                                      <w:b/>
                                      <w:kern w:val="24"/>
                                      <w:sz w:val="20"/>
                                    </w:rPr>
                                    <w:t>(PLMN a)</w:t>
                                  </w:r>
                                </w:p>
                              </w:txbxContent>
                            </wps:txbx>
                            <wps:bodyPr rtlCol="0" anchor="ctr"/>
                          </wps:wsp>
                          <wps:wsp>
                            <wps:cNvPr id="12" name="流程图: 直接访问存储器 12"/>
                            <wps:cNvSpPr/>
                            <wps:spPr>
                              <a:xfrm>
                                <a:off x="3336183" y="838188"/>
                                <a:ext cx="1182245" cy="363687"/>
                              </a:xfrm>
                              <a:prstGeom prst="flowChartMagneticDrum">
                                <a:avLst/>
                              </a:prstGeom>
                              <a:ln/>
                            </wps:spPr>
                            <wps:style>
                              <a:lnRef idx="1">
                                <a:schemeClr val="accent3"/>
                              </a:lnRef>
                              <a:fillRef idx="2">
                                <a:schemeClr val="accent3"/>
                              </a:fillRef>
                              <a:effectRef idx="1">
                                <a:schemeClr val="accent3"/>
                              </a:effectRef>
                              <a:fontRef idx="minor">
                                <a:schemeClr val="dk1"/>
                              </a:fontRef>
                            </wps:style>
                            <wps:bodyPr rtlCol="0" anchor="ctr"/>
                          </wps:wsp>
                          <wps:wsp>
                            <wps:cNvPr id="13" name="流程图: 过程 13"/>
                            <wps:cNvSpPr/>
                            <wps:spPr>
                              <a:xfrm>
                                <a:off x="3336183" y="139738"/>
                                <a:ext cx="1056247" cy="590038"/>
                              </a:xfrm>
                              <a:prstGeom prst="flowChartProcess">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A7A21F" w14:textId="77777777" w:rsidR="00473CBD" w:rsidRPr="00CE0AE9" w:rsidRDefault="00473CBD"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Data packet</w:t>
                                  </w:r>
                                </w:p>
                                <w:p w14:paraId="45032DF1" w14:textId="77777777" w:rsidR="00473CBD" w:rsidRPr="00CE0AE9" w:rsidRDefault="00473CBD"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w:t>
                                  </w:r>
                                  <w:r w:rsidR="006D38B9">
                                    <w:rPr>
                                      <w:rFonts w:asciiTheme="minorHAnsi" w:eastAsiaTheme="minorEastAsia" w:cstheme="minorBidi" w:hint="eastAsia"/>
                                      <w:color w:val="000000" w:themeColor="text1"/>
                                      <w:kern w:val="24"/>
                                      <w:sz w:val="16"/>
                                      <w:szCs w:val="22"/>
                                    </w:rPr>
                                    <w:t>including</w:t>
                                  </w:r>
                                  <w:r w:rsidRPr="00CE0AE9">
                                    <w:rPr>
                                      <w:rFonts w:asciiTheme="minorHAnsi" w:eastAsiaTheme="minorEastAsia" w:hAnsi="Calibri" w:cstheme="minorBidi"/>
                                      <w:color w:val="000000" w:themeColor="text1"/>
                                      <w:kern w:val="24"/>
                                      <w:sz w:val="16"/>
                                      <w:szCs w:val="22"/>
                                    </w:rPr>
                                    <w:t xml:space="preserve"> SN number </w:t>
                                  </w:r>
                                  <w:r w:rsidRPr="00CE0AE9">
                                    <w:rPr>
                                      <w:rFonts w:asciiTheme="minorHAnsi" w:eastAsiaTheme="minorEastAsia" w:hAnsi="Calibri" w:cstheme="minorBidi"/>
                                      <w:i/>
                                      <w:iCs/>
                                      <w:color w:val="000000" w:themeColor="text1"/>
                                      <w:kern w:val="24"/>
                                      <w:sz w:val="16"/>
                                      <w:szCs w:val="22"/>
                                    </w:rPr>
                                    <w:t>aa</w:t>
                                  </w:r>
                                  <w:r w:rsidRPr="00CE0AE9">
                                    <w:rPr>
                                      <w:rFonts w:asciiTheme="minorHAnsi" w:eastAsiaTheme="minorEastAsia" w:hAnsi="Calibri" w:cstheme="minorBidi"/>
                                      <w:color w:val="000000" w:themeColor="text1"/>
                                      <w:kern w:val="24"/>
                                      <w:sz w:val="16"/>
                                      <w:szCs w:val="22"/>
                                    </w:rPr>
                                    <w:t>)</w:t>
                                  </w:r>
                                </w:p>
                              </w:txbxContent>
                            </wps:txbx>
                            <wps:bodyPr rtlCol="0" anchor="ctr"/>
                          </wps:wsp>
                          <wps:wsp>
                            <wps:cNvPr id="14" name="矩形 14"/>
                            <wps:cNvSpPr/>
                            <wps:spPr>
                              <a:xfrm>
                                <a:off x="277679" y="1023451"/>
                                <a:ext cx="576064" cy="288033"/>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C357344" w14:textId="77777777" w:rsidR="00473CBD" w:rsidRPr="00642983" w:rsidRDefault="00473CBD" w:rsidP="00473CBD">
                                  <w:pPr>
                                    <w:pStyle w:val="ab"/>
                                    <w:spacing w:before="0" w:beforeAutospacing="0" w:after="0" w:afterAutospacing="0"/>
                                    <w:jc w:val="center"/>
                                    <w:textAlignment w:val="baseline"/>
                                    <w:rPr>
                                      <w:b/>
                                      <w:sz w:val="20"/>
                                    </w:rPr>
                                  </w:pPr>
                                  <w:r w:rsidRPr="00642983">
                                    <w:rPr>
                                      <w:rFonts w:asciiTheme="minorHAnsi" w:eastAsiaTheme="minorEastAsia" w:hAnsi="Calibri" w:cstheme="minorBidi"/>
                                      <w:b/>
                                      <w:color w:val="000000" w:themeColor="dark1"/>
                                      <w:kern w:val="24"/>
                                      <w:sz w:val="22"/>
                                      <w:szCs w:val="32"/>
                                    </w:rPr>
                                    <w:t>UE</w:t>
                                  </w:r>
                                </w:p>
                              </w:txbxContent>
                            </wps:txbx>
                            <wps:bodyPr tIns="0" bIns="0" rtlCol="0" anchor="ctr"/>
                          </wps:wsp>
                          <wps:wsp>
                            <wps:cNvPr id="15" name="直接箭头连接符 15"/>
                            <wps:cNvCnPr/>
                            <wps:spPr>
                              <a:xfrm>
                                <a:off x="601714" y="1419483"/>
                                <a:ext cx="360040" cy="1368151"/>
                              </a:xfrm>
                              <a:prstGeom prst="straightConnector1">
                                <a:avLst/>
                              </a:prstGeom>
                              <a:ln w="25400">
                                <a:solidFill>
                                  <a:schemeClr val="bg1">
                                    <a:lumMod val="50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右箭头 17"/>
                            <wps:cNvSpPr/>
                            <wps:spPr>
                              <a:xfrm rot="10800000">
                                <a:off x="925750" y="952967"/>
                                <a:ext cx="432048" cy="343781"/>
                              </a:xfrm>
                              <a:prstGeom prst="rightArrow">
                                <a:avLst/>
                              </a:prstGeom>
                            </wps:spPr>
                            <wps:style>
                              <a:lnRef idx="1">
                                <a:schemeClr val="accent3"/>
                              </a:lnRef>
                              <a:fillRef idx="2">
                                <a:schemeClr val="accent3"/>
                              </a:fillRef>
                              <a:effectRef idx="1">
                                <a:schemeClr val="accent3"/>
                              </a:effectRef>
                              <a:fontRef idx="minor">
                                <a:schemeClr val="dk1"/>
                              </a:fontRef>
                            </wps:style>
                            <wps:bodyPr rtlCol="0" anchor="ctr"/>
                          </wps:wsp>
                          <wps:wsp>
                            <wps:cNvPr id="18" name="流程图: 过程 18"/>
                            <wps:cNvSpPr/>
                            <wps:spPr>
                              <a:xfrm>
                                <a:off x="0" y="418766"/>
                                <a:ext cx="1310295" cy="533877"/>
                              </a:xfrm>
                              <a:prstGeom prst="flowChartProcess">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D82D1" w14:textId="77777777" w:rsidR="00473CBD" w:rsidRPr="006D38B9" w:rsidRDefault="00473CBD" w:rsidP="006D38B9">
                                  <w:pPr>
                                    <w:pStyle w:val="ab"/>
                                    <w:spacing w:before="0" w:beforeAutospacing="0" w:after="0" w:afterAutospacing="0" w:line="160" w:lineRule="exact"/>
                                    <w:jc w:val="center"/>
                                    <w:textAlignment w:val="baseline"/>
                                    <w:rPr>
                                      <w:sz w:val="21"/>
                                    </w:rPr>
                                  </w:pPr>
                                  <w:r w:rsidRPr="006D38B9">
                                    <w:rPr>
                                      <w:rFonts w:asciiTheme="minorHAnsi" w:eastAsiaTheme="minorEastAsia" w:hAnsi="Calibri" w:cstheme="minorBidi"/>
                                      <w:color w:val="000000" w:themeColor="text1"/>
                                      <w:kern w:val="24"/>
                                      <w:sz w:val="15"/>
                                      <w:szCs w:val="18"/>
                                    </w:rPr>
                                    <w:t>S-RAN</w:t>
                                  </w:r>
                                  <w:r w:rsidR="006D38B9" w:rsidRPr="006D38B9">
                                    <w:rPr>
                                      <w:rFonts w:asciiTheme="minorHAnsi" w:eastAsiaTheme="minorEastAsia" w:hAnsi="Calibri" w:cstheme="minorBidi"/>
                                      <w:color w:val="000000" w:themeColor="text1"/>
                                      <w:kern w:val="24"/>
                                      <w:sz w:val="15"/>
                                      <w:szCs w:val="18"/>
                                    </w:rPr>
                                    <w:t xml:space="preserve"> derives the PDCP value based on CN sequence number.</w:t>
                                  </w:r>
                                </w:p>
                              </w:txbxContent>
                            </wps:txbx>
                            <wps:bodyPr rtlCol="0" anchor="ctr"/>
                          </wps:wsp>
                          <wps:wsp>
                            <wps:cNvPr id="19" name="右箭头 19"/>
                            <wps:cNvSpPr/>
                            <wps:spPr>
                              <a:xfrm rot="10800000">
                                <a:off x="1310296" y="2621176"/>
                                <a:ext cx="432048" cy="343781"/>
                              </a:xfrm>
                              <a:prstGeom prst="rightArrow">
                                <a:avLst/>
                              </a:prstGeom>
                            </wps:spPr>
                            <wps:style>
                              <a:lnRef idx="1">
                                <a:schemeClr val="accent3"/>
                              </a:lnRef>
                              <a:fillRef idx="2">
                                <a:schemeClr val="accent3"/>
                              </a:fillRef>
                              <a:effectRef idx="1">
                                <a:schemeClr val="accent3"/>
                              </a:effectRef>
                              <a:fontRef idx="minor">
                                <a:schemeClr val="dk1"/>
                              </a:fontRef>
                            </wps:style>
                            <wps:bodyPr rtlCol="0" anchor="ctr"/>
                          </wps:wsp>
                          <wps:wsp>
                            <wps:cNvPr id="20" name="矩形 20"/>
                            <wps:cNvSpPr/>
                            <wps:spPr>
                              <a:xfrm>
                                <a:off x="5131187" y="2453117"/>
                                <a:ext cx="1070893" cy="523801"/>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775B9218" w14:textId="77777777" w:rsidR="00473CBD" w:rsidRPr="006F6482" w:rsidRDefault="00473CBD" w:rsidP="00473CBD">
                                  <w:pPr>
                                    <w:pStyle w:val="ab"/>
                                    <w:spacing w:before="0" w:beforeAutospacing="0" w:after="0" w:afterAutospacing="0"/>
                                    <w:jc w:val="center"/>
                                    <w:textAlignment w:val="baseline"/>
                                    <w:rPr>
                                      <w:b/>
                                      <w:color w:val="000000" w:themeColor="text1"/>
                                      <w:sz w:val="18"/>
                                    </w:rPr>
                                  </w:pPr>
                                  <w:r w:rsidRPr="006F6482">
                                    <w:rPr>
                                      <w:rFonts w:asciiTheme="minorHAnsi" w:eastAsiaTheme="minorEastAsia" w:hAnsi="Calibri" w:cstheme="minorBidi"/>
                                      <w:b/>
                                      <w:color w:val="000000" w:themeColor="text1"/>
                                      <w:kern w:val="24"/>
                                      <w:sz w:val="22"/>
                                      <w:szCs w:val="36"/>
                                    </w:rPr>
                                    <w:t>MB-UPF</w:t>
                                  </w:r>
                                </w:p>
                                <w:p w14:paraId="0F009E6E" w14:textId="77777777" w:rsidR="00473CBD" w:rsidRPr="006F6482" w:rsidRDefault="00473CBD" w:rsidP="00473CBD">
                                  <w:pPr>
                                    <w:pStyle w:val="ab"/>
                                    <w:spacing w:before="0" w:beforeAutospacing="0" w:after="0" w:afterAutospacing="0"/>
                                    <w:jc w:val="center"/>
                                    <w:textAlignment w:val="baseline"/>
                                    <w:rPr>
                                      <w:b/>
                                      <w:color w:val="000000" w:themeColor="text1"/>
                                      <w:sz w:val="18"/>
                                    </w:rPr>
                                  </w:pPr>
                                  <w:r w:rsidRPr="006F6482">
                                    <w:rPr>
                                      <w:rFonts w:asciiTheme="minorHAnsi" w:eastAsiaTheme="minorEastAsia" w:hAnsi="Calibri" w:cstheme="minorBidi"/>
                                      <w:b/>
                                      <w:color w:val="000000" w:themeColor="text1"/>
                                      <w:kern w:val="24"/>
                                      <w:sz w:val="18"/>
                                    </w:rPr>
                                    <w:t>(PLMN b)</w:t>
                                  </w:r>
                                </w:p>
                              </w:txbxContent>
                            </wps:txbx>
                            <wps:bodyPr rtlCol="0" anchor="ctr"/>
                          </wps:wsp>
                          <wps:wsp>
                            <wps:cNvPr id="21" name="流程图: 直接访问存储器 21"/>
                            <wps:cNvSpPr/>
                            <wps:spPr>
                              <a:xfrm>
                                <a:off x="2405528" y="2574938"/>
                                <a:ext cx="1258163" cy="390018"/>
                              </a:xfrm>
                              <a:prstGeom prst="flowChartMagneticDrum">
                                <a:avLst/>
                              </a:prstGeom>
                              <a:ln/>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22" name="流程图: 过程 22"/>
                            <wps:cNvSpPr/>
                            <wps:spPr>
                              <a:xfrm>
                                <a:off x="3792278" y="1903085"/>
                                <a:ext cx="942320" cy="585043"/>
                              </a:xfrm>
                              <a:prstGeom prst="flowChartProcess">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2C299" w14:textId="77777777" w:rsidR="00473CBD" w:rsidRPr="00DE3E64" w:rsidRDefault="00473CBD" w:rsidP="00473CBD">
                                  <w:pPr>
                                    <w:pStyle w:val="ab"/>
                                    <w:spacing w:before="0" w:beforeAutospacing="0" w:after="0" w:afterAutospacing="0"/>
                                    <w:jc w:val="center"/>
                                    <w:textAlignment w:val="baseline"/>
                                    <w:rPr>
                                      <w:sz w:val="18"/>
                                    </w:rPr>
                                  </w:pPr>
                                  <w:r w:rsidRPr="00DE3E64">
                                    <w:rPr>
                                      <w:rFonts w:asciiTheme="minorHAnsi" w:eastAsiaTheme="minorEastAsia" w:hAnsi="Calibri" w:cstheme="minorBidi"/>
                                      <w:color w:val="000000" w:themeColor="text1"/>
                                      <w:kern w:val="24"/>
                                      <w:sz w:val="16"/>
                                      <w:szCs w:val="22"/>
                                    </w:rPr>
                                    <w:t>Data packet</w:t>
                                  </w:r>
                                </w:p>
                                <w:p w14:paraId="216067F0" w14:textId="77777777" w:rsidR="00473CBD" w:rsidRPr="00DE3E64" w:rsidRDefault="00473CBD" w:rsidP="00473CBD">
                                  <w:pPr>
                                    <w:pStyle w:val="ab"/>
                                    <w:spacing w:before="0" w:beforeAutospacing="0" w:after="0" w:afterAutospacing="0"/>
                                    <w:jc w:val="center"/>
                                    <w:textAlignment w:val="baseline"/>
                                    <w:rPr>
                                      <w:sz w:val="18"/>
                                    </w:rPr>
                                  </w:pPr>
                                  <w:r w:rsidRPr="00DE3E64">
                                    <w:rPr>
                                      <w:rFonts w:asciiTheme="minorHAnsi" w:eastAsiaTheme="minorEastAsia" w:hAnsi="Calibri" w:cstheme="minorBidi"/>
                                      <w:color w:val="000000" w:themeColor="text1"/>
                                      <w:kern w:val="24"/>
                                      <w:sz w:val="16"/>
                                      <w:szCs w:val="22"/>
                                    </w:rPr>
                                    <w:t>(</w:t>
                                  </w:r>
                                  <w:r w:rsidR="006D38B9">
                                    <w:rPr>
                                      <w:rFonts w:asciiTheme="minorHAnsi" w:eastAsiaTheme="minorEastAsia" w:cstheme="minorBidi" w:hint="eastAsia"/>
                                      <w:color w:val="000000" w:themeColor="text1"/>
                                      <w:kern w:val="24"/>
                                      <w:sz w:val="16"/>
                                      <w:szCs w:val="22"/>
                                    </w:rPr>
                                    <w:t>including</w:t>
                                  </w:r>
                                  <w:r w:rsidRPr="00DE3E64">
                                    <w:rPr>
                                      <w:rFonts w:asciiTheme="minorHAnsi" w:eastAsiaTheme="minorEastAsia" w:hAnsi="Calibri" w:cstheme="minorBidi"/>
                                      <w:color w:val="000000" w:themeColor="text1"/>
                                      <w:kern w:val="24"/>
                                      <w:sz w:val="16"/>
                                      <w:szCs w:val="22"/>
                                    </w:rPr>
                                    <w:t xml:space="preserve"> SN number </w:t>
                                  </w:r>
                                  <w:r w:rsidRPr="00DE3E64">
                                    <w:rPr>
                                      <w:rFonts w:asciiTheme="minorHAnsi" w:eastAsiaTheme="minorEastAsia" w:hAnsi="Calibri" w:cstheme="minorBidi"/>
                                      <w:i/>
                                      <w:iCs/>
                                      <w:color w:val="000000" w:themeColor="text1"/>
                                      <w:kern w:val="24"/>
                                      <w:sz w:val="16"/>
                                      <w:szCs w:val="22"/>
                                    </w:rPr>
                                    <w:t>bb</w:t>
                                  </w:r>
                                  <w:r w:rsidRPr="00DE3E64">
                                    <w:rPr>
                                      <w:rFonts w:asciiTheme="minorHAnsi" w:eastAsiaTheme="minorEastAsia" w:hAnsi="Calibri" w:cstheme="minorBidi"/>
                                      <w:color w:val="000000" w:themeColor="text1"/>
                                      <w:kern w:val="24"/>
                                      <w:sz w:val="16"/>
                                      <w:szCs w:val="22"/>
                                    </w:rPr>
                                    <w:t>)</w:t>
                                  </w:r>
                                </w:p>
                              </w:txbxContent>
                            </wps:txbx>
                            <wps:bodyPr rtlCol="0" anchor="ctr"/>
                          </wps:wsp>
                          <wps:wsp>
                            <wps:cNvPr id="23" name="下箭头 23"/>
                            <wps:cNvSpPr/>
                            <wps:spPr>
                              <a:xfrm rot="20922525">
                                <a:off x="1616169" y="1594189"/>
                                <a:ext cx="459051" cy="706000"/>
                              </a:xfrm>
                              <a:prstGeom prst="downArrow">
                                <a:avLst/>
                              </a:prstGeom>
                              <a:solidFill>
                                <a:schemeClr val="bg1">
                                  <a:lumMod val="50000"/>
                                </a:schemeClr>
                              </a:solidFill>
                              <a:ln>
                                <a:noFill/>
                              </a:ln>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25" name="矩形 25"/>
                            <wps:cNvSpPr/>
                            <wps:spPr>
                              <a:xfrm>
                                <a:off x="648072" y="2907235"/>
                                <a:ext cx="576064" cy="288033"/>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744EE63" w14:textId="77777777" w:rsidR="00642983" w:rsidRPr="00642983" w:rsidRDefault="00642983" w:rsidP="00473CBD">
                                  <w:pPr>
                                    <w:pStyle w:val="ab"/>
                                    <w:spacing w:before="0" w:beforeAutospacing="0" w:after="0" w:afterAutospacing="0"/>
                                    <w:jc w:val="center"/>
                                    <w:textAlignment w:val="baseline"/>
                                    <w:rPr>
                                      <w:b/>
                                      <w:sz w:val="20"/>
                                    </w:rPr>
                                  </w:pPr>
                                  <w:r w:rsidRPr="00642983">
                                    <w:rPr>
                                      <w:rFonts w:asciiTheme="minorHAnsi" w:eastAsiaTheme="minorEastAsia" w:hAnsi="Calibri" w:cstheme="minorBidi"/>
                                      <w:b/>
                                      <w:color w:val="000000" w:themeColor="dark1"/>
                                      <w:kern w:val="24"/>
                                      <w:sz w:val="22"/>
                                      <w:szCs w:val="32"/>
                                    </w:rPr>
                                    <w:t>UE</w:t>
                                  </w:r>
                                </w:p>
                              </w:txbxContent>
                            </wps:txbx>
                            <wps:bodyPr tIns="0" bIns="0" rtlCol="0" anchor="ctr"/>
                          </wps:wsp>
                          <wps:wsp>
                            <wps:cNvPr id="26" name="流程图: 过程 26"/>
                            <wps:cNvSpPr/>
                            <wps:spPr>
                              <a:xfrm>
                                <a:off x="2184847" y="1555251"/>
                                <a:ext cx="917603" cy="590038"/>
                              </a:xfrm>
                              <a:prstGeom prst="flowChartProcess">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94278" w14:textId="77777777" w:rsidR="006D38B9" w:rsidRPr="00CE0AE9" w:rsidRDefault="006D38B9"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Data packet</w:t>
                                  </w:r>
                                </w:p>
                                <w:p w14:paraId="4B67EAEE" w14:textId="77777777" w:rsidR="006D38B9" w:rsidRPr="00CE0AE9" w:rsidRDefault="006D38B9"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w:t>
                                  </w:r>
                                  <w:r>
                                    <w:rPr>
                                      <w:rFonts w:asciiTheme="minorHAnsi" w:eastAsiaTheme="minorEastAsia" w:cstheme="minorBidi" w:hint="eastAsia"/>
                                      <w:color w:val="000000" w:themeColor="text1"/>
                                      <w:kern w:val="24"/>
                                      <w:sz w:val="16"/>
                                      <w:szCs w:val="22"/>
                                    </w:rPr>
                                    <w:t>including</w:t>
                                  </w:r>
                                  <w:r w:rsidRPr="00CE0AE9">
                                    <w:rPr>
                                      <w:rFonts w:asciiTheme="minorHAnsi" w:eastAsiaTheme="minorEastAsia" w:hAnsi="Calibri" w:cstheme="minorBidi"/>
                                      <w:color w:val="000000" w:themeColor="text1"/>
                                      <w:kern w:val="24"/>
                                      <w:sz w:val="16"/>
                                      <w:szCs w:val="22"/>
                                    </w:rPr>
                                    <w:t xml:space="preserve"> SN number </w:t>
                                  </w:r>
                                  <w:r w:rsidRPr="00CE0AE9">
                                    <w:rPr>
                                      <w:rFonts w:asciiTheme="minorHAnsi" w:eastAsiaTheme="minorEastAsia" w:hAnsi="Calibri" w:cstheme="minorBidi"/>
                                      <w:i/>
                                      <w:iCs/>
                                      <w:color w:val="000000" w:themeColor="text1"/>
                                      <w:kern w:val="24"/>
                                      <w:sz w:val="16"/>
                                      <w:szCs w:val="22"/>
                                    </w:rPr>
                                    <w:t>aa</w:t>
                                  </w:r>
                                  <w:r w:rsidRPr="00CE0AE9">
                                    <w:rPr>
                                      <w:rFonts w:asciiTheme="minorHAnsi" w:eastAsiaTheme="minorEastAsia" w:hAnsi="Calibri" w:cstheme="minorBidi"/>
                                      <w:color w:val="000000" w:themeColor="text1"/>
                                      <w:kern w:val="24"/>
                                      <w:sz w:val="16"/>
                                      <w:szCs w:val="22"/>
                                    </w:rPr>
                                    <w:t>)</w:t>
                                  </w:r>
                                </w:p>
                              </w:txbxContent>
                            </wps:txbx>
                            <wps:bodyPr rtlCol="0" anchor="ctr"/>
                          </wps:wsp>
                        </wpg:grpSp>
                        <wps:wsp>
                          <wps:cNvPr id="5" name="爆炸形 1 5"/>
                          <wps:cNvSpPr/>
                          <wps:spPr>
                            <a:xfrm>
                              <a:off x="1999925" y="2568565"/>
                              <a:ext cx="733339" cy="554613"/>
                            </a:xfrm>
                            <a:prstGeom prst="irregularSeal1">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文本框 27"/>
                          <wps:cNvSpPr txBox="1"/>
                          <wps:spPr>
                            <a:xfrm>
                              <a:off x="2701949" y="3027146"/>
                              <a:ext cx="3970573" cy="459112"/>
                            </a:xfrm>
                            <a:prstGeom prst="rect">
                              <a:avLst/>
                            </a:prstGeom>
                            <a:noFill/>
                          </wps:spPr>
                          <wps:txbx>
                            <w:txbxContent>
                              <w:p w14:paraId="5F7D8F63" w14:textId="77777777" w:rsidR="00473CBD" w:rsidRPr="00E05F87" w:rsidRDefault="00473CBD" w:rsidP="00473CBD">
                                <w:pPr>
                                  <w:pStyle w:val="ab"/>
                                  <w:spacing w:before="0" w:beforeAutospacing="0" w:after="0" w:afterAutospacing="0"/>
                                  <w:textAlignment w:val="baseline"/>
                                  <w:rPr>
                                    <w:rFonts w:ascii="Calibri" w:hAnsi="Calibri" w:cs="Calibri"/>
                                    <w:sz w:val="20"/>
                                  </w:rPr>
                                </w:pPr>
                                <w:r w:rsidRPr="00F92BD5">
                                  <w:rPr>
                                    <w:rFonts w:ascii="Calibri" w:hAnsi="Calibri" w:cs="Calibri"/>
                                    <w:b/>
                                    <w:color w:val="000000" w:themeColor="text1"/>
                                    <w:kern w:val="24"/>
                                    <w:sz w:val="18"/>
                                    <w:szCs w:val="22"/>
                                  </w:rPr>
                                  <w:t>Problem</w:t>
                                </w:r>
                                <w:r w:rsidRPr="00E05F87">
                                  <w:rPr>
                                    <w:rFonts w:ascii="Calibri" w:hAnsi="Calibri" w:cs="Calibri"/>
                                    <w:color w:val="000000" w:themeColor="text1"/>
                                    <w:kern w:val="24"/>
                                    <w:sz w:val="18"/>
                                    <w:szCs w:val="22"/>
                                  </w:rPr>
                                  <w:t>: SN number between PLMNs is not synchronized,</w:t>
                                </w:r>
                                <w:r w:rsidR="006D38B9" w:rsidRPr="00E05F87">
                                  <w:rPr>
                                    <w:rFonts w:ascii="Calibri" w:hAnsi="Calibri" w:cs="Calibri"/>
                                    <w:color w:val="000000" w:themeColor="text1"/>
                                    <w:kern w:val="24"/>
                                    <w:sz w:val="18"/>
                                    <w:szCs w:val="22"/>
                                  </w:rPr>
                                  <w:t xml:space="preserve"> n</w:t>
                                </w:r>
                                <w:r w:rsidRPr="00E05F87">
                                  <w:rPr>
                                    <w:rFonts w:ascii="Calibri" w:hAnsi="Calibri" w:cs="Calibri"/>
                                    <w:color w:val="000000" w:themeColor="text1"/>
                                    <w:kern w:val="24"/>
                                    <w:sz w:val="18"/>
                                    <w:szCs w:val="22"/>
                                  </w:rPr>
                                  <w:t>ot easy to let T-RAN to determine how to stop forwarding the data</w:t>
                                </w:r>
                              </w:p>
                            </w:txbxContent>
                          </wps:txbx>
                          <wps:bodyPr wrap="square" rtlCol="0">
                            <a:spAutoFit/>
                          </wps:bodyPr>
                        </wps:wsp>
                      </wpg:wgp>
                      <wps:wsp>
                        <wps:cNvPr id="31" name="流程图: 直接访问存储器 31"/>
                        <wps:cNvSpPr/>
                        <wps:spPr>
                          <a:xfrm>
                            <a:off x="2415758" y="2076589"/>
                            <a:ext cx="1014095" cy="314204"/>
                          </a:xfrm>
                          <a:prstGeom prst="flowChartMagneticDrum">
                            <a:avLst/>
                          </a:prstGeom>
                          <a:ln/>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32" name="流程图: 直接访问存储器 32"/>
                        <wps:cNvSpPr/>
                        <wps:spPr>
                          <a:xfrm>
                            <a:off x="2983946" y="2076302"/>
                            <a:ext cx="1014095" cy="314490"/>
                          </a:xfrm>
                          <a:prstGeom prst="flowChartMagneticDrum">
                            <a:avLst/>
                          </a:prstGeom>
                          <a:ln/>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33" name="矩形 33"/>
                        <wps:cNvSpPr/>
                        <wps:spPr>
                          <a:xfrm>
                            <a:off x="1985749" y="676118"/>
                            <a:ext cx="1197202" cy="291461"/>
                          </a:xfrm>
                          <a:prstGeom prst="rect">
                            <a:avLst/>
                          </a:prstGeom>
                          <a:ln>
                            <a:no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2308723" y="2084212"/>
                            <a:ext cx="1196975" cy="301435"/>
                          </a:xfrm>
                          <a:prstGeom prst="rect">
                            <a:avLst/>
                          </a:prstGeom>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7906D3A0" w14:textId="77777777" w:rsidR="00B94A89" w:rsidRDefault="00B94A89" w:rsidP="00B94A8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6D74CB0" id="画布 2" o:spid="_x0000_s1026" editas="canvas" style="width:426.85pt;height:237.6pt;mso-position-horizontal-relative:char;mso-position-vertical-relative:line" coordsize="54209,30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">
                <v:shape id="_x0000_s1027" type="#_x0000_t75" style="position:absolute;width:54209;height:30175;visibility:visible;mso-wrap-style:square">
                  <v:fill o:detectmouseclick="t"/>
                  <v:path o:connecttype="none"/>
                </v:shape>
                <v:group id="组合 30" o:spid="_x0000_s1028" style="position:absolute;left:17369;top:6758;width:14460;height:2932" coordorigin="17369,6770" coordsize="14459,2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28" o:spid="_x0000_s1029" type="#_x0000_t133" style="position:absolute;left:17369;top:6770;width:9532;height:2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NCsMA&#10;AADbAAAADwAAAGRycy9kb3ducmV2LnhtbERPy2rCQBTdF/oPwy24kToxSimpY6gBi+iqvqC7S+Y2&#10;Cc7cCZmpiX/vLIQuD+e9yAdrxJU63zhWMJ0kIIhLpxuuFBwP69d3ED4gazSOScGNPOTL56cFZtr1&#10;/E3XfahEDGGfoYI6hDaT0pc1WfQT1xJH7td1FkOEXSV1h30Mt0amSfImLTYcG2psqaipvOz/rIJZ&#10;b8rT+DwfVrvjZW62P1/toUiVGr0Mnx8gAg3hX/xwb7SCNI6NX+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mNCsMAAADbAAAADwAAAAAAAAAAAAAAAACYAgAAZHJzL2Rv&#10;d25yZXYueG1sUEsFBgAAAAAEAAQA9QAAAIgDAAAAAA==&#10;" fillcolor="#c3c3c3 [2166]" strokecolor="#a5a5a5 [3206]" strokeweight=".5pt">
                    <v:fill color2="#b6b6b6 [2614]" rotate="t" colors="0 #d2d2d2;.5 #c8c8c8;1 silver" focus="100%" type="gradient">
                      <o:fill v:ext="view" type="gradientUnscaled"/>
                    </v:fill>
                    <v:stroke joinstyle="miter"/>
                  </v:shape>
                  <v:shape id="流程图: 直接访问存储器 27" o:spid="_x0000_s1030" type="#_x0000_t133" style="position:absolute;left:22298;top:6774;width:9531;height:2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YZeMYA&#10;AADbAAAADwAAAGRycy9kb3ducmV2LnhtbESPT2vCQBTE70K/w/KEXopuGkUldZVWaBF7qv+gt0f2&#10;mQR334bs1sRv7woFj8PM/IaZLztrxIUaXzlW8DpMQBDnTldcKNjvPgczED4gazSOScGVPCwXT705&#10;Ztq1/EOXbShEhLDPUEEZQp1J6fOSLPqhq4mjd3KNxRBlU0jdYBvh1sg0SSbSYsVxocSaViXl5+2f&#10;VTBqTX54OY67j+/9eWw2v1/1bpUq9dzv3t9ABOrCI/zfXmsF6R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YZeMYAAADbAAAADwAAAAAAAAAAAAAAAACYAgAAZHJz&#10;L2Rvd25yZXYueG1sUEsFBgAAAAAEAAQA9QAAAIsDAAAAAA==&#10;" fillcolor="#c3c3c3 [2166]" strokecolor="#a5a5a5 [3206]" strokeweight=".5pt">
                    <v:fill color2="#b6b6b6 [2614]" rotate="t" colors="0 #d2d2d2;.5 #c8c8c8;1 silver" focus="100%" type="gradient">
                      <o:fill v:ext="view" type="gradientUnscaled"/>
                    </v:fill>
                    <v:stroke joinstyle="miter"/>
                  </v:shape>
                </v:group>
                <v:group id="组合 3" o:spid="_x0000_s1031" style="position:absolute;top:1126;width:53803;height:28030" coordorigin=",1397" coordsize="66725,34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4" o:spid="_x0000_s1032" style="position:absolute;top:1397;width:62020;height:34761" coordorigin=",1397" coordsize="62020,34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7" o:spid="_x0000_s1033" type="#_x0000_t5" style="position:absolute;left:14298;top:5553;width:6480;height:9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0LoMIA&#10;AADaAAAADwAAAGRycy9kb3ducmV2LnhtbESPQWvCQBSE70L/w/IKvemmClWiq0hBKvRUDeLxkX0m&#10;0d23Iftq0v76bqHQ4zAz3zCrzeCdulMXm8AGnicZKOIy2IYrA8VxN16AioJs0QUmA18UYbN+GK0w&#10;t6HnD7ofpFIJwjFHA7VIm2sdy5o8xkloiZN3CZ1HSbKrtO2wT3Dv9DTLXrTHhtNCjS291lTeDp/e&#10;QJC32fv5enH9NRROznj63vYnY54eh+0SlNAg/+G/9t4amMPvlXQ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QugwgAAANoAAAAPAAAAAAAAAAAAAAAAAJgCAABkcnMvZG93&#10;bnJldi54bWxQSwUGAAAAAAQABAD1AAAAhwMAAAAA&#10;" fillcolor="#c3c3c3 [2166]" strokecolor="#a5a5a5 [3206]" strokeweight=".5pt">
                      <v:fill color2="#b6b6b6 [2614]" rotate="t" colors="0 #d2d2d2;.5 #c8c8c8;1 silver" focus="100%" type="gradient">
                        <o:fill v:ext="view" type="gradientUnscaled"/>
                      </v:fill>
                    </v:shape>
                    <v:shape id="等腰三角形 8" o:spid="_x0000_s1034" type="#_x0000_t5" style="position:absolute;left:17538;top:22672;width:6481;height:9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dJWsAA&#10;AADaAAAADwAAAGRycy9kb3ducmV2LnhtbERPz2vCMBS+D/Y/hDfwMma6UtzojDKGguwi7Qq7Ppq3&#10;pjR5KU3U+t8vB8Hjx/d7vZ2dFWeaQu9ZwesyA0Hcet1zp6D52b+8gwgRWaP1TAquFGC7eXxYY6n9&#10;hSs617ETKYRDiQpMjGMpZWgNOQxLPxIn7s9PDmOCUyf1hJcU7qzMs2wlHfacGgyO9GWoHeqTU1A1&#10;Rf72eyysy4193n3nwx6HnVKLp/nzA0SkOd7FN/dBK0hb05V0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dJWsAAAADaAAAADwAAAAAAAAAAAAAAAACYAgAAZHJzL2Rvd25y&#10;ZXYueG1sUEsFBgAAAAAEAAQA9QAAAIUDAAAAAA==&#10;" fillcolor="#a5a5a5 [3206]" strokecolor="#525252 [1606]" strokeweight="1pt"/>
                    <v:shapetype id="_x0000_t202" coordsize="21600,21600" o:spt="202" path="m,l,21600r21600,l21600,xe">
                      <v:stroke joinstyle="miter"/>
                      <v:path gradientshapeok="t" o:connecttype="rect"/>
                    </v:shapetype>
                    <v:shape id="文本框 6" o:spid="_x0000_s1035" type="#_x0000_t202" style="position:absolute;left:12977;top:1521;width:8419;height:4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6D1D4D5A"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S-RAN</w:t>
                            </w:r>
                          </w:p>
                          <w:p w14:paraId="182D5D06"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(PLMN a)</w:t>
                            </w:r>
                          </w:p>
                        </w:txbxContent>
                      </v:textbox>
                    </v:shape>
                    <v:shape id="文本框 7" o:spid="_x0000_s1036" type="#_x0000_t202" style="position:absolute;left:16630;top:31944;width:8481;height:4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52DC78A1"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T-RAN</w:t>
                            </w:r>
                          </w:p>
                          <w:p w14:paraId="6F0C9FA9" w14:textId="77777777" w:rsidR="00473CBD" w:rsidRPr="006D38B9" w:rsidRDefault="00473CBD" w:rsidP="00473CBD">
                            <w:pPr>
                              <w:pStyle w:val="ab"/>
                              <w:spacing w:before="0" w:beforeAutospacing="0" w:after="0" w:afterAutospacing="0"/>
                              <w:jc w:val="center"/>
                              <w:textAlignment w:val="baseline"/>
                              <w:rPr>
                                <w:rFonts w:ascii="Calibri" w:hAnsi="Calibri" w:cs="Calibri"/>
                                <w:b/>
                                <w:color w:val="000000" w:themeColor="text1"/>
                                <w:kern w:val="24"/>
                                <w:sz w:val="16"/>
                              </w:rPr>
                            </w:pPr>
                            <w:r w:rsidRPr="006D38B9">
                              <w:rPr>
                                <w:rFonts w:ascii="Calibri" w:hAnsi="Calibri" w:cs="Calibri"/>
                                <w:b/>
                                <w:color w:val="000000" w:themeColor="text1"/>
                                <w:kern w:val="24"/>
                                <w:sz w:val="16"/>
                              </w:rPr>
                              <w:t>(PLMN b)</w:t>
                            </w:r>
                          </w:p>
                        </w:txbxContent>
                      </v:textbox>
                    </v:shape>
                    <v:rect id="矩形 11" o:spid="_x0000_s1037" style="position:absolute;left:47345;top:7538;width:1061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X56MEA&#10;AADbAAAADwAAAGRycy9kb3ducmV2LnhtbESP3YrCMBCF7xd8hzDC3q1peyFSjSKCsneLPw8wNmNT&#10;bCaxybbdtzcLgncznHO+ObPajLYVPXWhcawgn2UgiCunG64VXM77rwWIEJE1to5JwR8F2KwnHyss&#10;tRv4SP0p1iJBOJSowMToSylDZchimDlPnLSb6yzGtHa11B0OCW5bWWTZXFpsOF0w6GlnqLqffm2i&#10;9P6aZ1jkx2J3+XkcvNkPelTqczpulyAijfFtfqW/daqfw/8va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F+ejBAAAA2wAAAA8AAAAAAAAAAAAAAAAAmAIAAGRycy9kb3du&#10;cmV2LnhtbFBLBQYAAAAABAAEAPUAAACGAwAAAAA=&#10;" fillcolor="white [3201]" strokecolor="#a5a5a5 [3206]" strokeweight="1pt">
                      <v:textbox>
                        <w:txbxContent>
                          <w:p w14:paraId="4C5D155D" w14:textId="77777777" w:rsidR="00473CBD" w:rsidRPr="006D38B9" w:rsidRDefault="00473CBD" w:rsidP="00473CBD">
                            <w:pPr>
                              <w:pStyle w:val="ab"/>
                              <w:spacing w:before="0" w:beforeAutospacing="0" w:after="0" w:afterAutospacing="0"/>
                              <w:jc w:val="center"/>
                              <w:textAlignment w:val="baseline"/>
                              <w:rPr>
                                <w:b/>
                                <w:sz w:val="20"/>
                              </w:rPr>
                            </w:pPr>
                            <w:r w:rsidRPr="006D38B9">
                              <w:rPr>
                                <w:rFonts w:asciiTheme="minorHAnsi" w:eastAsiaTheme="minorEastAsia" w:hAnsi="Calibri" w:cstheme="minorBidi"/>
                                <w:b/>
                                <w:kern w:val="24"/>
                                <w:szCs w:val="36"/>
                              </w:rPr>
                              <w:t>MB-UPF</w:t>
                            </w:r>
                          </w:p>
                          <w:p w14:paraId="2A097B56" w14:textId="77777777" w:rsidR="00473CBD" w:rsidRPr="006D38B9" w:rsidRDefault="00473CBD" w:rsidP="00473CBD">
                            <w:pPr>
                              <w:pStyle w:val="ab"/>
                              <w:spacing w:before="0" w:beforeAutospacing="0" w:after="0" w:afterAutospacing="0"/>
                              <w:jc w:val="center"/>
                              <w:textAlignment w:val="baseline"/>
                              <w:rPr>
                                <w:b/>
                                <w:sz w:val="20"/>
                              </w:rPr>
                            </w:pPr>
                            <w:r w:rsidRPr="006D38B9">
                              <w:rPr>
                                <w:rFonts w:asciiTheme="minorHAnsi" w:eastAsiaTheme="minorEastAsia" w:hAnsi="Calibri" w:cstheme="minorBidi"/>
                                <w:b/>
                                <w:kern w:val="24"/>
                                <w:sz w:val="20"/>
                              </w:rPr>
                              <w:t>(PLMN a)</w:t>
                            </w:r>
                          </w:p>
                        </w:txbxContent>
                      </v:textbox>
                    </v:rect>
                    <v:shape id="流程图: 直接访问存储器 12" o:spid="_x0000_s1038" type="#_x0000_t133" style="position:absolute;left:33361;top:8381;width:11823;height:36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wXcQA&#10;AADbAAAADwAAAGRycy9kb3ducmV2LnhtbERPS2vCQBC+F/oflil4kboxlVLSbKQVFNGTjxZ6G7LT&#10;JLg7G7KrSf+9Kwi9zcf3nHw+WCMu1PnGsYLpJAFBXDrdcKXgeFg+v4HwAVmjcUwK/sjDvHh8yDHT&#10;rucdXfahEjGEfYYK6hDaTEpf1mTRT1xLHLlf11kMEXaV1B32MdwamSbJq7TYcGyosaVFTeVpf7YK&#10;XnpTfo2/Z8Pn9niamc3Pqj0sUqVGT8PHO4hAQ/gX391rHeencPslHi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9cF3EAAAA2wAAAA8AAAAAAAAAAAAAAAAAmAIAAGRycy9k&#10;b3ducmV2LnhtbFBLBQYAAAAABAAEAPUAAACJAwAAAAA=&#10;" fillcolor="#c3c3c3 [2166]" strokecolor="#a5a5a5 [3206]" strokeweight=".5pt">
                      <v:fill color2="#b6b6b6 [2614]" rotate="t" colors="0 #d2d2d2;.5 #c8c8c8;1 silver" focus="100%" type="gradient">
                        <o:fill v:ext="view" type="gradientUnscaled"/>
                      </v:fill>
                      <v:stroke joinstyle="miter"/>
                    </v:shape>
                    <v:shapetype id="_x0000_t109" coordsize="21600,21600" o:spt="109" path="m,l,21600r21600,l21600,xe">
                      <v:stroke joinstyle="miter"/>
                      <v:path gradientshapeok="t" o:connecttype="rect"/>
                    </v:shapetype>
                    <v:shape id="流程图: 过程 13" o:spid="_x0000_s1039" type="#_x0000_t109" style="position:absolute;left:33361;top:1397;width:10563;height: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LAzsMA&#10;AADbAAAADwAAAGRycy9kb3ducmV2LnhtbESPT4vCMBDF78J+hzALXopNVZClGmVXVDz6Z0G8Dc3Y&#10;dreZ1CZq/fZGELzN8N6835vJrDWVuFLjSssK+nECgjizuuRcwe9+2fsC4TyyxsoyKbiTg9n0ozPB&#10;VNsbb+m687kIIexSVFB4X6dSuqwggy62NXHQTrYx6MPa5FI3eAvhppKDJBlJgyUHQoE1zQvK/ncX&#10;E7jbxcb/RYR8iI5Rflpcfs6rSKnuZ/s9BuGp9W/z63qtQ/0hPH8JA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LAzsMAAADbAAAADwAAAAAAAAAAAAAAAACYAgAAZHJzL2Rv&#10;d25yZXYueG1sUEsFBgAAAAAEAAQA9QAAAIgDAAAAAA==&#10;" fillcolor="white [3212]" strokecolor="black [3213]" strokeweight="1pt">
                      <v:textbox>
                        <w:txbxContent>
                          <w:p w14:paraId="07A7A21F" w14:textId="77777777" w:rsidR="00473CBD" w:rsidRPr="00CE0AE9" w:rsidRDefault="00473CBD"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Data packet</w:t>
                            </w:r>
                          </w:p>
                          <w:p w14:paraId="45032DF1" w14:textId="77777777" w:rsidR="00473CBD" w:rsidRPr="00CE0AE9" w:rsidRDefault="00473CBD"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w:t>
                            </w:r>
                            <w:r w:rsidR="006D38B9">
                              <w:rPr>
                                <w:rFonts w:asciiTheme="minorHAnsi" w:eastAsiaTheme="minorEastAsia" w:cstheme="minorBidi" w:hint="eastAsia"/>
                                <w:color w:val="000000" w:themeColor="text1"/>
                                <w:kern w:val="24"/>
                                <w:sz w:val="16"/>
                                <w:szCs w:val="22"/>
                              </w:rPr>
                              <w:t>including</w:t>
                            </w:r>
                            <w:r w:rsidRPr="00CE0AE9">
                              <w:rPr>
                                <w:rFonts w:asciiTheme="minorHAnsi" w:eastAsiaTheme="minorEastAsia" w:hAnsi="Calibri" w:cstheme="minorBidi"/>
                                <w:color w:val="000000" w:themeColor="text1"/>
                                <w:kern w:val="24"/>
                                <w:sz w:val="16"/>
                                <w:szCs w:val="22"/>
                              </w:rPr>
                              <w:t xml:space="preserve"> SN number </w:t>
                            </w:r>
                            <w:r w:rsidRPr="00CE0AE9">
                              <w:rPr>
                                <w:rFonts w:asciiTheme="minorHAnsi" w:eastAsiaTheme="minorEastAsia" w:hAnsi="Calibri" w:cstheme="minorBidi"/>
                                <w:i/>
                                <w:iCs/>
                                <w:color w:val="000000" w:themeColor="text1"/>
                                <w:kern w:val="24"/>
                                <w:sz w:val="16"/>
                                <w:szCs w:val="22"/>
                              </w:rPr>
                              <w:t>aa</w:t>
                            </w:r>
                            <w:r w:rsidRPr="00CE0AE9">
                              <w:rPr>
                                <w:rFonts w:asciiTheme="minorHAnsi" w:eastAsiaTheme="minorEastAsia" w:hAnsi="Calibri" w:cstheme="minorBidi"/>
                                <w:color w:val="000000" w:themeColor="text1"/>
                                <w:kern w:val="24"/>
                                <w:sz w:val="16"/>
                                <w:szCs w:val="22"/>
                              </w:rPr>
                              <w:t>)</w:t>
                            </w:r>
                          </w:p>
                        </w:txbxContent>
                      </v:textbox>
                    </v:shape>
                    <v:rect id="矩形 14" o:spid="_x0000_s1040" style="position:absolute;left:2776;top:10234;width:576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C67MEA&#10;AADbAAAADwAAAGRycy9kb3ducmV2LnhtbERPyWrDMBC9F/oPYgq9NXLTEBLHSuhCIQdfskCugzW2&#10;nFgjI6mx+/dRoNDbPN46xWa0nbiSD61jBa+TDARx5XTLjYLj4ftlASJEZI2dY1LwSwE268eHAnPt&#10;Bt7RdR8bkUI45KjAxNjnUobKkMUwcT1x4mrnLcYEfSO1xyGF205Os2wuLbacGgz29Gmouux/rIJ6&#10;8G8fX3o5lSZbDudmUZanvlTq+Wl8X4GINMZ/8Z97q9P8Gdx/SQ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QuuzBAAAA2wAAAA8AAAAAAAAAAAAAAAAAmAIAAGRycy9kb3du&#10;cmV2LnhtbFBLBQYAAAAABAAEAPUAAACGAwAAAAA=&#10;" fillcolor="#c3c3c3 [2166]" strokecolor="#a5a5a5 [3206]" strokeweight=".5pt">
                      <v:fill color2="#b6b6b6 [2614]" rotate="t" colors="0 #d2d2d2;.5 #c8c8c8;1 silver" focus="100%" type="gradient">
                        <o:fill v:ext="view" type="gradientUnscaled"/>
                      </v:fill>
                      <v:textbox inset=",0,,0">
                        <w:txbxContent>
                          <w:p w14:paraId="5C357344" w14:textId="77777777" w:rsidR="00473CBD" w:rsidRPr="00642983" w:rsidRDefault="00473CBD" w:rsidP="00473CBD">
                            <w:pPr>
                              <w:pStyle w:val="ab"/>
                              <w:spacing w:before="0" w:beforeAutospacing="0" w:after="0" w:afterAutospacing="0"/>
                              <w:jc w:val="center"/>
                              <w:textAlignment w:val="baseline"/>
                              <w:rPr>
                                <w:b/>
                                <w:sz w:val="20"/>
                              </w:rPr>
                            </w:pPr>
                            <w:r w:rsidRPr="00642983">
                              <w:rPr>
                                <w:rFonts w:asciiTheme="minorHAnsi" w:eastAsiaTheme="minorEastAsia" w:hAnsi="Calibri" w:cstheme="minorBidi"/>
                                <w:b/>
                                <w:color w:val="000000" w:themeColor="dark1"/>
                                <w:kern w:val="24"/>
                                <w:sz w:val="22"/>
                                <w:szCs w:val="32"/>
                              </w:rPr>
                              <w:t>UE</w:t>
                            </w:r>
                          </w:p>
                        </w:txbxContent>
                      </v:textbox>
                    </v:rect>
                    <v:shapetype id="_x0000_t32" coordsize="21600,21600" o:spt="32" o:oned="t" path="m,l21600,21600e" filled="f">
                      <v:path arrowok="t" fillok="f" o:connecttype="none"/>
                      <o:lock v:ext="edit" shapetype="t"/>
                    </v:shapetype>
                    <v:shape id="直接箭头连接符 15" o:spid="_x0000_s1041" type="#_x0000_t32" style="position:absolute;left:6017;top:14194;width:3600;height:136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Pvg8EAAADbAAAADwAAAGRycy9kb3ducmV2LnhtbERPTWvCQBC9F/wPywje6qaVthJdRUJF&#10;r0176W3Mjkns7mzIjhr/vVso9DaP9znL9eCdulAf28AGnqYZKOIq2JZrA1+f28c5qCjIFl1gMnCj&#10;COvV6GGJuQ1X/qBLKbVKIRxzNNCIdLnWsWrIY5yGjjhxx9B7lAT7WtseryncO/2cZa/aY8upocGO&#10;ioaqn/LsDbwddu/yLaXbnfaz4uja26aYFcZMxsNmAUpokH/xn3tv0/wX+P0lHa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E++DwQAAANsAAAAPAAAAAAAAAAAAAAAA&#10;AKECAABkcnMvZG93bnJldi54bWxQSwUGAAAAAAQABAD5AAAAjwMAAAAA&#10;" strokecolor="#7f7f7f [1612]" strokeweight="2pt">
                      <v:stroke dashstyle="dash" endarrow="block" joinstyle="miter"/>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7" o:spid="_x0000_s1042" type="#_x0000_t13" style="position:absolute;left:9257;top:9529;width:4320;height:3438;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h8S8QA&#10;AADbAAAADwAAAGRycy9kb3ducmV2LnhtbERPS2vCQBC+F/oflin0VjcNVGvqKiLY+sCDRqTHMTsm&#10;qdnZkF019de7hYK3+fieMxi1phJnalxpWcFrJwJBnFldcq5gm05f3kE4j6yxskwKfsnBaPj4MMBE&#10;2wuv6bzxuQgh7BJUUHhfJ1K6rCCDrmNr4sAdbGPQB9jkUjd4CeGmknEUdaXBkkNDgTVNCsqOm5NR&#10;8JO6xRvuq6/+vJ/u6tU1/l5+xko9P7XjDxCeWn8X/7tnOszvwd8v4QA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IfEvEAAAA2wAAAA8AAAAAAAAAAAAAAAAAmAIAAGRycy9k&#10;b3ducmV2LnhtbFBLBQYAAAAABAAEAPUAAACJAwAAAAA=&#10;" adj="13006" fillcolor="#c3c3c3 [2166]" strokecolor="#a5a5a5 [3206]" strokeweight=".5pt">
                      <v:fill color2="#b6b6b6 [2614]" rotate="t" colors="0 #d2d2d2;.5 #c8c8c8;1 silver" focus="100%" type="gradient">
                        <o:fill v:ext="view" type="gradientUnscaled"/>
                      </v:fill>
                    </v:shape>
                    <v:shape id="流程图: 过程 18" o:spid="_x0000_s1043" type="#_x0000_t109" style="position:absolute;top:4187;width:13102;height:5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4Jj8IA&#10;AADbAAAADwAAAGRycy9kb3ducmV2LnhtbESPT4vCMBDF74LfIYzgbU314C7VKCIIevQPLnsbm7Et&#10;NpPYRO1++53DgrcZ3pv3fjNfdq5RT2pj7dnAeJSBIi68rbk0cDpuPr5AxYRssfFMBn4pwnLR780x&#10;t/7Fe3oeUqkkhGOOBqqUQq51LCpyGEc+EIt29a3DJGtbatviS8JdoydZNtUOa5aGCgOtKypuh4cz&#10;EJw/ru7ldNvxT7h8fhe0O1/ImOGgW81AJerS2/x/vbWCL7Dyiwy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gmPwgAAANsAAAAPAAAAAAAAAAAAAAAAAJgCAABkcnMvZG93&#10;bnJldi54bWxQSwUGAAAAAAQABAD1AAAAhwMAAAAA&#10;" fillcolor="white [3212]" stroked="f" strokeweight="1pt">
                      <v:textbox>
                        <w:txbxContent>
                          <w:p w14:paraId="355D82D1" w14:textId="77777777" w:rsidR="00473CBD" w:rsidRPr="006D38B9" w:rsidRDefault="00473CBD" w:rsidP="006D38B9">
                            <w:pPr>
                              <w:pStyle w:val="ab"/>
                              <w:spacing w:before="0" w:beforeAutospacing="0" w:after="0" w:afterAutospacing="0" w:line="160" w:lineRule="exact"/>
                              <w:jc w:val="center"/>
                              <w:textAlignment w:val="baseline"/>
                              <w:rPr>
                                <w:sz w:val="21"/>
                              </w:rPr>
                            </w:pPr>
                            <w:r w:rsidRPr="006D38B9">
                              <w:rPr>
                                <w:rFonts w:asciiTheme="minorHAnsi" w:eastAsiaTheme="minorEastAsia" w:hAnsi="Calibri" w:cstheme="minorBidi"/>
                                <w:color w:val="000000" w:themeColor="text1"/>
                                <w:kern w:val="24"/>
                                <w:sz w:val="15"/>
                                <w:szCs w:val="18"/>
                              </w:rPr>
                              <w:t>S-RAN</w:t>
                            </w:r>
                            <w:r w:rsidR="006D38B9" w:rsidRPr="006D38B9">
                              <w:rPr>
                                <w:rFonts w:asciiTheme="minorHAnsi" w:eastAsiaTheme="minorEastAsia" w:hAnsi="Calibri" w:cstheme="minorBidi"/>
                                <w:color w:val="000000" w:themeColor="text1"/>
                                <w:kern w:val="24"/>
                                <w:sz w:val="15"/>
                                <w:szCs w:val="18"/>
                              </w:rPr>
                              <w:t xml:space="preserve"> derives the PDCP value based on CN sequence number.</w:t>
                            </w:r>
                          </w:p>
                        </w:txbxContent>
                      </v:textbox>
                    </v:shape>
                    <v:shape id="右箭头 19" o:spid="_x0000_s1044" type="#_x0000_t13" style="position:absolute;left:13102;top:26211;width:4321;height:3438;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NosQA&#10;AADbAAAADwAAAGRycy9kb3ducmV2LnhtbERPTWvCQBC9C/0Pywi96caAxURXKQW1VjzUFPE4ZqdJ&#10;2uxsyK6a+uu7QqG3ebzPmS06U4sLta6yrGA0jEAQ51ZXXCj4yJaDCQjnkTXWlknBDzlYzB96M0y1&#10;vfI7Xfa+ECGEXYoKSu+bVEqXl2TQDW1DHLhP2xr0AbaF1C1eQ7ipZRxFT9JgxaGhxIZeSsq/92ej&#10;4Ctzb2M81etkk2SHZneLj9tVrNRjv3uegvDU+X/xn/tVh/kJ3H8JB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bTaLEAAAA2wAAAA8AAAAAAAAAAAAAAAAAmAIAAGRycy9k&#10;b3ducmV2LnhtbFBLBQYAAAAABAAEAPUAAACJAwAAAAA=&#10;" adj="13006" fillcolor="#c3c3c3 [2166]" strokecolor="#a5a5a5 [3206]" strokeweight=".5pt">
                      <v:fill color2="#b6b6b6 [2614]" rotate="t" colors="0 #d2d2d2;.5 #c8c8c8;1 silver" focus="100%" type="gradient">
                        <o:fill v:ext="view" type="gradientUnscaled"/>
                      </v:fill>
                    </v:shape>
                    <v:rect id="矩形 20" o:spid="_x0000_s1045" style="position:absolute;left:51311;top:24531;width:10709;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WNdb8A&#10;AADbAAAADwAAAGRycy9kb3ducmV2LnhtbERPz2vCMBS+D/Y/hDfwNlMVrHRGEUFxp9F23h/JW1PW&#10;vJQm2vrfL4eBx4/v93Y/uU7caQitZwWLeQaCWHvTcqPguz69b0CEiGyw80wKHhRgv3t92WJh/Mgl&#10;3avYiBTCoUAFNsa+kDJoSw7D3PfEifvxg8OY4NBIM+CYwl0nl1m2lg5bTg0Wezpa0r/VzSmg61Rq&#10;97mpz9cvq8/xmK9qnSs1e5sOHyAiTfEp/ndfjIJlWp++pB8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xY11vwAAANsAAAAPAAAAAAAAAAAAAAAAAJgCAABkcnMvZG93bnJl&#10;di54bWxQSwUGAAAAAAQABAD1AAAAhAMAAAAA&#10;" fillcolor="#a5a5a5 [3206]" strokecolor="white [3201]" strokeweight="1.5pt">
                      <v:textbox>
                        <w:txbxContent>
                          <w:p w14:paraId="775B9218" w14:textId="77777777" w:rsidR="00473CBD" w:rsidRPr="006F6482" w:rsidRDefault="00473CBD" w:rsidP="00473CBD">
                            <w:pPr>
                              <w:pStyle w:val="ab"/>
                              <w:spacing w:before="0" w:beforeAutospacing="0" w:after="0" w:afterAutospacing="0"/>
                              <w:jc w:val="center"/>
                              <w:textAlignment w:val="baseline"/>
                              <w:rPr>
                                <w:b/>
                                <w:color w:val="000000" w:themeColor="text1"/>
                                <w:sz w:val="18"/>
                              </w:rPr>
                            </w:pPr>
                            <w:r w:rsidRPr="006F6482">
                              <w:rPr>
                                <w:rFonts w:asciiTheme="minorHAnsi" w:eastAsiaTheme="minorEastAsia" w:hAnsi="Calibri" w:cstheme="minorBidi"/>
                                <w:b/>
                                <w:color w:val="000000" w:themeColor="text1"/>
                                <w:kern w:val="24"/>
                                <w:sz w:val="22"/>
                                <w:szCs w:val="36"/>
                              </w:rPr>
                              <w:t>MB-UPF</w:t>
                            </w:r>
                          </w:p>
                          <w:p w14:paraId="0F009E6E" w14:textId="77777777" w:rsidR="00473CBD" w:rsidRPr="006F6482" w:rsidRDefault="00473CBD" w:rsidP="00473CBD">
                            <w:pPr>
                              <w:pStyle w:val="ab"/>
                              <w:spacing w:before="0" w:beforeAutospacing="0" w:after="0" w:afterAutospacing="0"/>
                              <w:jc w:val="center"/>
                              <w:textAlignment w:val="baseline"/>
                              <w:rPr>
                                <w:b/>
                                <w:color w:val="000000" w:themeColor="text1"/>
                                <w:sz w:val="18"/>
                              </w:rPr>
                            </w:pPr>
                            <w:r w:rsidRPr="006F6482">
                              <w:rPr>
                                <w:rFonts w:asciiTheme="minorHAnsi" w:eastAsiaTheme="minorEastAsia" w:hAnsi="Calibri" w:cstheme="minorBidi"/>
                                <w:b/>
                                <w:color w:val="000000" w:themeColor="text1"/>
                                <w:kern w:val="24"/>
                                <w:sz w:val="18"/>
                              </w:rPr>
                              <w:t>(PLMN b)</w:t>
                            </w:r>
                          </w:p>
                        </w:txbxContent>
                      </v:textbox>
                    </v:rect>
                    <v:shape id="流程图: 直接访问存储器 21" o:spid="_x0000_s1046" type="#_x0000_t133" style="position:absolute;left:24055;top:25749;width:12581;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UyoMMA&#10;AADbAAAADwAAAGRycy9kb3ducmV2LnhtbESPQWsCMRSE74L/ITyht5p1DyJbo1TFttCTa0s9Pjev&#10;m8XNy5Kkuv57IxQ8DjPzDTNf9rYVZ/KhcaxgMs5AEFdON1wr+Npvn2cgQkTW2DomBVcKsFwMB3Ms&#10;tLvwjs5lrEWCcChQgYmxK6QMlSGLYew64uT9Om8xJulrqT1eEty2Ms+yqbTYcFow2NHaUHUq/6yC&#10;72tOZfTV9HNzOK5X7z+mc29GqadR//oCIlIfH+H/9odWkE/g/i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UyoMMAAADbAAAADwAAAAAAAAAAAAAAAACYAgAAZHJzL2Rv&#10;d25yZXYueG1sUEsFBgAAAAAEAAQA9QAAAIgDAAAAAA==&#10;" fillcolor="#a5a5a5 [3206]" strokecolor="#525252 [1606]" strokeweight="1pt">
                      <v:stroke joinstyle="miter"/>
                    </v:shape>
                    <v:shape id="流程图: 过程 22" o:spid="_x0000_s1047" type="#_x0000_t109" style="position:absolute;left:37922;top:19030;width:9423;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v6MMA&#10;AADbAAAADwAAAGRycy9kb3ducmV2LnhtbESPS2vCQBSF94X+h+EWuglmYhYi0VFUtHTpC0p3l8zN&#10;o83ciZkxSf99pyB0eTiPj7Ncj6YRPXWutqxgGicgiHOray4VXC+HyRyE88gaG8uk4IccrFfPT0vM&#10;tB34RP3ZlyKMsMtQQeV9m0np8ooMuti2xMErbGfQB9mVUnc4hHHTyDRJZtJgzYFQYUu7ivLv890E&#10;7ml/9F8RIX9En1FZ7O/b21uk1OvLuFmA8DT6//Cj/a4VpCn8fQ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Kv6MMAAADbAAAADwAAAAAAAAAAAAAAAACYAgAAZHJzL2Rv&#10;d25yZXYueG1sUEsFBgAAAAAEAAQA9QAAAIgDAAAAAA==&#10;" fillcolor="white [3212]" strokecolor="black [3213]" strokeweight="1pt">
                      <v:textbox>
                        <w:txbxContent>
                          <w:p w14:paraId="6732C299" w14:textId="77777777" w:rsidR="00473CBD" w:rsidRPr="00DE3E64" w:rsidRDefault="00473CBD" w:rsidP="00473CBD">
                            <w:pPr>
                              <w:pStyle w:val="ab"/>
                              <w:spacing w:before="0" w:beforeAutospacing="0" w:after="0" w:afterAutospacing="0"/>
                              <w:jc w:val="center"/>
                              <w:textAlignment w:val="baseline"/>
                              <w:rPr>
                                <w:sz w:val="18"/>
                              </w:rPr>
                            </w:pPr>
                            <w:r w:rsidRPr="00DE3E64">
                              <w:rPr>
                                <w:rFonts w:asciiTheme="minorHAnsi" w:eastAsiaTheme="minorEastAsia" w:hAnsi="Calibri" w:cstheme="minorBidi"/>
                                <w:color w:val="000000" w:themeColor="text1"/>
                                <w:kern w:val="24"/>
                                <w:sz w:val="16"/>
                                <w:szCs w:val="22"/>
                              </w:rPr>
                              <w:t>Data packet</w:t>
                            </w:r>
                          </w:p>
                          <w:p w14:paraId="216067F0" w14:textId="77777777" w:rsidR="00473CBD" w:rsidRPr="00DE3E64" w:rsidRDefault="00473CBD" w:rsidP="00473CBD">
                            <w:pPr>
                              <w:pStyle w:val="ab"/>
                              <w:spacing w:before="0" w:beforeAutospacing="0" w:after="0" w:afterAutospacing="0"/>
                              <w:jc w:val="center"/>
                              <w:textAlignment w:val="baseline"/>
                              <w:rPr>
                                <w:sz w:val="18"/>
                              </w:rPr>
                            </w:pPr>
                            <w:r w:rsidRPr="00DE3E64">
                              <w:rPr>
                                <w:rFonts w:asciiTheme="minorHAnsi" w:eastAsiaTheme="minorEastAsia" w:hAnsi="Calibri" w:cstheme="minorBidi"/>
                                <w:color w:val="000000" w:themeColor="text1"/>
                                <w:kern w:val="24"/>
                                <w:sz w:val="16"/>
                                <w:szCs w:val="22"/>
                              </w:rPr>
                              <w:t>(</w:t>
                            </w:r>
                            <w:r w:rsidR="006D38B9">
                              <w:rPr>
                                <w:rFonts w:asciiTheme="minorHAnsi" w:eastAsiaTheme="minorEastAsia" w:cstheme="minorBidi" w:hint="eastAsia"/>
                                <w:color w:val="000000" w:themeColor="text1"/>
                                <w:kern w:val="24"/>
                                <w:sz w:val="16"/>
                                <w:szCs w:val="22"/>
                              </w:rPr>
                              <w:t>including</w:t>
                            </w:r>
                            <w:r w:rsidRPr="00DE3E64">
                              <w:rPr>
                                <w:rFonts w:asciiTheme="minorHAnsi" w:eastAsiaTheme="minorEastAsia" w:hAnsi="Calibri" w:cstheme="minorBidi"/>
                                <w:color w:val="000000" w:themeColor="text1"/>
                                <w:kern w:val="24"/>
                                <w:sz w:val="16"/>
                                <w:szCs w:val="22"/>
                              </w:rPr>
                              <w:t xml:space="preserve"> SN number </w:t>
                            </w:r>
                            <w:r w:rsidRPr="00DE3E64">
                              <w:rPr>
                                <w:rFonts w:asciiTheme="minorHAnsi" w:eastAsiaTheme="minorEastAsia" w:hAnsi="Calibri" w:cstheme="minorBidi"/>
                                <w:i/>
                                <w:iCs/>
                                <w:color w:val="000000" w:themeColor="text1"/>
                                <w:kern w:val="24"/>
                                <w:sz w:val="16"/>
                                <w:szCs w:val="22"/>
                              </w:rPr>
                              <w:t>bb</w:t>
                            </w:r>
                            <w:r w:rsidRPr="00DE3E64">
                              <w:rPr>
                                <w:rFonts w:asciiTheme="minorHAnsi" w:eastAsiaTheme="minorEastAsia" w:hAnsi="Calibri" w:cstheme="minorBidi"/>
                                <w:color w:val="000000" w:themeColor="text1"/>
                                <w:kern w:val="24"/>
                                <w:sz w:val="16"/>
                                <w:szCs w:val="22"/>
                              </w:rPr>
                              <w:t>)</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3" o:spid="_x0000_s1048" type="#_x0000_t67" style="position:absolute;left:16161;top:15941;width:4591;height:7060;rotation:-73998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DLsEA&#10;AADbAAAADwAAAGRycy9kb3ducmV2LnhtbESPQWsCMRSE7wX/Q3iCl6JZbSmyGkUqgteqULw9k+dm&#10;cfOyJKmu/94IQo/DzHzDzJeda8SVQqw9KxiPChDE2puaKwWH/WY4BRETssHGMym4U4Tlovc2x9L4&#10;G//QdZcqkSEcS1RgU2pLKaO25DCOfEucvbMPDlOWoZIm4C3DXSMnRfElHdacFyy29G1JX3Z/LlNi&#10;+Nxre9m8r7WsT9vp+Pd4aJQa9LvVDESiLv2HX+2tUTD5gO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Uwy7BAAAA2wAAAA8AAAAAAAAAAAAAAAAAmAIAAGRycy9kb3du&#10;cmV2LnhtbFBLBQYAAAAABAAEAPUAAACGAwAAAAA=&#10;" adj="14578" fillcolor="#7f7f7f [1612]" stroked="f" strokeweight="1pt"/>
                    <v:rect id="矩形 25" o:spid="_x0000_s1049" style="position:absolute;left:6480;top:29072;width:576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Dg9MIA&#10;AADbAAAADwAAAGRycy9kb3ducmV2LnhtbESPQWsCMRSE70L/Q3iCN80qaMvWKKUgSA9CrfT82Lzd&#10;LG5eliRmt/56Uyj0OMzMN8x2P9pOJPKhdaxguShAEFdOt9wouHwd5i8gQkTW2DkmBT8UYL97mmyx&#10;1G7gT0rn2IgM4VCiAhNjX0oZKkMWw8L1xNmrnbcYs/SN1B6HDLedXBXFRlpsOS8Y7OndUHU936yC&#10;53b4sNfvOpnDKWF3v6e48bVSs+n49goi0hj/w3/to1awWsPvl/wD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OD0wgAAANsAAAAPAAAAAAAAAAAAAAAAAJgCAABkcnMvZG93&#10;bnJldi54bWxQSwUGAAAAAAQABAD1AAAAhwMAAAAA&#10;" fillcolor="#a5a5a5 [3206]" strokecolor="#525252 [1606]" strokeweight="1pt">
                      <v:textbox inset=",0,,0">
                        <w:txbxContent>
                          <w:p w14:paraId="0744EE63" w14:textId="77777777" w:rsidR="00642983" w:rsidRPr="00642983" w:rsidRDefault="00642983" w:rsidP="00473CBD">
                            <w:pPr>
                              <w:pStyle w:val="ab"/>
                              <w:spacing w:before="0" w:beforeAutospacing="0" w:after="0" w:afterAutospacing="0"/>
                              <w:jc w:val="center"/>
                              <w:textAlignment w:val="baseline"/>
                              <w:rPr>
                                <w:b/>
                                <w:sz w:val="20"/>
                              </w:rPr>
                            </w:pPr>
                            <w:r w:rsidRPr="00642983">
                              <w:rPr>
                                <w:rFonts w:asciiTheme="minorHAnsi" w:eastAsiaTheme="minorEastAsia" w:hAnsi="Calibri" w:cstheme="minorBidi"/>
                                <w:b/>
                                <w:color w:val="000000" w:themeColor="dark1"/>
                                <w:kern w:val="24"/>
                                <w:sz w:val="22"/>
                                <w:szCs w:val="32"/>
                              </w:rPr>
                              <w:t>UE</w:t>
                            </w:r>
                          </w:p>
                        </w:txbxContent>
                      </v:textbox>
                    </v:rect>
                    <v:shape id="流程图: 过程 26" o:spid="_x0000_s1050" type="#_x0000_t109" style="position:absolute;left:21848;top:15552;width:9176;height: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p68IA&#10;AADbAAAADwAAAGRycy9kb3ducmV2LnhtbESPS4vCMBSF94L/IdwBN0VTXcjQMcqMVHHpC2R2l+ba&#10;1mluapNq/fdGGHB5OI+PM1t0phI3alxpWcF4FIMgzqwuOVdwPKyGnyCcR9ZYWSYFD3KwmPd7M0y0&#10;vfOObnufizDCLkEFhfd1IqXLCjLoRrYmDt7ZNgZ9kE0udYP3MG4qOYnjqTRYciAUWNOyoOxv35rA&#10;3aVbf4kI+RT9Rvk5bX+u60ipwUf3/QXCU+ff4f/2RiuYTOH1JfwA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OanrwgAAANsAAAAPAAAAAAAAAAAAAAAAAJgCAABkcnMvZG93&#10;bnJldi54bWxQSwUGAAAAAAQABAD1AAAAhwMAAAAA&#10;" fillcolor="white [3212]" strokecolor="black [3213]" strokeweight="1pt">
                      <v:textbox>
                        <w:txbxContent>
                          <w:p w14:paraId="6FA94278" w14:textId="77777777" w:rsidR="006D38B9" w:rsidRPr="00CE0AE9" w:rsidRDefault="006D38B9"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Data packet</w:t>
                            </w:r>
                          </w:p>
                          <w:p w14:paraId="4B67EAEE" w14:textId="77777777" w:rsidR="006D38B9" w:rsidRPr="00CE0AE9" w:rsidRDefault="006D38B9" w:rsidP="00473CBD">
                            <w:pPr>
                              <w:pStyle w:val="ab"/>
                              <w:spacing w:before="0" w:beforeAutospacing="0" w:after="0" w:afterAutospacing="0"/>
                              <w:jc w:val="center"/>
                              <w:textAlignment w:val="baseline"/>
                              <w:rPr>
                                <w:sz w:val="18"/>
                              </w:rPr>
                            </w:pPr>
                            <w:r w:rsidRPr="00CE0AE9">
                              <w:rPr>
                                <w:rFonts w:asciiTheme="minorHAnsi" w:eastAsiaTheme="minorEastAsia" w:hAnsi="Calibri" w:cstheme="minorBidi"/>
                                <w:color w:val="000000" w:themeColor="text1"/>
                                <w:kern w:val="24"/>
                                <w:sz w:val="16"/>
                                <w:szCs w:val="22"/>
                              </w:rPr>
                              <w:t>(</w:t>
                            </w:r>
                            <w:r>
                              <w:rPr>
                                <w:rFonts w:asciiTheme="minorHAnsi" w:eastAsiaTheme="minorEastAsia" w:cstheme="minorBidi" w:hint="eastAsia"/>
                                <w:color w:val="000000" w:themeColor="text1"/>
                                <w:kern w:val="24"/>
                                <w:sz w:val="16"/>
                                <w:szCs w:val="22"/>
                              </w:rPr>
                              <w:t>including</w:t>
                            </w:r>
                            <w:r w:rsidRPr="00CE0AE9">
                              <w:rPr>
                                <w:rFonts w:asciiTheme="minorHAnsi" w:eastAsiaTheme="minorEastAsia" w:hAnsi="Calibri" w:cstheme="minorBidi"/>
                                <w:color w:val="000000" w:themeColor="text1"/>
                                <w:kern w:val="24"/>
                                <w:sz w:val="16"/>
                                <w:szCs w:val="22"/>
                              </w:rPr>
                              <w:t xml:space="preserve"> SN number </w:t>
                            </w:r>
                            <w:r w:rsidRPr="00CE0AE9">
                              <w:rPr>
                                <w:rFonts w:asciiTheme="minorHAnsi" w:eastAsiaTheme="minorEastAsia" w:hAnsi="Calibri" w:cstheme="minorBidi"/>
                                <w:i/>
                                <w:iCs/>
                                <w:color w:val="000000" w:themeColor="text1"/>
                                <w:kern w:val="24"/>
                                <w:sz w:val="16"/>
                                <w:szCs w:val="22"/>
                              </w:rPr>
                              <w:t>aa</w:t>
                            </w:r>
                            <w:r w:rsidRPr="00CE0AE9">
                              <w:rPr>
                                <w:rFonts w:asciiTheme="minorHAnsi" w:eastAsiaTheme="minorEastAsia" w:hAnsi="Calibri" w:cstheme="minorBidi"/>
                                <w:color w:val="000000" w:themeColor="text1"/>
                                <w:kern w:val="24"/>
                                <w:sz w:val="16"/>
                                <w:szCs w:val="22"/>
                              </w:rPr>
                              <w:t>)</w:t>
                            </w:r>
                          </w:p>
                        </w:txbxContent>
                      </v:textbox>
                    </v:shape>
                  </v:group>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爆炸形 1 5" o:spid="_x0000_s1051" type="#_x0000_t71" style="position:absolute;left:19999;top:25685;width:7333;height:5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K9S8MA&#10;AADaAAAADwAAAGRycy9kb3ducmV2LnhtbESPT4vCMBTE74LfIbwFL6Kp4op0jaKCi3jzD3h9NM+2&#10;u81LbVLb9dMbYcHjMDO/YebL1hTiTpXLLSsYDSMQxInVOacKzqftYAbCeWSNhWVS8EcOlotuZ46x&#10;tg0f6H70qQgQdjEqyLwvYyldkpFBN7QlcfCutjLog6xSqStsAtwUchxFU2kw57CQYUmbjJLfY20U&#10;rPc31z/TJr/+2Lp2p8euuXxPlOp9tKsvEJ5a/w7/t3dawSe8roQb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K9S8MAAADaAAAADwAAAAAAAAAAAAAAAACYAgAAZHJzL2Rv&#10;d25yZXYueG1sUEsFBgAAAAAEAAQA9QAAAIgDAAAAAA==&#10;" fillcolor="white [3212]" strokecolor="#c00000" strokeweight="1pt"/>
                  <v:shape id="文本框 27" o:spid="_x0000_s1052" type="#_x0000_t202" style="position:absolute;left:27019;top:30271;width:39706;height:4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14:paraId="5F7D8F63" w14:textId="77777777" w:rsidR="00473CBD" w:rsidRPr="00E05F87" w:rsidRDefault="00473CBD" w:rsidP="00473CBD">
                          <w:pPr>
                            <w:pStyle w:val="ab"/>
                            <w:spacing w:before="0" w:beforeAutospacing="0" w:after="0" w:afterAutospacing="0"/>
                            <w:textAlignment w:val="baseline"/>
                            <w:rPr>
                              <w:rFonts w:ascii="Calibri" w:hAnsi="Calibri" w:cs="Calibri"/>
                              <w:sz w:val="20"/>
                            </w:rPr>
                          </w:pPr>
                          <w:r w:rsidRPr="00F92BD5">
                            <w:rPr>
                              <w:rFonts w:ascii="Calibri" w:hAnsi="Calibri" w:cs="Calibri"/>
                              <w:b/>
                              <w:color w:val="000000" w:themeColor="text1"/>
                              <w:kern w:val="24"/>
                              <w:sz w:val="18"/>
                              <w:szCs w:val="22"/>
                            </w:rPr>
                            <w:t>Problem</w:t>
                          </w:r>
                          <w:r w:rsidRPr="00E05F87">
                            <w:rPr>
                              <w:rFonts w:ascii="Calibri" w:hAnsi="Calibri" w:cs="Calibri"/>
                              <w:color w:val="000000" w:themeColor="text1"/>
                              <w:kern w:val="24"/>
                              <w:sz w:val="18"/>
                              <w:szCs w:val="22"/>
                            </w:rPr>
                            <w:t>: SN number between PLMNs is not synchronized,</w:t>
                          </w:r>
                          <w:r w:rsidR="006D38B9" w:rsidRPr="00E05F87">
                            <w:rPr>
                              <w:rFonts w:ascii="Calibri" w:hAnsi="Calibri" w:cs="Calibri"/>
                              <w:color w:val="000000" w:themeColor="text1"/>
                              <w:kern w:val="24"/>
                              <w:sz w:val="18"/>
                              <w:szCs w:val="22"/>
                            </w:rPr>
                            <w:t xml:space="preserve"> n</w:t>
                          </w:r>
                          <w:r w:rsidRPr="00E05F87">
                            <w:rPr>
                              <w:rFonts w:ascii="Calibri" w:hAnsi="Calibri" w:cs="Calibri"/>
                              <w:color w:val="000000" w:themeColor="text1"/>
                              <w:kern w:val="24"/>
                              <w:sz w:val="18"/>
                              <w:szCs w:val="22"/>
                            </w:rPr>
                            <w:t>ot easy to let T-RAN to determine how to stop forwarding the data</w:t>
                          </w:r>
                        </w:p>
                      </w:txbxContent>
                    </v:textbox>
                  </v:shape>
                </v:group>
                <v:shape id="流程图: 直接访问存储器 31" o:spid="_x0000_s1053" type="#_x0000_t133" style="position:absolute;left:24157;top:20765;width:10141;height:3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ykfcQA&#10;AADbAAAADwAAAGRycy9kb3ducmV2LnhtbESPW2sCMRSE3wv+h3CEvtWsClK2RvGCF+iTW6V9PN0c&#10;N4ubkyVJdf33jVDo4zAz3zDTeWcbcSUfascKhoMMBHHpdM2VguPH5uUVRIjIGhvHpOBOAeaz3tMU&#10;c+1ufKBrESuRIBxyVGBibHMpQ2nIYhi4ljh5Z+ctxiR9JbXHW4LbRo6ybCIt1pwWDLa0MlReih+r&#10;4HQfURF9OXlff32vlrtP07qtUeq53y3eQETq4n/4r73XCsZDeHx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8pH3EAAAA2wAAAA8AAAAAAAAAAAAAAAAAmAIAAGRycy9k&#10;b3ducmV2LnhtbFBLBQYAAAAABAAEAPUAAACJAwAAAAA=&#10;" fillcolor="#a5a5a5 [3206]" strokecolor="#525252 [1606]" strokeweight="1pt">
                  <v:stroke joinstyle="miter"/>
                </v:shape>
                <v:shape id="流程图: 直接访问存储器 32" o:spid="_x0000_s1054" type="#_x0000_t133" style="position:absolute;left:29839;top:20763;width:10141;height:3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6CsMA&#10;AADbAAAADwAAAGRycy9kb3ducmV2LnhtbESPQWsCMRSE74X+h/AKvdWsK0hZjaKWqtBTtxU9PjfP&#10;zeLmZUlSXf99Uyh4HGbmG2Y6720rLuRD41jBcJCBIK6cbrhW8P31/vIKIkRkja1jUnCjAPPZ48MU&#10;C+2u/EmXMtYiQTgUqMDE2BVShsqQxTBwHXHyTs5bjEn6WmqP1wS3rcyzbCwtNpwWDHa0MlSdyx+r&#10;YHfLqYy+Gn+8HY6r5WZvOrc2Sj0/9YsJiEh9vIf/21utYJT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46CsMAAADbAAAADwAAAAAAAAAAAAAAAACYAgAAZHJzL2Rv&#10;d25yZXYueG1sUEsFBgAAAAAEAAQA9QAAAIgDAAAAAA==&#10;" fillcolor="#a5a5a5 [3206]" strokecolor="#525252 [1606]" strokeweight="1pt">
                  <v:stroke joinstyle="miter"/>
                </v:shape>
                <v:rect id="矩形 33" o:spid="_x0000_s1055" style="position:absolute;left:19857;top:6761;width:11972;height:2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3+MYA&#10;AADbAAAADwAAAGRycy9kb3ducmV2LnhtbESPT2sCMRTE74V+h/AKXqRm/YOVrVFEEERBdO2hx9fN&#10;c3fbzcuSRF2/vRGEHoeZ+Q0znbemFhdyvrKsoN9LQBDnVldcKPg6rt4nIHxA1lhbJgU38jCfvb5M&#10;MdX2yge6ZKEQEcI+RQVlCE0qpc9LMuh7tiGO3sk6gyFKV0jt8BrhppaDJBlLgxXHhRIbWpaU/2Vn&#10;o2DkT9397qfqbt3vbqNvk+/18WOkVOetXXyCCNSG//CzvdYKhkN4fI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03+MYAAADbAAAADwAAAAAAAAAAAAAAAACYAgAAZHJz&#10;L2Rvd25yZXYueG1sUEsFBgAAAAAEAAQA9QAAAIsDAAAAAA==&#10;" fillcolor="#c3c3c3 [2166]" stroked="f" strokeweight=".5pt">
                  <v:fill color2="#b6b6b6 [2614]" rotate="t" colors="0 #d2d2d2;.5 #c8c8c8;1 silver" focus="100%" type="gradient">
                    <o:fill v:ext="view" type="gradientUnscaled"/>
                  </v:fill>
                </v:rect>
                <v:rect id="矩形 34" o:spid="_x0000_s1056" style="position:absolute;left:23087;top:20842;width:11969;height:3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ov8QA&#10;AADbAAAADwAAAGRycy9kb3ducmV2LnhtbESPQWvCQBSE74L/YXmCN93YWpHUVWyhoNZLNL0/sq+b&#10;1OzbNLtq/PduoeBxmJlvmMWqs7W4UOsrxwom4wQEceF0xUZBfvwYzUH4gKyxdkwKbuRhtez3Fphq&#10;d+WMLodgRISwT1FBGUKTSumLkiz6sWuIo/ftWoshytZI3eI1wm0tn5JkJi1WHBdKbOi9pOJ0OFsF&#10;25nJfvT+/PKZv+WZnphf2n7tlBoOuvUriEBdeIT/2xut4HkKf1/i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9qL/EAAAA2wAAAA8AAAAAAAAAAAAAAAAAmAIAAGRycy9k&#10;b3ducmV2LnhtbFBLBQYAAAAABAAEAPUAAACJAwAAAAA=&#10;" fillcolor="#a5a5a5 [3206]" stroked="f" strokeweight="1pt">
                  <v:textbox>
                    <w:txbxContent>
                      <w:p w14:paraId="7906D3A0" w14:textId="77777777" w:rsidR="00B94A89" w:rsidRDefault="00B94A89" w:rsidP="00B94A89">
                        <w:pPr>
                          <w:jc w:val="center"/>
                        </w:pPr>
                      </w:p>
                    </w:txbxContent>
                  </v:textbox>
                </v:rect>
                <w10:anchorlock/>
              </v:group>
            </w:pict>
          </mc:Fallback>
        </mc:AlternateContent>
      </w:r>
    </w:p>
    <w:p w14:paraId="25965E5D" w14:textId="2B3D623C" w:rsidR="009F33BE" w:rsidRPr="009F33BE" w:rsidRDefault="009F33BE" w:rsidP="009F33BE">
      <w:pPr>
        <w:pStyle w:val="TF"/>
        <w:rPr>
          <w:lang w:val="en-US"/>
        </w:rPr>
      </w:pPr>
      <w:r w:rsidRPr="00496CB0">
        <w:t xml:space="preserve">Figure </w:t>
      </w:r>
      <w:r>
        <w:rPr>
          <w:lang w:val="en-US"/>
        </w:rPr>
        <w:t>2</w:t>
      </w:r>
      <w:r w:rsidR="004C0305">
        <w:rPr>
          <w:lang w:val="en-US"/>
        </w:rPr>
        <w:t>.1</w:t>
      </w:r>
      <w:r w:rsidRPr="00496CB0">
        <w:t xml:space="preserve">-1: </w:t>
      </w:r>
      <w:r>
        <w:rPr>
          <w:lang w:val="en-US"/>
        </w:rPr>
        <w:t xml:space="preserve">Service continuity issue of </w:t>
      </w:r>
      <w:r w:rsidRPr="00496CB0">
        <w:t xml:space="preserve">MOCN </w:t>
      </w:r>
      <w:r>
        <w:rPr>
          <w:lang w:val="en-US"/>
        </w:rPr>
        <w:t>RAN</w:t>
      </w:r>
      <w:r w:rsidRPr="00496CB0">
        <w:t xml:space="preserve"> sharing </w:t>
      </w:r>
      <w:r>
        <w:rPr>
          <w:lang w:val="en-US"/>
        </w:rPr>
        <w:t>scenario for multicast.</w:t>
      </w:r>
    </w:p>
    <w:p w14:paraId="0646FD97" w14:textId="3203489B" w:rsidR="00161749" w:rsidRPr="00A318EC" w:rsidRDefault="00161749" w:rsidP="00161749">
      <w:pPr>
        <w:pStyle w:val="3"/>
        <w:rPr>
          <w:rFonts w:eastAsia="宋体"/>
          <w:lang w:eastAsia="en-GB"/>
        </w:rPr>
      </w:pPr>
      <w:r w:rsidRPr="00A318EC">
        <w:rPr>
          <w:rFonts w:eastAsia="宋体" w:hint="eastAsia"/>
          <w:lang w:eastAsia="en-GB"/>
        </w:rPr>
        <w:t>2.</w:t>
      </w:r>
      <w:r>
        <w:rPr>
          <w:rFonts w:eastAsia="宋体"/>
          <w:lang w:eastAsia="en-GB"/>
        </w:rPr>
        <w:t>2</w:t>
      </w:r>
      <w:r w:rsidRPr="00A318EC">
        <w:rPr>
          <w:rFonts w:eastAsia="宋体" w:hint="eastAsia"/>
          <w:lang w:eastAsia="en-GB"/>
        </w:rPr>
        <w:tab/>
        <w:t>Issue o</w:t>
      </w:r>
      <w:r w:rsidRPr="00A318EC">
        <w:rPr>
          <w:rFonts w:eastAsia="宋体"/>
          <w:lang w:eastAsia="en-GB"/>
        </w:rPr>
        <w:t xml:space="preserve">f </w:t>
      </w:r>
      <w:r>
        <w:rPr>
          <w:rFonts w:eastAsia="宋体"/>
          <w:lang w:eastAsia="en-GB"/>
        </w:rPr>
        <w:t>sessi</w:t>
      </w:r>
      <w:r w:rsidR="00D56872">
        <w:rPr>
          <w:rFonts w:eastAsia="宋体"/>
          <w:lang w:eastAsia="en-GB"/>
        </w:rPr>
        <w:t>on activation and deactivation</w:t>
      </w:r>
    </w:p>
    <w:p w14:paraId="2BA883CD" w14:textId="62ECEDA6" w:rsidR="00ED41CB" w:rsidRDefault="0077523E" w:rsidP="00A53B18">
      <w:pPr>
        <w:rPr>
          <w:rFonts w:eastAsia="MS Mincho"/>
        </w:rPr>
      </w:pPr>
      <w:r>
        <w:rPr>
          <w:rFonts w:eastAsia="MS Mincho"/>
        </w:rPr>
        <w:t>F</w:t>
      </w:r>
      <w:r w:rsidR="00ED41CB">
        <w:rPr>
          <w:rFonts w:eastAsia="MS Mincho" w:hint="eastAsia"/>
        </w:rPr>
        <w:t xml:space="preserve">or multicast, </w:t>
      </w:r>
      <w:r>
        <w:rPr>
          <w:rFonts w:eastAsia="MS Mincho"/>
        </w:rPr>
        <w:t>besides configuring the radio bearer, NG-RAN nodes also</w:t>
      </w:r>
      <w:r w:rsidR="00AD0544">
        <w:rPr>
          <w:rFonts w:eastAsia="MS Mincho"/>
        </w:rPr>
        <w:t xml:space="preserve"> need to</w:t>
      </w:r>
      <w:r>
        <w:rPr>
          <w:rFonts w:eastAsia="MS Mincho"/>
        </w:rPr>
        <w:t xml:space="preserve"> manag</w:t>
      </w:r>
      <w:r w:rsidR="00AD0544">
        <w:rPr>
          <w:rFonts w:eastAsia="MS Mincho"/>
        </w:rPr>
        <w:t>e</w:t>
      </w:r>
      <w:r>
        <w:rPr>
          <w:rFonts w:eastAsia="MS Mincho"/>
        </w:rPr>
        <w:t xml:space="preserve"> the group paging </w:t>
      </w:r>
      <w:r w:rsidR="00A64C29">
        <w:rPr>
          <w:rFonts w:eastAsia="MS Mincho"/>
        </w:rPr>
        <w:t>in</w:t>
      </w:r>
      <w:r>
        <w:rPr>
          <w:rFonts w:eastAsia="MS Mincho"/>
        </w:rPr>
        <w:t xml:space="preserve"> MBS session activation</w:t>
      </w:r>
      <w:r w:rsidR="00A64C29">
        <w:rPr>
          <w:rFonts w:eastAsia="MS Mincho"/>
        </w:rPr>
        <w:t xml:space="preserve">. </w:t>
      </w:r>
    </w:p>
    <w:p w14:paraId="59FD4C96" w14:textId="20C45381" w:rsidR="009F69DA" w:rsidRDefault="009F69DA" w:rsidP="00A53B18">
      <w:pPr>
        <w:rPr>
          <w:rFonts w:eastAsia="MS Mincho"/>
        </w:rPr>
      </w:pPr>
      <w:r>
        <w:rPr>
          <w:rFonts w:eastAsia="MS Mincho"/>
        </w:rPr>
        <w:t>Therefore, to support multicast</w:t>
      </w:r>
      <w:r w:rsidR="00A64C29">
        <w:rPr>
          <w:rFonts w:eastAsia="MS Mincho"/>
        </w:rPr>
        <w:t>, we need to consider the following aspect additionally:</w:t>
      </w:r>
    </w:p>
    <w:p w14:paraId="40991333" w14:textId="35A4D5ED" w:rsidR="00A64C29" w:rsidRDefault="00A64C29" w:rsidP="00A64C29">
      <w:pPr>
        <w:pStyle w:val="ac"/>
        <w:numPr>
          <w:ilvl w:val="0"/>
          <w:numId w:val="18"/>
        </w:numPr>
        <w:rPr>
          <w:rFonts w:eastAsiaTheme="minorEastAsia"/>
          <w:lang w:eastAsia="zh-CN"/>
        </w:rPr>
      </w:pPr>
      <w:r>
        <w:rPr>
          <w:rFonts w:eastAsiaTheme="minorEastAsia"/>
          <w:lang w:eastAsia="zh-CN"/>
        </w:rPr>
        <w:t xml:space="preserve">Whether </w:t>
      </w:r>
      <w:r w:rsidR="00833DF3">
        <w:rPr>
          <w:rFonts w:eastAsiaTheme="minorEastAsia"/>
          <w:lang w:eastAsia="zh-CN"/>
        </w:rPr>
        <w:t xml:space="preserve">and how </w:t>
      </w:r>
      <w:r>
        <w:rPr>
          <w:rFonts w:eastAsiaTheme="minorEastAsia"/>
          <w:lang w:eastAsia="zh-CN"/>
        </w:rPr>
        <w:t xml:space="preserve">the NG-RAN nodes need to </w:t>
      </w:r>
      <w:r w:rsidR="00567045">
        <w:rPr>
          <w:rFonts w:eastAsiaTheme="minorEastAsia"/>
          <w:lang w:eastAsia="zh-CN"/>
        </w:rPr>
        <w:t>handle</w:t>
      </w:r>
      <w:r>
        <w:rPr>
          <w:rFonts w:eastAsiaTheme="minorEastAsia"/>
          <w:lang w:eastAsia="zh-CN"/>
        </w:rPr>
        <w:t xml:space="preserve"> the group paging</w:t>
      </w:r>
      <w:r w:rsidR="00810CF2">
        <w:rPr>
          <w:rFonts w:eastAsiaTheme="minorEastAsia"/>
          <w:lang w:eastAsia="zh-CN"/>
        </w:rPr>
        <w:t xml:space="preserve"> among different PLMNs</w:t>
      </w:r>
      <w:r>
        <w:rPr>
          <w:rFonts w:eastAsiaTheme="minorEastAsia"/>
          <w:lang w:eastAsia="zh-CN"/>
        </w:rPr>
        <w:t>;</w:t>
      </w:r>
    </w:p>
    <w:p w14:paraId="079795BD" w14:textId="5727D907" w:rsidR="00446FEB" w:rsidRDefault="00446FEB" w:rsidP="00446FEB">
      <w:pPr>
        <w:rPr>
          <w:rFonts w:eastAsiaTheme="minorEastAsia"/>
          <w:lang w:eastAsia="zh-CN"/>
        </w:rPr>
      </w:pPr>
      <w:r>
        <w:rPr>
          <w:rFonts w:eastAsiaTheme="minorEastAsia"/>
          <w:lang w:eastAsia="zh-CN"/>
        </w:rPr>
        <w:t>Moreover, if</w:t>
      </w:r>
      <w:r>
        <w:rPr>
          <w:rFonts w:eastAsia="MS Mincho"/>
        </w:rPr>
        <w:t xml:space="preserve"> the</w:t>
      </w:r>
      <w:r>
        <w:rPr>
          <w:rFonts w:eastAsia="MS Mincho" w:hint="eastAsia"/>
        </w:rPr>
        <w:t xml:space="preserve"> </w:t>
      </w:r>
      <w:r>
        <w:rPr>
          <w:rFonts w:eastAsia="MS Mincho"/>
        </w:rPr>
        <w:t xml:space="preserve">group paging (and session deactivation) </w:t>
      </w:r>
      <w:r w:rsidR="00991B20">
        <w:rPr>
          <w:rFonts w:eastAsia="MS Mincho"/>
        </w:rPr>
        <w:t>is needed to be</w:t>
      </w:r>
      <w:r>
        <w:rPr>
          <w:rFonts w:eastAsia="MS Mincho"/>
        </w:rPr>
        <w:t xml:space="preserve"> done simultaneously among the PLMNs (otherwise the later paged UE may miss some of the early transmitted packets), the following also needs to be </w:t>
      </w:r>
      <w:r w:rsidR="00FA25F6">
        <w:rPr>
          <w:rFonts w:eastAsia="MS Mincho"/>
        </w:rPr>
        <w:t>considered</w:t>
      </w:r>
      <w:r>
        <w:rPr>
          <w:rFonts w:eastAsia="MS Mincho"/>
        </w:rPr>
        <w:t xml:space="preserve">: </w:t>
      </w:r>
    </w:p>
    <w:p w14:paraId="1DEAB6C7" w14:textId="2ED8B7FA" w:rsidR="00A64C29" w:rsidRPr="00446FEB" w:rsidRDefault="00A64C29" w:rsidP="00446FEB">
      <w:pPr>
        <w:pStyle w:val="ac"/>
        <w:numPr>
          <w:ilvl w:val="0"/>
          <w:numId w:val="18"/>
        </w:numPr>
        <w:rPr>
          <w:rFonts w:eastAsiaTheme="minorEastAsia"/>
          <w:lang w:eastAsia="zh-CN"/>
        </w:rPr>
      </w:pPr>
      <w:r w:rsidRPr="00446FEB">
        <w:rPr>
          <w:rFonts w:eastAsiaTheme="minorEastAsia"/>
          <w:lang w:eastAsia="zh-CN"/>
        </w:rPr>
        <w:t>Whether</w:t>
      </w:r>
      <w:r w:rsidR="00833DF3" w:rsidRPr="00446FEB">
        <w:rPr>
          <w:rFonts w:eastAsiaTheme="minorEastAsia"/>
          <w:lang w:eastAsia="zh-CN"/>
        </w:rPr>
        <w:t xml:space="preserve"> </w:t>
      </w:r>
      <w:r w:rsidR="00810CF2" w:rsidRPr="00446FEB">
        <w:rPr>
          <w:rFonts w:eastAsiaTheme="minorEastAsia"/>
          <w:lang w:eastAsia="zh-CN"/>
        </w:rPr>
        <w:t xml:space="preserve">and how to initiate the MBS session activation/deactivation simultaneously. </w:t>
      </w:r>
    </w:p>
    <w:p w14:paraId="1D98FA94" w14:textId="3AA4C106" w:rsidR="009D338E" w:rsidRDefault="003A2DEC" w:rsidP="00A53B18">
      <w:pPr>
        <w:rPr>
          <w:rFonts w:eastAsia="MS Mincho"/>
        </w:rPr>
      </w:pPr>
      <w:r>
        <w:rPr>
          <w:rFonts w:eastAsia="MS Mincho"/>
        </w:rPr>
        <w:t xml:space="preserve">From the authors' point of view, such feature and design </w:t>
      </w:r>
      <w:r w:rsidR="00DD2DF6">
        <w:rPr>
          <w:rFonts w:eastAsia="MS Mincho"/>
        </w:rPr>
        <w:t>are</w:t>
      </w:r>
      <w:r>
        <w:rPr>
          <w:rFonts w:eastAsia="MS Mincho"/>
        </w:rPr>
        <w:t xml:space="preserve"> expected to be end-to-end instead of 5GC only, and considering the timeline</w:t>
      </w:r>
      <w:r w:rsidR="00446FEB">
        <w:rPr>
          <w:rFonts w:eastAsia="MS Mincho"/>
        </w:rPr>
        <w:t>s</w:t>
      </w:r>
      <w:r>
        <w:rPr>
          <w:rFonts w:eastAsia="MS Mincho"/>
        </w:rPr>
        <w:t xml:space="preserve"> </w:t>
      </w:r>
      <w:r w:rsidR="00446FEB">
        <w:rPr>
          <w:rFonts w:eastAsia="MS Mincho"/>
        </w:rPr>
        <w:t>of</w:t>
      </w:r>
      <w:r>
        <w:rPr>
          <w:rFonts w:eastAsia="MS Mincho"/>
        </w:rPr>
        <w:t xml:space="preserve"> RAN WGs and SA WG2, it is not easy to figure out the way forward</w:t>
      </w:r>
      <w:r w:rsidR="00446FEB">
        <w:rPr>
          <w:rFonts w:eastAsia="MS Mincho"/>
        </w:rPr>
        <w:t xml:space="preserve"> in one or two meetings</w:t>
      </w:r>
      <w:r>
        <w:rPr>
          <w:rFonts w:eastAsia="MS Mincho"/>
        </w:rPr>
        <w:t xml:space="preserve">. </w:t>
      </w:r>
    </w:p>
    <w:p w14:paraId="45E8DC38" w14:textId="6D5FC055" w:rsidR="004E7234" w:rsidRPr="00A318EC" w:rsidRDefault="004E7234" w:rsidP="004E7234">
      <w:pPr>
        <w:pStyle w:val="3"/>
        <w:rPr>
          <w:rFonts w:eastAsia="宋体"/>
          <w:lang w:eastAsia="en-GB"/>
        </w:rPr>
      </w:pPr>
      <w:r w:rsidRPr="00A318EC">
        <w:rPr>
          <w:rFonts w:eastAsia="宋体" w:hint="eastAsia"/>
          <w:lang w:eastAsia="en-GB"/>
        </w:rPr>
        <w:t>2.</w:t>
      </w:r>
      <w:r>
        <w:rPr>
          <w:rFonts w:eastAsia="宋体"/>
          <w:lang w:eastAsia="en-GB"/>
        </w:rPr>
        <w:t>3</w:t>
      </w:r>
      <w:r w:rsidRPr="00A318EC">
        <w:rPr>
          <w:rFonts w:eastAsia="宋体" w:hint="eastAsia"/>
          <w:lang w:eastAsia="en-GB"/>
        </w:rPr>
        <w:tab/>
      </w:r>
      <w:r w:rsidR="008B08F3">
        <w:rPr>
          <w:rFonts w:eastAsia="宋体"/>
          <w:lang w:eastAsia="en-GB"/>
        </w:rPr>
        <w:t>Compatibility to other Rel-18 MBS features</w:t>
      </w:r>
    </w:p>
    <w:p w14:paraId="2F67B736" w14:textId="77777777" w:rsidR="00DD2DF6" w:rsidRDefault="00312E2D" w:rsidP="006573D5">
      <w:pPr>
        <w:rPr>
          <w:rFonts w:eastAsiaTheme="minorEastAsia"/>
          <w:lang w:eastAsia="zh-CN"/>
        </w:rPr>
      </w:pPr>
      <w:r>
        <w:rPr>
          <w:rFonts w:eastAsiaTheme="minorEastAsia"/>
          <w:lang w:eastAsia="zh-CN"/>
        </w:rPr>
        <w:t xml:space="preserve">Another difference between broadcast and multicast is that, in Rel-18 </w:t>
      </w:r>
      <w:r w:rsidR="004F0655">
        <w:rPr>
          <w:rFonts w:eastAsiaTheme="minorEastAsia"/>
          <w:lang w:eastAsia="zh-CN"/>
        </w:rPr>
        <w:t>SA/RAN WGs</w:t>
      </w:r>
      <w:r>
        <w:rPr>
          <w:rFonts w:eastAsiaTheme="minorEastAsia"/>
          <w:lang w:eastAsia="zh-CN"/>
        </w:rPr>
        <w:t xml:space="preserve"> </w:t>
      </w:r>
      <w:r w:rsidR="004F0655">
        <w:rPr>
          <w:rFonts w:eastAsiaTheme="minorEastAsia"/>
          <w:lang w:eastAsia="zh-CN"/>
        </w:rPr>
        <w:t>are</w:t>
      </w:r>
      <w:r>
        <w:rPr>
          <w:rFonts w:eastAsiaTheme="minorEastAsia"/>
          <w:lang w:eastAsia="zh-CN"/>
        </w:rPr>
        <w:t xml:space="preserve"> also targeting</w:t>
      </w:r>
      <w:r w:rsidR="00DD2DF6">
        <w:rPr>
          <w:rFonts w:eastAsiaTheme="minorEastAsia"/>
          <w:lang w:eastAsia="zh-CN"/>
        </w:rPr>
        <w:t xml:space="preserve"> some enhancement for multicast. </w:t>
      </w:r>
      <w:bookmarkStart w:id="2" w:name="_GoBack"/>
      <w:bookmarkEnd w:id="2"/>
    </w:p>
    <w:p w14:paraId="161D5673" w14:textId="60D7B265" w:rsidR="009F33BE" w:rsidRPr="00A53B18" w:rsidRDefault="00DD2DF6" w:rsidP="00804659">
      <w:pPr>
        <w:rPr>
          <w:rFonts w:eastAsiaTheme="minorEastAsia"/>
          <w:lang w:eastAsia="zh-CN"/>
        </w:rPr>
      </w:pPr>
      <w:r>
        <w:rPr>
          <w:rFonts w:eastAsiaTheme="minorEastAsia"/>
          <w:lang w:eastAsia="zh-CN"/>
        </w:rPr>
        <w:t>Take</w:t>
      </w:r>
      <w:r w:rsidR="00312E2D">
        <w:rPr>
          <w:rFonts w:eastAsiaTheme="minorEastAsia"/>
          <w:lang w:eastAsia="zh-CN"/>
        </w:rPr>
        <w:t xml:space="preserve"> the support of RRC Inactive reception</w:t>
      </w:r>
      <w:r>
        <w:rPr>
          <w:rFonts w:eastAsiaTheme="minorEastAsia"/>
          <w:lang w:eastAsia="zh-CN"/>
        </w:rPr>
        <w:t xml:space="preserve"> for an example:</w:t>
      </w:r>
      <w:r w:rsidR="004F0655">
        <w:rPr>
          <w:rFonts w:eastAsiaTheme="minorEastAsia"/>
          <w:lang w:eastAsia="zh-CN"/>
        </w:rPr>
        <w:t xml:space="preserve"> </w:t>
      </w:r>
      <w:r w:rsidR="00C53ECC">
        <w:rPr>
          <w:rFonts w:eastAsiaTheme="minorEastAsia"/>
          <w:lang w:eastAsia="zh-CN"/>
        </w:rPr>
        <w:t xml:space="preserve">Although such feature is still under discussion in RAN and SA WGs, it is </w:t>
      </w:r>
      <w:r>
        <w:rPr>
          <w:rFonts w:eastAsiaTheme="minorEastAsia"/>
          <w:lang w:eastAsia="zh-CN"/>
        </w:rPr>
        <w:t xml:space="preserve">possible that different PLMNs may have different decisions of enabling RRC Inactive reception for MBS. Then it is questionable (or at least needs the confirmation of RAN WGs) that whether </w:t>
      </w:r>
      <w:r w:rsidR="00804659">
        <w:rPr>
          <w:rFonts w:eastAsiaTheme="minorEastAsia"/>
          <w:lang w:eastAsia="zh-CN"/>
        </w:rPr>
        <w:t xml:space="preserve">the "sharing" target can still be achieved in that case. </w:t>
      </w:r>
    </w:p>
    <w:p w14:paraId="7E8A3857" w14:textId="77777777" w:rsidR="00BD387D" w:rsidRDefault="00BD387D" w:rsidP="00BD387D">
      <w:pPr>
        <w:pStyle w:val="1"/>
        <w:rPr>
          <w:lang w:eastAsia="zh-CN"/>
        </w:rPr>
      </w:pPr>
      <w:r>
        <w:rPr>
          <w:lang w:eastAsia="zh-CN"/>
        </w:rPr>
        <w:t>3. Conclusion and proposal(s)</w:t>
      </w:r>
    </w:p>
    <w:p w14:paraId="17A05526" w14:textId="20119AAE" w:rsidR="00BD387D" w:rsidRDefault="006E4FAC" w:rsidP="00BD387D">
      <w:pPr>
        <w:rPr>
          <w:rFonts w:eastAsiaTheme="minorEastAsia"/>
          <w:lang w:eastAsia="zh-CN"/>
        </w:rPr>
      </w:pPr>
      <w:r>
        <w:rPr>
          <w:rFonts w:eastAsiaTheme="minorEastAsia" w:hint="eastAsia"/>
          <w:lang w:eastAsia="zh-CN"/>
        </w:rPr>
        <w:t>Based on the analyses mentioned above, it is proposed to adopt following proposal(</w:t>
      </w:r>
      <w:r>
        <w:rPr>
          <w:rFonts w:eastAsiaTheme="minorEastAsia"/>
          <w:lang w:eastAsia="zh-CN"/>
        </w:rPr>
        <w:t>s</w:t>
      </w:r>
      <w:r>
        <w:rPr>
          <w:rFonts w:eastAsiaTheme="minorEastAsia" w:hint="eastAsia"/>
          <w:lang w:eastAsia="zh-CN"/>
        </w:rPr>
        <w:t>)</w:t>
      </w:r>
      <w:r>
        <w:rPr>
          <w:rFonts w:eastAsiaTheme="minorEastAsia"/>
          <w:lang w:eastAsia="zh-CN"/>
        </w:rPr>
        <w:t>:</w:t>
      </w:r>
    </w:p>
    <w:p w14:paraId="02F203A0" w14:textId="4C6B2A3F" w:rsidR="00CA089A" w:rsidRPr="00ED7DB4" w:rsidRDefault="006E4FAC" w:rsidP="00ED7DB4">
      <w:pPr>
        <w:rPr>
          <w:rFonts w:eastAsiaTheme="minorEastAsia" w:cs="Arial"/>
          <w:color w:val="FF0000"/>
          <w:sz w:val="28"/>
          <w:szCs w:val="28"/>
          <w:lang w:eastAsia="zh-CN"/>
        </w:rPr>
      </w:pPr>
      <w:r w:rsidRPr="006E4FAC">
        <w:rPr>
          <w:rFonts w:eastAsiaTheme="minorEastAsia"/>
          <w:b/>
          <w:lang w:eastAsia="zh-CN"/>
        </w:rPr>
        <w:t>Proposal 1</w:t>
      </w:r>
      <w:r>
        <w:rPr>
          <w:rFonts w:eastAsiaTheme="minorEastAsia"/>
          <w:lang w:eastAsia="zh-CN"/>
        </w:rPr>
        <w:t xml:space="preserve">: </w:t>
      </w:r>
      <w:r w:rsidR="0073702A">
        <w:rPr>
          <w:rFonts w:eastAsiaTheme="minorEastAsia"/>
          <w:lang w:eastAsia="zh-CN"/>
        </w:rPr>
        <w:t xml:space="preserve">Not pursuing to support </w:t>
      </w:r>
      <w:r w:rsidR="0073702A">
        <w:rPr>
          <w:rFonts w:eastAsia="MS Mincho"/>
        </w:rPr>
        <w:t>RAN sharing scenario for multicast service in Rel-18 study phase.</w:t>
      </w:r>
    </w:p>
    <w:sectPr w:rsidR="00CA089A" w:rsidRPr="00ED7D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014539" w16cid:durableId="26CE0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35077" w14:textId="77777777" w:rsidR="0093696D" w:rsidRDefault="0093696D">
      <w:r>
        <w:separator/>
      </w:r>
    </w:p>
    <w:p w14:paraId="49F2D506" w14:textId="77777777" w:rsidR="0093696D" w:rsidRDefault="0093696D"/>
  </w:endnote>
  <w:endnote w:type="continuationSeparator" w:id="0">
    <w:p w14:paraId="3B820DF9" w14:textId="77777777" w:rsidR="0093696D" w:rsidRDefault="0093696D">
      <w:r>
        <w:continuationSeparator/>
      </w:r>
    </w:p>
    <w:p w14:paraId="075ED25E" w14:textId="77777777" w:rsidR="0093696D" w:rsidRDefault="00936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D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3FA0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EB4EC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BAC9D" w14:textId="77777777" w:rsidR="0093696D" w:rsidRDefault="0093696D">
      <w:r>
        <w:separator/>
      </w:r>
    </w:p>
    <w:p w14:paraId="4F09DA67" w14:textId="77777777" w:rsidR="0093696D" w:rsidRDefault="0093696D"/>
  </w:footnote>
  <w:footnote w:type="continuationSeparator" w:id="0">
    <w:p w14:paraId="20B0B25C" w14:textId="77777777" w:rsidR="0093696D" w:rsidRDefault="0093696D">
      <w:r>
        <w:continuationSeparator/>
      </w:r>
    </w:p>
    <w:p w14:paraId="35B73549" w14:textId="77777777" w:rsidR="0093696D" w:rsidRDefault="009369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EEDE" w14:textId="77777777" w:rsidR="006F5DD0" w:rsidRDefault="006F5DD0"/>
  <w:p w14:paraId="7A18A4E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6C1E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891A1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696D">
      <w:rPr>
        <w:rFonts w:ascii="Arial" w:hAnsi="Arial" w:cs="Arial"/>
        <w:b/>
        <w:bCs/>
        <w:noProof/>
        <w:sz w:val="18"/>
        <w:lang w:val="fr-FR"/>
      </w:rPr>
      <w:t>1</w:t>
    </w:r>
    <w:r>
      <w:rPr>
        <w:rFonts w:ascii="Arial" w:hAnsi="Arial" w:cs="Arial"/>
        <w:b/>
        <w:bCs/>
        <w:sz w:val="18"/>
      </w:rPr>
      <w:fldChar w:fldCharType="end"/>
    </w:r>
  </w:p>
  <w:p w14:paraId="58BB1B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864CA"/>
    <w:multiLevelType w:val="hybridMultilevel"/>
    <w:tmpl w:val="D2629262"/>
    <w:lvl w:ilvl="0" w:tplc="1DC0B71C">
      <w:start w:val="1"/>
      <w:numFmt w:val="bullet"/>
      <w:lvlText w:val=""/>
      <w:lvlJc w:val="left"/>
      <w:pPr>
        <w:tabs>
          <w:tab w:val="num" w:pos="720"/>
        </w:tabs>
        <w:ind w:left="720" w:hanging="360"/>
      </w:pPr>
      <w:rPr>
        <w:rFonts w:ascii="Wingdings" w:hAnsi="Wingdings" w:hint="default"/>
      </w:rPr>
    </w:lvl>
    <w:lvl w:ilvl="1" w:tplc="1A302078" w:tentative="1">
      <w:start w:val="1"/>
      <w:numFmt w:val="bullet"/>
      <w:lvlText w:val=""/>
      <w:lvlJc w:val="left"/>
      <w:pPr>
        <w:tabs>
          <w:tab w:val="num" w:pos="1440"/>
        </w:tabs>
        <w:ind w:left="1440" w:hanging="360"/>
      </w:pPr>
      <w:rPr>
        <w:rFonts w:ascii="Wingdings" w:hAnsi="Wingdings" w:hint="default"/>
      </w:rPr>
    </w:lvl>
    <w:lvl w:ilvl="2" w:tplc="1E1EAAE4" w:tentative="1">
      <w:start w:val="1"/>
      <w:numFmt w:val="bullet"/>
      <w:lvlText w:val=""/>
      <w:lvlJc w:val="left"/>
      <w:pPr>
        <w:tabs>
          <w:tab w:val="num" w:pos="2160"/>
        </w:tabs>
        <w:ind w:left="2160" w:hanging="360"/>
      </w:pPr>
      <w:rPr>
        <w:rFonts w:ascii="Wingdings" w:hAnsi="Wingdings" w:hint="default"/>
      </w:rPr>
    </w:lvl>
    <w:lvl w:ilvl="3" w:tplc="8820B944" w:tentative="1">
      <w:start w:val="1"/>
      <w:numFmt w:val="bullet"/>
      <w:lvlText w:val=""/>
      <w:lvlJc w:val="left"/>
      <w:pPr>
        <w:tabs>
          <w:tab w:val="num" w:pos="2880"/>
        </w:tabs>
        <w:ind w:left="2880" w:hanging="360"/>
      </w:pPr>
      <w:rPr>
        <w:rFonts w:ascii="Wingdings" w:hAnsi="Wingdings" w:hint="default"/>
      </w:rPr>
    </w:lvl>
    <w:lvl w:ilvl="4" w:tplc="0F5A61A6" w:tentative="1">
      <w:start w:val="1"/>
      <w:numFmt w:val="bullet"/>
      <w:lvlText w:val=""/>
      <w:lvlJc w:val="left"/>
      <w:pPr>
        <w:tabs>
          <w:tab w:val="num" w:pos="3600"/>
        </w:tabs>
        <w:ind w:left="3600" w:hanging="360"/>
      </w:pPr>
      <w:rPr>
        <w:rFonts w:ascii="Wingdings" w:hAnsi="Wingdings" w:hint="default"/>
      </w:rPr>
    </w:lvl>
    <w:lvl w:ilvl="5" w:tplc="A3A0A724" w:tentative="1">
      <w:start w:val="1"/>
      <w:numFmt w:val="bullet"/>
      <w:lvlText w:val=""/>
      <w:lvlJc w:val="left"/>
      <w:pPr>
        <w:tabs>
          <w:tab w:val="num" w:pos="4320"/>
        </w:tabs>
        <w:ind w:left="4320" w:hanging="360"/>
      </w:pPr>
      <w:rPr>
        <w:rFonts w:ascii="Wingdings" w:hAnsi="Wingdings" w:hint="default"/>
      </w:rPr>
    </w:lvl>
    <w:lvl w:ilvl="6" w:tplc="7870CF84" w:tentative="1">
      <w:start w:val="1"/>
      <w:numFmt w:val="bullet"/>
      <w:lvlText w:val=""/>
      <w:lvlJc w:val="left"/>
      <w:pPr>
        <w:tabs>
          <w:tab w:val="num" w:pos="5040"/>
        </w:tabs>
        <w:ind w:left="5040" w:hanging="360"/>
      </w:pPr>
      <w:rPr>
        <w:rFonts w:ascii="Wingdings" w:hAnsi="Wingdings" w:hint="default"/>
      </w:rPr>
    </w:lvl>
    <w:lvl w:ilvl="7" w:tplc="B7FA9B0A" w:tentative="1">
      <w:start w:val="1"/>
      <w:numFmt w:val="bullet"/>
      <w:lvlText w:val=""/>
      <w:lvlJc w:val="left"/>
      <w:pPr>
        <w:tabs>
          <w:tab w:val="num" w:pos="5760"/>
        </w:tabs>
        <w:ind w:left="5760" w:hanging="360"/>
      </w:pPr>
      <w:rPr>
        <w:rFonts w:ascii="Wingdings" w:hAnsi="Wingdings" w:hint="default"/>
      </w:rPr>
    </w:lvl>
    <w:lvl w:ilvl="8" w:tplc="7E4003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F151F"/>
    <w:multiLevelType w:val="hybridMultilevel"/>
    <w:tmpl w:val="FF504A1E"/>
    <w:lvl w:ilvl="0" w:tplc="4094E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B3984"/>
    <w:multiLevelType w:val="hybridMultilevel"/>
    <w:tmpl w:val="6AA22958"/>
    <w:lvl w:ilvl="0" w:tplc="56A220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2"/>
  </w:num>
  <w:num w:numId="17">
    <w:abstractNumId w:val="3"/>
  </w:num>
  <w:num w:numId="1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10F7"/>
    <w:rsid w:val="000715FC"/>
    <w:rsid w:val="00071CC8"/>
    <w:rsid w:val="00071FAE"/>
    <w:rsid w:val="00073048"/>
    <w:rsid w:val="0007338E"/>
    <w:rsid w:val="00073BD4"/>
    <w:rsid w:val="00074480"/>
    <w:rsid w:val="0007536B"/>
    <w:rsid w:val="00075D9C"/>
    <w:rsid w:val="00076BEC"/>
    <w:rsid w:val="00080FB4"/>
    <w:rsid w:val="0008116D"/>
    <w:rsid w:val="000830D4"/>
    <w:rsid w:val="00084E41"/>
    <w:rsid w:val="0008565B"/>
    <w:rsid w:val="00085FC7"/>
    <w:rsid w:val="0008616F"/>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68"/>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386"/>
    <w:rsid w:val="002F702C"/>
    <w:rsid w:val="002F7117"/>
    <w:rsid w:val="002F7A8F"/>
    <w:rsid w:val="002F7F76"/>
    <w:rsid w:val="0030069C"/>
    <w:rsid w:val="00301264"/>
    <w:rsid w:val="0030127B"/>
    <w:rsid w:val="00301754"/>
    <w:rsid w:val="003034B2"/>
    <w:rsid w:val="00305F20"/>
    <w:rsid w:val="00310B0A"/>
    <w:rsid w:val="0031175D"/>
    <w:rsid w:val="00312459"/>
    <w:rsid w:val="00312E2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29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5D5"/>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BD"/>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3D4A"/>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22"/>
    <w:rsid w:val="0056459E"/>
    <w:rsid w:val="005657E5"/>
    <w:rsid w:val="00566A66"/>
    <w:rsid w:val="00567045"/>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983"/>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173F"/>
    <w:rsid w:val="006E2754"/>
    <w:rsid w:val="006E3C16"/>
    <w:rsid w:val="006E4A64"/>
    <w:rsid w:val="006E4CC6"/>
    <w:rsid w:val="006E4FAC"/>
    <w:rsid w:val="006E5A15"/>
    <w:rsid w:val="006E64AD"/>
    <w:rsid w:val="006E6E00"/>
    <w:rsid w:val="006E7E2E"/>
    <w:rsid w:val="006F0412"/>
    <w:rsid w:val="006F0544"/>
    <w:rsid w:val="006F2BEF"/>
    <w:rsid w:val="006F2E66"/>
    <w:rsid w:val="006F383F"/>
    <w:rsid w:val="006F4568"/>
    <w:rsid w:val="006F4C4E"/>
    <w:rsid w:val="006F4C5E"/>
    <w:rsid w:val="006F4D8E"/>
    <w:rsid w:val="006F5DD0"/>
    <w:rsid w:val="006F6482"/>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5B8"/>
    <w:rsid w:val="007D3431"/>
    <w:rsid w:val="007D3C8C"/>
    <w:rsid w:val="007D4832"/>
    <w:rsid w:val="007D4A0E"/>
    <w:rsid w:val="007D572B"/>
    <w:rsid w:val="007E00BC"/>
    <w:rsid w:val="007E21DF"/>
    <w:rsid w:val="007E49AA"/>
    <w:rsid w:val="007E5287"/>
    <w:rsid w:val="007E605A"/>
    <w:rsid w:val="007E688E"/>
    <w:rsid w:val="007E69CC"/>
    <w:rsid w:val="007E6FB0"/>
    <w:rsid w:val="007F0D82"/>
    <w:rsid w:val="007F0DCB"/>
    <w:rsid w:val="007F1E68"/>
    <w:rsid w:val="007F1EE0"/>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E74"/>
    <w:rsid w:val="008103FE"/>
    <w:rsid w:val="00810CF2"/>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F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2C98"/>
    <w:rsid w:val="008E3D19"/>
    <w:rsid w:val="008E5B2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96D"/>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18"/>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47"/>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70F"/>
    <w:rsid w:val="00B3593E"/>
    <w:rsid w:val="00B367F4"/>
    <w:rsid w:val="00B369A9"/>
    <w:rsid w:val="00B37C46"/>
    <w:rsid w:val="00B401EF"/>
    <w:rsid w:val="00B41DDA"/>
    <w:rsid w:val="00B435BF"/>
    <w:rsid w:val="00B438A2"/>
    <w:rsid w:val="00B444C8"/>
    <w:rsid w:val="00B44D6F"/>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5D"/>
    <w:rsid w:val="00B7146B"/>
    <w:rsid w:val="00B71831"/>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7A6"/>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7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8C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2F61"/>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A5"/>
    <w:rsid w:val="00CD6F50"/>
    <w:rsid w:val="00CD7843"/>
    <w:rsid w:val="00CD799D"/>
    <w:rsid w:val="00CE034E"/>
    <w:rsid w:val="00CE0AE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7"/>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B"/>
    <w:rsid w:val="00ED4E38"/>
    <w:rsid w:val="00ED5DA1"/>
    <w:rsid w:val="00ED7515"/>
    <w:rsid w:val="00ED7DB4"/>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E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8DE"/>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6259"/>
    <w:rsid w:val="00F767C3"/>
    <w:rsid w:val="00F77118"/>
    <w:rsid w:val="00F80E63"/>
    <w:rsid w:val="00F8116D"/>
    <w:rsid w:val="00F81180"/>
    <w:rsid w:val="00F82967"/>
    <w:rsid w:val="00F84102"/>
    <w:rsid w:val="00F84248"/>
    <w:rsid w:val="00F8481F"/>
    <w:rsid w:val="00F84F64"/>
    <w:rsid w:val="00F85923"/>
    <w:rsid w:val="00F861C4"/>
    <w:rsid w:val="00F877DB"/>
    <w:rsid w:val="00F87896"/>
    <w:rsid w:val="00F901CA"/>
    <w:rsid w:val="00F90AD9"/>
    <w:rsid w:val="00F910F4"/>
    <w:rsid w:val="00F92BD5"/>
    <w:rsid w:val="00F934BB"/>
    <w:rsid w:val="00F93893"/>
    <w:rsid w:val="00F950EB"/>
    <w:rsid w:val="00F977B3"/>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05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4338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56693">
      <w:bodyDiv w:val="1"/>
      <w:marLeft w:val="0"/>
      <w:marRight w:val="0"/>
      <w:marTop w:val="0"/>
      <w:marBottom w:val="0"/>
      <w:divBdr>
        <w:top w:val="none" w:sz="0" w:space="0" w:color="auto"/>
        <w:left w:val="none" w:sz="0" w:space="0" w:color="auto"/>
        <w:bottom w:val="none" w:sz="0" w:space="0" w:color="auto"/>
        <w:right w:val="none" w:sz="0" w:space="0" w:color="auto"/>
      </w:divBdr>
      <w:divsChild>
        <w:div w:id="1355840764">
          <w:marLeft w:val="403"/>
          <w:marRight w:val="0"/>
          <w:marTop w:val="0"/>
          <w:marBottom w:val="0"/>
          <w:divBdr>
            <w:top w:val="none" w:sz="0" w:space="0" w:color="auto"/>
            <w:left w:val="none" w:sz="0" w:space="0" w:color="auto"/>
            <w:bottom w:val="none" w:sz="0" w:space="0" w:color="auto"/>
            <w:right w:val="none" w:sz="0" w:space="0" w:color="auto"/>
          </w:divBdr>
        </w:div>
        <w:div w:id="388000873">
          <w:marLeft w:val="403"/>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4E0EE7D-7A31-4C31-BC0B-C2A0BED2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4267</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Discussion</vt:lpstr>
      <vt:lpstr>        2.1	Issue of sequence number</vt:lpstr>
      <vt:lpstr>        2.2	Issue of session activation and deactivation</vt:lpstr>
      <vt:lpstr>        2.3	Compatibility to other Rel-18 MBS features</vt:lpstr>
      <vt:lpstr>3. Conclusion and proposal(s)</vt:lpstr>
      <vt:lpstr/>
    </vt:vector>
  </TitlesOfParts>
  <Company>Huawei</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2022-09-30T10:08:00Z</dcterms:created>
  <dcterms:modified xsi:type="dcterms:W3CDTF">2022-09-30T10:18:00Z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(3)E9F059dxSH2MqjoAL8mPZq/1or1hzxJNlwHTYVYDGL7I7Rubvc+Elm1JVVUIy+sYLWwx4/5g
N74f+WbrlYBlVmBOv3GWdd6BtnytaNxQsLezU5aruhs3QhHl5CQFoPhfE4Pg3kplr9jklvfW
tHS3bBGvdx3tKothGlFlooEUYSr72iIDOEnCsUOqyj0aSx1G7y5s72mmXftIZCmhOlVdFBbz
aV5ZMOLdcglhRC5NWH</vt:lpwstr>
  </property>
  <property fmtid="{D5CDD505-2E9C-101B-9397-08002B2CF9AE}" pid="9" name="_2015_ms_pID_7253431">
    <vt:lpwstr>OCgrlqd+7Y4LOjBbwewZRw3+lwrF1w/pjd4DTxNs4gr2PO0HrDUOyY
WefAGUUH/yicITuB4ZVWPtmueCctiS10pSaWgwxaori0P7yvmdSwTxCGCpsaNmjKJJiHsSeO
3XnYDfnpN0rXTDhge0nUChVyQE+JjlhEktNBeSsFkQyAmTh9jgmv7Bm4DnrBHoGTaKE3txWa
AGvwiJaAWRZ2lc5csnY+2FYthm5raUPD1Rkc</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