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2B53D2">
        <w:rPr>
          <w:rFonts w:eastAsia="Arial Unicode MS" w:cs="Arial"/>
          <w:bCs/>
          <w:sz w:val="24"/>
          <w:lang w:eastAsia="zh-CN"/>
        </w:rPr>
        <w:t>2</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573053">
        <w:rPr>
          <w:rFonts w:eastAsia="Arial Unicode MS" w:cs="Arial"/>
          <w:bCs/>
          <w:sz w:val="24"/>
          <w:lang w:eastAsia="zh-CN"/>
        </w:rPr>
        <w:t>xxxx</w:t>
      </w:r>
    </w:p>
    <w:p w:rsidR="001E41F3" w:rsidRDefault="0038268B" w:rsidP="000A343D">
      <w:pPr>
        <w:pStyle w:val="CRCoverPage"/>
        <w:outlineLvl w:val="0"/>
        <w:rPr>
          <w:b/>
          <w:noProof/>
          <w:sz w:val="24"/>
          <w:lang w:eastAsia="zh-CN"/>
        </w:rPr>
      </w:pPr>
      <w:r w:rsidRPr="00C64533">
        <w:rPr>
          <w:rFonts w:eastAsia="Arial Unicode MS" w:cs="Arial"/>
          <w:b/>
          <w:bCs/>
          <w:noProof/>
          <w:sz w:val="24"/>
        </w:rPr>
        <w:t xml:space="preserve">17 – 26 </w:t>
      </w:r>
      <w:r w:rsidRPr="00C64533">
        <w:rPr>
          <w:rFonts w:eastAsia="Arial Unicode MS" w:cs="Arial" w:hint="eastAsia"/>
          <w:b/>
          <w:bCs/>
          <w:noProof/>
          <w:sz w:val="24"/>
        </w:rPr>
        <w:t>A</w:t>
      </w:r>
      <w:r w:rsidRPr="00C64533">
        <w:rPr>
          <w:rFonts w:eastAsia="Arial Unicode MS" w:cs="Arial"/>
          <w:b/>
          <w:bCs/>
          <w:noProof/>
          <w:sz w:val="24"/>
        </w:rPr>
        <w:t>ugust, 202</w:t>
      </w:r>
      <w:r w:rsidRPr="00C64533">
        <w:rPr>
          <w:rFonts w:eastAsia="Arial Unicode MS" w:cs="Arial" w:hint="eastAsia"/>
          <w:b/>
          <w:bCs/>
          <w:noProof/>
          <w:sz w:val="24"/>
        </w:rPr>
        <w:t>2</w:t>
      </w:r>
      <w:r w:rsidRPr="00C64533">
        <w:rPr>
          <w:rFonts w:eastAsia="Arial Unicode MS" w:cs="Arial"/>
          <w:b/>
          <w:bCs/>
          <w:noProof/>
          <w:sz w:val="24"/>
        </w:rPr>
        <w:t xml:space="preserve">, Electronic meeting </w:t>
      </w:r>
      <w:r>
        <w:rPr>
          <w:b/>
          <w:noProof/>
          <w:sz w:val="24"/>
        </w:rPr>
        <w:t xml:space="preserve">                                       </w:t>
      </w:r>
      <w:r w:rsidRPr="00F76B76">
        <w:rPr>
          <w:rFonts w:cs="Arial"/>
          <w:b/>
          <w:bCs/>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-220</w:t>
      </w:r>
      <w:r w:rsidR="00573053">
        <w:rPr>
          <w:rFonts w:cs="Arial"/>
          <w:b/>
          <w:bCs/>
          <w:color w:val="0000FF"/>
          <w:lang w:eastAsia="zh-CN"/>
        </w:rPr>
        <w:t>5563</w:t>
      </w:r>
      <w:r>
        <w:rPr>
          <w:rFonts w:cs="Arial"/>
          <w:b/>
          <w:bCs/>
          <w:color w:val="0000FF"/>
          <w:lang w:eastAsia="zh-CN"/>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527AA" w:rsidP="007527AA">
            <w:pPr>
              <w:pStyle w:val="CRCoverPage"/>
              <w:spacing w:after="0"/>
              <w:jc w:val="center"/>
              <w:rPr>
                <w:noProof/>
                <w:lang w:eastAsia="zh-CN"/>
              </w:rPr>
            </w:pPr>
            <w:bookmarkStart w:id="0" w:name="_GoBack"/>
            <w:bookmarkEnd w:id="0"/>
            <w:r>
              <w:rPr>
                <w:b/>
                <w:noProof/>
                <w:sz w:val="32"/>
                <w:lang w:eastAsia="zh-CN"/>
              </w:rPr>
              <w:t>36</w:t>
            </w:r>
            <w:r>
              <w:rPr>
                <w:b/>
                <w:noProof/>
                <w:sz w:val="32"/>
                <w:lang w:eastAsia="zh-CN"/>
              </w:rPr>
              <w:t>36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73053" w:rsidP="00F6214A">
            <w:pPr>
              <w:pStyle w:val="CRCoverPage"/>
              <w:spacing w:after="0"/>
              <w:jc w:val="center"/>
              <w:rPr>
                <w:b/>
                <w:noProof/>
                <w:lang w:eastAsia="zh-CN"/>
              </w:rPr>
            </w:pPr>
            <w:r>
              <w:rPr>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FA1BEA">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FA1BEA">
              <w:rPr>
                <w:b/>
                <w:noProof/>
                <w:sz w:val="32"/>
                <w:lang w:eastAsia="zh-CN"/>
              </w:rPr>
              <w:t>5</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F6F" w:rsidP="004173BF">
            <w:pPr>
              <w:pStyle w:val="CRCoverPage"/>
              <w:spacing w:after="0"/>
              <w:ind w:left="100"/>
              <w:rPr>
                <w:noProof/>
                <w:lang w:eastAsia="zh-CN"/>
              </w:rPr>
            </w:pPr>
            <w:r>
              <w:rPr>
                <w:noProof/>
                <w:lang w:eastAsia="zh-CN"/>
              </w:rPr>
              <w:t xml:space="preserve">Miscellaneous changes on </w:t>
            </w:r>
            <w:r w:rsidR="00AC546D" w:rsidRPr="00DA3BBC">
              <w:t>Distribution of gPTP Sync and Follow_Up messages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D6E" w:rsidP="00FA1BEA">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FA1BEA">
              <w:rPr>
                <w:noProof/>
                <w:lang w:eastAsia="zh-CN"/>
              </w:rPr>
              <w:t>7</w:t>
            </w:r>
            <w:r w:rsidR="00D24991">
              <w:rPr>
                <w:noProof/>
              </w:rPr>
              <w:t>-</w:t>
            </w:r>
            <w:r>
              <w:rPr>
                <w:noProof/>
              </w:rPr>
              <w:fldChar w:fldCharType="end"/>
            </w:r>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0D6E"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C546D">
        <w:trPr>
          <w:trHeight w:val="1341"/>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1D6" w:rsidRDefault="00573053" w:rsidP="00AC546D">
            <w:pPr>
              <w:pStyle w:val="CRCoverPage"/>
              <w:numPr>
                <w:ilvl w:val="0"/>
                <w:numId w:val="9"/>
              </w:numPr>
              <w:tabs>
                <w:tab w:val="left" w:pos="2626"/>
              </w:tabs>
              <w:spacing w:after="0"/>
              <w:rPr>
                <w:lang w:eastAsia="x-none"/>
              </w:rPr>
            </w:pPr>
            <w:r w:rsidRPr="00573053">
              <w:rPr>
                <w:rFonts w:hint="eastAsia"/>
                <w:lang w:eastAsia="x-none"/>
              </w:rPr>
              <w:t>The DS-TT does not always have a port in Leader state.</w:t>
            </w:r>
            <w:r>
              <w:rPr>
                <w:lang w:eastAsia="x-none"/>
              </w:rPr>
              <w:t xml:space="preserve"> Moreover,</w:t>
            </w:r>
            <w:r w:rsidRPr="00573053">
              <w:rPr>
                <w:rFonts w:hint="eastAsia"/>
                <w:lang w:eastAsia="x-none"/>
              </w:rPr>
              <w:t xml:space="preserve"> NW-TT only has the state information of next hop </w:t>
            </w:r>
            <w:r>
              <w:rPr>
                <w:lang w:eastAsia="x-none"/>
              </w:rPr>
              <w:t>and</w:t>
            </w:r>
            <w:r w:rsidRPr="00573053">
              <w:rPr>
                <w:rFonts w:hint="eastAsia"/>
                <w:lang w:eastAsia="x-none"/>
              </w:rPr>
              <w:t xml:space="preserve"> has no the information regarding whether or not the DS-TT has the port in Leader state</w:t>
            </w:r>
            <w:r>
              <w:rPr>
                <w:lang w:eastAsia="x-none"/>
              </w:rPr>
              <w:t xml:space="preserve"> if the </w:t>
            </w:r>
            <w:r w:rsidRPr="00573053">
              <w:rPr>
                <w:rFonts w:hint="eastAsia"/>
                <w:lang w:eastAsia="x-none"/>
              </w:rPr>
              <w:t>time-synchronization spanning tree</w:t>
            </w:r>
            <w:r>
              <w:rPr>
                <w:lang w:eastAsia="x-none"/>
              </w:rPr>
              <w:t xml:space="preserve"> is established by local configuration or BMCA procedure</w:t>
            </w:r>
            <w:r w:rsidRPr="00573053">
              <w:rPr>
                <w:rFonts w:hint="eastAsia"/>
                <w:lang w:eastAsia="x-none"/>
              </w:rPr>
              <w:t>.</w:t>
            </w:r>
          </w:p>
          <w:p w:rsidR="003B5643" w:rsidRPr="00A0326C" w:rsidRDefault="003B5643" w:rsidP="00AC546D">
            <w:pPr>
              <w:pStyle w:val="CRCoverPage"/>
              <w:numPr>
                <w:ilvl w:val="0"/>
                <w:numId w:val="9"/>
              </w:numPr>
              <w:tabs>
                <w:tab w:val="left" w:pos="2626"/>
              </w:tabs>
              <w:spacing w:after="0"/>
              <w:rPr>
                <w:lang w:eastAsia="x-none"/>
              </w:rPr>
            </w:pPr>
            <w:r>
              <w:rPr>
                <w:lang w:eastAsia="x-none"/>
              </w:rPr>
              <w:t>The reference of “Passive state”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1A8F" w:rsidRDefault="003B5643" w:rsidP="00751A8F">
            <w:pPr>
              <w:pStyle w:val="CRCoverPage"/>
              <w:numPr>
                <w:ilvl w:val="0"/>
                <w:numId w:val="10"/>
              </w:numPr>
              <w:spacing w:after="0"/>
              <w:rPr>
                <w:noProof/>
                <w:lang w:eastAsia="zh-CN"/>
              </w:rPr>
            </w:pPr>
            <w:r>
              <w:t xml:space="preserve">Change the DS-TT(s) </w:t>
            </w:r>
            <w:r w:rsidR="00573053">
              <w:t>in Leader state into the DS-TT(s) in Follower state</w:t>
            </w:r>
            <w:r>
              <w:t>.</w:t>
            </w:r>
          </w:p>
          <w:p w:rsidR="003B5643" w:rsidRDefault="003B5643" w:rsidP="00751A8F">
            <w:pPr>
              <w:pStyle w:val="CRCoverPage"/>
              <w:numPr>
                <w:ilvl w:val="0"/>
                <w:numId w:val="10"/>
              </w:numPr>
              <w:spacing w:after="0"/>
              <w:rPr>
                <w:noProof/>
                <w:lang w:eastAsia="zh-CN"/>
              </w:rPr>
            </w:pPr>
            <w:r>
              <w:rPr>
                <w:noProof/>
                <w:lang w:eastAsia="zh-CN"/>
              </w:rPr>
              <w:t>Add the reference to “Passive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5643" w:rsidRDefault="0050166E" w:rsidP="00573053">
            <w:pPr>
              <w:pStyle w:val="CRCoverPage"/>
              <w:numPr>
                <w:ilvl w:val="0"/>
                <w:numId w:val="11"/>
              </w:numPr>
              <w:spacing w:after="0"/>
              <w:rPr>
                <w:noProof/>
                <w:lang w:eastAsia="zh-CN"/>
              </w:rPr>
            </w:pPr>
            <w:r>
              <w:t xml:space="preserve"> </w:t>
            </w:r>
            <w:r w:rsidR="003B5643">
              <w:t>It is misleading and incorrect if it is said that “</w:t>
            </w:r>
            <w:r w:rsidR="00573053" w:rsidRPr="001B7C50">
              <w:rPr>
                <w:lang w:eastAsia="x-none"/>
              </w:rPr>
              <w:t>The UPF/NW-TT then forwards the gPTP message from TSN network to the PTP ports in DS-TT(s) in Leader state within this PTP instance via PDU sessions terminating in this UPF that the UEs have established to the TSN network.</w:t>
            </w:r>
            <w:r w:rsidR="003B5643">
              <w:rPr>
                <w:lang w:eastAsia="x-none"/>
              </w:rPr>
              <w:t>”</w:t>
            </w:r>
            <w:r w:rsidR="00573053">
              <w:rPr>
                <w:lang w:eastAsia="x-none"/>
              </w:rPr>
              <w:t xml:space="preserve"> .</w:t>
            </w:r>
          </w:p>
          <w:p w:rsidR="0050166E" w:rsidRDefault="003B5643" w:rsidP="003B5643">
            <w:pPr>
              <w:pStyle w:val="CRCoverPage"/>
              <w:numPr>
                <w:ilvl w:val="0"/>
                <w:numId w:val="11"/>
              </w:numPr>
              <w:spacing w:after="0"/>
              <w:rPr>
                <w:noProof/>
                <w:lang w:eastAsia="zh-CN"/>
              </w:rPr>
            </w:pPr>
            <w:r>
              <w:t xml:space="preserve">Missing the reference.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3B5643">
            <w:pPr>
              <w:pStyle w:val="CRCoverPage"/>
              <w:spacing w:after="0"/>
              <w:ind w:left="100"/>
              <w:rPr>
                <w:noProof/>
                <w:lang w:eastAsia="zh-CN"/>
              </w:rPr>
            </w:pPr>
            <w:r>
              <w:rPr>
                <w:noProof/>
                <w:lang w:eastAsia="zh-CN"/>
              </w:rPr>
              <w:t>5.27.1.</w:t>
            </w:r>
            <w:r w:rsidR="003B5643">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FA1BEA" w:rsidRPr="001B7C50" w:rsidRDefault="00FA1BEA" w:rsidP="00FA1BEA">
      <w:pPr>
        <w:pStyle w:val="H6"/>
      </w:pPr>
      <w:r w:rsidRPr="001B7C50">
        <w:t>5.27.1.2.2.1</w:t>
      </w:r>
      <w:r w:rsidRPr="001B7C50">
        <w:tab/>
        <w:t>Distribution of gPTP Sync and Follow_Up messages</w:t>
      </w:r>
    </w:p>
    <w:p w:rsidR="00FA1BEA" w:rsidRPr="001B7C50" w:rsidRDefault="00FA1BEA" w:rsidP="00FA1BEA">
      <w:pPr>
        <w:rPr>
          <w:lang w:eastAsia="x-none"/>
        </w:rPr>
      </w:pPr>
      <w:r w:rsidRPr="001B7C50">
        <w:rPr>
          <w:lang w:eastAsia="x-none"/>
        </w:rPr>
        <w:t>The mechanisms for distribution of TSN GM clock and time-stamping described in this clause are according to IEEE Std 802.1AS [104].</w:t>
      </w:r>
    </w:p>
    <w:p w:rsidR="00FA1BEA" w:rsidRPr="001B7C50" w:rsidRDefault="00FA1BEA" w:rsidP="00FA1BEA">
      <w:pPr>
        <w:pStyle w:val="NO"/>
      </w:pPr>
      <w:r w:rsidRPr="001B7C50">
        <w:t>NOTE 1:</w:t>
      </w:r>
      <w:r w:rsidRPr="001B7C50">
        <w:tab/>
        <w:t>It means Externally-observable behaviour of the 5GS bridge needs to comply with IEEE Std 802.1AS [104].</w:t>
      </w:r>
    </w:p>
    <w:p w:rsidR="00FA1BEA" w:rsidRPr="001B7C50" w:rsidRDefault="00FA1BEA" w:rsidP="00FA1BEA">
      <w:pPr>
        <w:rPr>
          <w:lang w:eastAsia="x-none"/>
        </w:rPr>
      </w:pPr>
      <w:r w:rsidRPr="001B7C50">
        <w:rPr>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rsidR="00FA1BEA" w:rsidRPr="001B7C50" w:rsidRDefault="00FA1BEA" w:rsidP="00FA1BEA">
      <w:pPr>
        <w:pStyle w:val="B1"/>
      </w:pPr>
      <w:r w:rsidRPr="001B7C50">
        <w:t>-</w:t>
      </w:r>
      <w:r w:rsidRPr="001B7C50">
        <w:tab/>
        <w:t>Adds the link delay from the upstream TSN node in TSN GM time to the correction field.</w:t>
      </w:r>
    </w:p>
    <w:p w:rsidR="00FA1BEA" w:rsidRPr="001B7C50" w:rsidRDefault="00FA1BEA" w:rsidP="00FA1BEA">
      <w:pPr>
        <w:pStyle w:val="B1"/>
      </w:pPr>
      <w:r w:rsidRPr="001B7C50">
        <w:t>-</w:t>
      </w:r>
      <w:r w:rsidRPr="001B7C50">
        <w:tab/>
        <w:t>Replaces the cumulative rateRatio received from the upstream TSN node with the new cumulative rateRatio.</w:t>
      </w:r>
    </w:p>
    <w:p w:rsidR="00FA1BEA" w:rsidRPr="001B7C50" w:rsidRDefault="00FA1BEA" w:rsidP="00FA1BEA">
      <w:pPr>
        <w:pStyle w:val="B1"/>
      </w:pPr>
      <w:r w:rsidRPr="001B7C50">
        <w:t>-</w:t>
      </w:r>
      <w:r w:rsidRPr="001B7C50">
        <w:tab/>
        <w:t>Adds TSi in the Suffix field of the gPTP packet as described in clause H.2.</w:t>
      </w:r>
    </w:p>
    <w:p w:rsidR="00FA1BEA" w:rsidRPr="001B7C50" w:rsidRDefault="00FA1BEA" w:rsidP="00FA1BEA">
      <w:pPr>
        <w:rPr>
          <w:lang w:eastAsia="x-none"/>
        </w:rPr>
      </w:pPr>
      <w:r w:rsidRPr="001B7C50">
        <w:rPr>
          <w:lang w:eastAsia="x-none"/>
        </w:rPr>
        <w:t xml:space="preserve">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w:t>
      </w:r>
      <w:del w:id="3" w:author="Scott Jiang (姜永)" w:date="2022-08-18T18:58:00Z">
        <w:r w:rsidRPr="001B7C50" w:rsidDel="00573053">
          <w:rPr>
            <w:lang w:eastAsia="x-none"/>
          </w:rPr>
          <w:delText xml:space="preserve">Leader </w:delText>
        </w:r>
      </w:del>
      <w:ins w:id="4" w:author="Scott Jiang (姜永)" w:date="2022-08-18T18:58:00Z">
        <w:r w:rsidR="00573053">
          <w:rPr>
            <w:lang w:eastAsia="x-none"/>
          </w:rPr>
          <w:t>Follower</w:t>
        </w:r>
        <w:r w:rsidR="00573053" w:rsidRPr="001B7C50">
          <w:rPr>
            <w:lang w:eastAsia="x-none"/>
          </w:rPr>
          <w:t xml:space="preserve"> </w:t>
        </w:r>
      </w:ins>
      <w:r w:rsidRPr="001B7C50">
        <w:rPr>
          <w:lang w:eastAsia="x-none"/>
        </w:rPr>
        <w:t>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rsidR="00FA1BEA" w:rsidRPr="001B7C50" w:rsidRDefault="00FA1BEA" w:rsidP="00FA1BEA">
      <w:pPr>
        <w:pStyle w:val="NO"/>
      </w:pPr>
      <w:r w:rsidRPr="001B7C50">
        <w:t>NOTE 2:</w:t>
      </w:r>
      <w:r w:rsidRPr="001B7C50">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rsidR="00FA1BEA" w:rsidRPr="001B7C50" w:rsidRDefault="00FA1BEA" w:rsidP="00FA1BEA">
      <w:pPr>
        <w:pStyle w:val="NO"/>
      </w:pPr>
      <w:r w:rsidRPr="001B7C50">
        <w:t>NOTE 3:</w:t>
      </w:r>
      <w:r w:rsidRPr="001B7C50">
        <w:tab/>
        <w:t>The sum of the UE-DS-TT residence time and the PDB of the QoS Flow needs to be lower than the residence time upper bound requirement for a time-aware system specified in IEEE Std 802.1AS [104] in the following cases:</w:t>
      </w:r>
    </w:p>
    <w:p w:rsidR="00FA1BEA" w:rsidRPr="001B7C50" w:rsidRDefault="00FA1BEA" w:rsidP="00FA1BEA">
      <w:pPr>
        <w:pStyle w:val="B4"/>
      </w:pPr>
      <w:r w:rsidRPr="001B7C50">
        <w:t>a)</w:t>
      </w:r>
      <w:r w:rsidRPr="001B7C50">
        <w:tab/>
        <w:t xml:space="preserve">If the PTP port in DS-TT is in Follower state and a PTP port in the NW-TT is in Leader state; or </w:t>
      </w:r>
    </w:p>
    <w:p w:rsidR="00FA1BEA" w:rsidRPr="001B7C50" w:rsidRDefault="00FA1BEA" w:rsidP="00FA1BEA">
      <w:pPr>
        <w:pStyle w:val="B4"/>
      </w:pPr>
      <w:r w:rsidRPr="001B7C50">
        <w:t>b)</w:t>
      </w:r>
      <w:r w:rsidRPr="001B7C50">
        <w:tab/>
        <w:t>a PTP port in DS-TT is in Leader state and a PTP port in NW-TT is in Follower state.</w:t>
      </w:r>
    </w:p>
    <w:p w:rsidR="00FA1BEA" w:rsidRPr="001B7C50" w:rsidRDefault="00FA1BEA" w:rsidP="00FA1BEA">
      <w:pPr>
        <w:pStyle w:val="NO"/>
      </w:pPr>
      <w:r w:rsidRPr="001B7C50">
        <w:t>NOTE 4:</w:t>
      </w:r>
      <w:r w:rsidRPr="001B7C50">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rsidR="00FA1BEA" w:rsidRPr="001B7C50" w:rsidRDefault="00FA1BEA" w:rsidP="00FA1BEA">
      <w:pPr>
        <w:rPr>
          <w:lang w:eastAsia="x-none"/>
        </w:rPr>
      </w:pPr>
      <w:r w:rsidRPr="001B7C50">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rsidR="00FA1BEA" w:rsidRPr="001B7C50" w:rsidRDefault="00FA1BEA" w:rsidP="00FA1BEA">
      <w:pPr>
        <w:pStyle w:val="B1"/>
      </w:pPr>
      <w:r w:rsidRPr="001B7C50">
        <w:t>-</w:t>
      </w:r>
      <w:r w:rsidRPr="001B7C50">
        <w:tab/>
        <w:t>Adds the calculated residence time expressed in TSN GM time to the correction field.</w:t>
      </w:r>
    </w:p>
    <w:p w:rsidR="00FA1BEA" w:rsidRPr="001B7C50" w:rsidRDefault="00FA1BEA" w:rsidP="00FA1BEA">
      <w:pPr>
        <w:pStyle w:val="B1"/>
      </w:pPr>
      <w:r w:rsidRPr="001B7C50">
        <w:t>-</w:t>
      </w:r>
      <w:r w:rsidRPr="001B7C50">
        <w:tab/>
        <w:t>Removes Suffix field that contains TSi.</w:t>
      </w:r>
    </w:p>
    <w:p w:rsidR="00FA1BEA" w:rsidRPr="001B7C50" w:rsidRDefault="00FA1BEA" w:rsidP="00FA1BEA">
      <w:r w:rsidRPr="001B7C50">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rsidR="00FA1BEA" w:rsidRPr="001B7C50" w:rsidRDefault="00FA1BEA" w:rsidP="00FA1BEA">
      <w:pPr>
        <w:pStyle w:val="B1"/>
      </w:pPr>
      <w:r w:rsidRPr="001B7C50">
        <w:lastRenderedPageBreak/>
        <w:t>-</w:t>
      </w:r>
      <w:r w:rsidRPr="001B7C50">
        <w:tab/>
        <w:t>Adds the link delay from the upstream TSN node (gPTP entity connected to DS-TT) in TSN GM time to the correction field.</w:t>
      </w:r>
    </w:p>
    <w:p w:rsidR="00FA1BEA" w:rsidRPr="001B7C50" w:rsidRDefault="00FA1BEA" w:rsidP="00FA1BEA">
      <w:pPr>
        <w:pStyle w:val="B1"/>
      </w:pPr>
      <w:r w:rsidRPr="001B7C50">
        <w:t>-</w:t>
      </w:r>
      <w:r w:rsidRPr="001B7C50">
        <w:tab/>
        <w:t>Replaces the cumulative rateRatio received from the upstream TSN node (gPTP entity connected to DS-TT) with the new cumulative rateRatio.</w:t>
      </w:r>
    </w:p>
    <w:p w:rsidR="00FA1BEA" w:rsidRPr="001B7C50" w:rsidRDefault="00FA1BEA" w:rsidP="00FA1BEA">
      <w:pPr>
        <w:pStyle w:val="B1"/>
      </w:pPr>
      <w:r w:rsidRPr="001B7C50">
        <w:t>-</w:t>
      </w:r>
      <w:r w:rsidRPr="001B7C50">
        <w:tab/>
        <w:t>Adds TSi in the Suffix field of the gPTP packet.</w:t>
      </w:r>
    </w:p>
    <w:p w:rsidR="00FA1BEA" w:rsidRPr="001B7C50" w:rsidRDefault="00FA1BEA" w:rsidP="00FA1BEA">
      <w:r w:rsidRPr="001B7C50">
        <w:t>The UE transparently forwards the gPTP message from DS-TT to the UPF/NW-TT. If the ingress DS-TT port is in Passive state</w:t>
      </w:r>
      <w:ins w:id="5" w:author="Scott Jiang (姜永)" w:date="2022-08-08T16:02:00Z">
        <w:r w:rsidRPr="00FC724C">
          <w:t xml:space="preserve"> </w:t>
        </w:r>
        <w:r>
          <w:t>as specified in IEEE Std 1588 [126]</w:t>
        </w:r>
      </w:ins>
      <w:r w:rsidRPr="001B7C50">
        <w:t>, the UPF/NW-TT discards the gPTP messages. If the ingress DS-TT port is in Follower state, the UPF/NW-TT forwards the gPTP messages as follows:</w:t>
      </w:r>
    </w:p>
    <w:p w:rsidR="00FA1BEA" w:rsidRPr="001B7C50" w:rsidRDefault="00FA1BEA" w:rsidP="00FA1BEA">
      <w:pPr>
        <w:pStyle w:val="B1"/>
      </w:pPr>
      <w:r w:rsidRPr="001B7C50">
        <w:t>-</w:t>
      </w:r>
      <w:r w:rsidRPr="001B7C50">
        <w:tab/>
        <w:t>In the case of synchronizing end stations behind NW-TT, the egress port is in UPF/NW-TT. For the received UL gPTP messages, the egress UPF/NW-TT performs the following actions:</w:t>
      </w:r>
    </w:p>
    <w:p w:rsidR="00FA1BEA" w:rsidRPr="001B7C50" w:rsidRDefault="00FA1BEA" w:rsidP="00FA1BEA">
      <w:pPr>
        <w:pStyle w:val="B2"/>
      </w:pPr>
      <w:r w:rsidRPr="001B7C50">
        <w:t>-</w:t>
      </w:r>
      <w:r w:rsidRPr="001B7C50">
        <w:tab/>
        <w:t>Adds the calculated residence time expressed in TSN GM to the correction field.</w:t>
      </w:r>
    </w:p>
    <w:p w:rsidR="00FA1BEA" w:rsidRPr="001B7C50" w:rsidRDefault="00FA1BEA" w:rsidP="00FA1BEA">
      <w:pPr>
        <w:pStyle w:val="B2"/>
      </w:pPr>
      <w:r w:rsidRPr="001B7C50">
        <w:t>-</w:t>
      </w:r>
      <w:r w:rsidRPr="001B7C50">
        <w:tab/>
        <w:t>Removes Suffix field that contains TSi.</w:t>
      </w:r>
    </w:p>
    <w:p w:rsidR="001206F9" w:rsidRDefault="00FA1BEA" w:rsidP="00FA1BEA">
      <w:pPr>
        <w:pStyle w:val="B1"/>
      </w:pPr>
      <w:r w:rsidRPr="001B7C50">
        <w:t>-</w:t>
      </w:r>
      <w:r w:rsidRPr="001B7C50">
        <w:tab/>
        <w:t xml:space="preserve">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w:t>
      </w:r>
      <w:r>
        <w:t xml:space="preserve">Leader </w:t>
      </w:r>
      <w:r w:rsidRPr="001B7C50">
        <w:t>state within this PTP instance. The egress DS-TT performs same actions as egress UPF/NW-TT in previous case.</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D6E" w:rsidRDefault="00120D6E">
      <w:r>
        <w:separator/>
      </w:r>
    </w:p>
  </w:endnote>
  <w:endnote w:type="continuationSeparator" w:id="0">
    <w:p w:rsidR="00120D6E" w:rsidRDefault="0012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D6E" w:rsidRDefault="00120D6E">
      <w:r>
        <w:separator/>
      </w:r>
    </w:p>
  </w:footnote>
  <w:footnote w:type="continuationSeparator" w:id="0">
    <w:p w:rsidR="00120D6E" w:rsidRDefault="0012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00" w:hanging="360"/>
      </w:pPr>
      <w:rPr>
        <w:rFonts w:ascii="Times New Roman" w:eastAsiaTheme="minorEastAsia" w:hAnsi="Times New Roman" w:cs="Times New Roman"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24BC"/>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E7C37"/>
    <w:rsid w:val="000F3DFC"/>
    <w:rsid w:val="000F5BDE"/>
    <w:rsid w:val="001007B0"/>
    <w:rsid w:val="0011507E"/>
    <w:rsid w:val="001153F7"/>
    <w:rsid w:val="001159F1"/>
    <w:rsid w:val="001164EA"/>
    <w:rsid w:val="001206F9"/>
    <w:rsid w:val="00120D6E"/>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BF"/>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551E"/>
    <w:rsid w:val="00257A7E"/>
    <w:rsid w:val="0026004D"/>
    <w:rsid w:val="00261D8F"/>
    <w:rsid w:val="002640DD"/>
    <w:rsid w:val="00264292"/>
    <w:rsid w:val="0026467B"/>
    <w:rsid w:val="002667DA"/>
    <w:rsid w:val="00271D61"/>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3D2"/>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8268B"/>
    <w:rsid w:val="00393EA3"/>
    <w:rsid w:val="00394283"/>
    <w:rsid w:val="0039680F"/>
    <w:rsid w:val="003A1660"/>
    <w:rsid w:val="003A593A"/>
    <w:rsid w:val="003A640A"/>
    <w:rsid w:val="003B3AC7"/>
    <w:rsid w:val="003B5643"/>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85A36"/>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0376"/>
    <w:rsid w:val="00561801"/>
    <w:rsid w:val="00562261"/>
    <w:rsid w:val="00564062"/>
    <w:rsid w:val="005702C4"/>
    <w:rsid w:val="00571882"/>
    <w:rsid w:val="00573053"/>
    <w:rsid w:val="00574B8E"/>
    <w:rsid w:val="00575711"/>
    <w:rsid w:val="00582C19"/>
    <w:rsid w:val="00584B57"/>
    <w:rsid w:val="00587D7B"/>
    <w:rsid w:val="00590682"/>
    <w:rsid w:val="00592D74"/>
    <w:rsid w:val="00595D7C"/>
    <w:rsid w:val="00596A89"/>
    <w:rsid w:val="005B17EE"/>
    <w:rsid w:val="005B1BB4"/>
    <w:rsid w:val="005B70DD"/>
    <w:rsid w:val="005C6E37"/>
    <w:rsid w:val="005D2E2C"/>
    <w:rsid w:val="005E0B34"/>
    <w:rsid w:val="005E1AEB"/>
    <w:rsid w:val="005E2C44"/>
    <w:rsid w:val="005E4C9D"/>
    <w:rsid w:val="005E6760"/>
    <w:rsid w:val="005E6AAA"/>
    <w:rsid w:val="005E7471"/>
    <w:rsid w:val="005F190C"/>
    <w:rsid w:val="005F19CE"/>
    <w:rsid w:val="005F23A4"/>
    <w:rsid w:val="005F4F6F"/>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527AA"/>
    <w:rsid w:val="00770DD1"/>
    <w:rsid w:val="00772F6A"/>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4417"/>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B7841"/>
    <w:rsid w:val="009C0BFF"/>
    <w:rsid w:val="009C150E"/>
    <w:rsid w:val="009C4602"/>
    <w:rsid w:val="009C5597"/>
    <w:rsid w:val="009D0098"/>
    <w:rsid w:val="009D1F5C"/>
    <w:rsid w:val="009E1419"/>
    <w:rsid w:val="009E3297"/>
    <w:rsid w:val="009E61DD"/>
    <w:rsid w:val="009E6B29"/>
    <w:rsid w:val="009E76DE"/>
    <w:rsid w:val="009F43FB"/>
    <w:rsid w:val="009F734F"/>
    <w:rsid w:val="00A0180D"/>
    <w:rsid w:val="00A02028"/>
    <w:rsid w:val="00A020B3"/>
    <w:rsid w:val="00A0323F"/>
    <w:rsid w:val="00A0326C"/>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7C4B"/>
    <w:rsid w:val="00AA0102"/>
    <w:rsid w:val="00AA2CBC"/>
    <w:rsid w:val="00AA3F4B"/>
    <w:rsid w:val="00AA64CF"/>
    <w:rsid w:val="00AA7E05"/>
    <w:rsid w:val="00AB0BF4"/>
    <w:rsid w:val="00AB6FC9"/>
    <w:rsid w:val="00AC41C1"/>
    <w:rsid w:val="00AC546D"/>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0A9D"/>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7CCE"/>
    <w:rsid w:val="00C309AD"/>
    <w:rsid w:val="00C3176A"/>
    <w:rsid w:val="00C36B09"/>
    <w:rsid w:val="00C522A3"/>
    <w:rsid w:val="00C52345"/>
    <w:rsid w:val="00C533F2"/>
    <w:rsid w:val="00C60896"/>
    <w:rsid w:val="00C64AA0"/>
    <w:rsid w:val="00C66BA2"/>
    <w:rsid w:val="00C71888"/>
    <w:rsid w:val="00C743D4"/>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5B07"/>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1BEA"/>
    <w:rsid w:val="00FA4333"/>
    <w:rsid w:val="00FA61E4"/>
    <w:rsid w:val="00FB3AD4"/>
    <w:rsid w:val="00FB6386"/>
    <w:rsid w:val="00FB74AC"/>
    <w:rsid w:val="00FC284E"/>
    <w:rsid w:val="00FC724C"/>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8EC6E"/>
  <w15:docId w15:val="{2C17618C-DBCD-46E4-A6FE-4B6F508E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6351">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6771A-BCF5-44B9-9C07-580828AE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Scott Jiang (姜永)</cp:lastModifiedBy>
  <cp:revision>3</cp:revision>
  <cp:lastPrinted>1900-01-01T07:00:00Z</cp:lastPrinted>
  <dcterms:created xsi:type="dcterms:W3CDTF">2022-08-18T11:01:00Z</dcterms:created>
  <dcterms:modified xsi:type="dcterms:W3CDTF">2022-08-18T11:06:00Z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