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8"/>
        </w:tabs>
        <w:rPr>
          <w:sz w:val="24"/>
          <w:szCs w:val="24"/>
        </w:rPr>
      </w:pPr>
      <w:r>
        <w:rPr>
          <w:sz w:val="24"/>
          <w:szCs w:val="24"/>
        </w:rPr>
        <w:t xml:space="preserve">3GPP SA WG2 Meeting #152e </w:t>
      </w:r>
      <w:r>
        <w:rPr>
          <w:sz w:val="24"/>
          <w:szCs w:val="24"/>
        </w:rPr>
        <w:tab/>
      </w:r>
      <w:r>
        <w:rPr>
          <w:sz w:val="24"/>
          <w:szCs w:val="24"/>
        </w:rPr>
        <w:t>S2-220</w:t>
      </w:r>
      <w:r>
        <w:rPr>
          <w:rFonts w:hint="eastAsia"/>
          <w:sz w:val="24"/>
          <w:szCs w:val="24"/>
          <w:lang w:val="en-US" w:eastAsia="zh-CN"/>
        </w:rPr>
        <w:t>6740</w:t>
      </w:r>
    </w:p>
    <w:p>
      <w:pPr>
        <w:pStyle w:val="23"/>
        <w:pBdr>
          <w:bottom w:val="single" w:color="auto" w:sz="4" w:space="1"/>
        </w:pBdr>
        <w:tabs>
          <w:tab w:val="right" w:pos="9638"/>
        </w:tabs>
        <w:rPr>
          <w:rFonts w:eastAsia="Batang" w:cs="Arial"/>
          <w:sz w:val="20"/>
          <w:lang w:eastAsia="zh-CN"/>
        </w:rPr>
      </w:pPr>
      <w:r>
        <w:rPr>
          <w:sz w:val="24"/>
          <w:szCs w:val="24"/>
        </w:rPr>
        <w:t>Electronic Meeting, 17 August – 26 August 2022</w:t>
      </w:r>
      <w:r>
        <w:rPr>
          <w:sz w:val="20"/>
        </w:rPr>
        <w:tab/>
      </w:r>
      <w:r>
        <w:rPr>
          <w:rFonts w:eastAsia="Batang" w:cs="Arial"/>
          <w:sz w:val="20"/>
          <w:lang w:eastAsia="zh-CN"/>
        </w:rPr>
        <w:t>(revision of S2-2204431)</w:t>
      </w:r>
    </w:p>
    <w:p>
      <w:pPr>
        <w:pStyle w:val="68"/>
        <w:rPr>
          <w:rFonts w:hint="default" w:eastAsia="宋体"/>
          <w:lang w:val="en-US" w:eastAsia="zh-CN"/>
        </w:rPr>
      </w:pPr>
      <w:r>
        <w:t>Source:</w:t>
      </w:r>
      <w:r>
        <w:tab/>
      </w:r>
      <w:r>
        <w:t>China Telecom</w:t>
      </w:r>
      <w:r>
        <w:rPr>
          <w:rFonts w:hint="eastAsia" w:eastAsia="宋体"/>
          <w:lang w:val="en-US" w:eastAsia="zh-CN"/>
        </w:rPr>
        <w:t xml:space="preserve">, </w:t>
      </w:r>
      <w:r>
        <w:rPr>
          <w:rFonts w:hint="eastAsia"/>
          <w:lang w:eastAsia="zh-CN"/>
        </w:rPr>
        <w:t>C</w:t>
      </w:r>
      <w:r>
        <w:rPr>
          <w:lang w:eastAsia="zh-CN"/>
        </w:rPr>
        <w:t>hina Unicom</w:t>
      </w:r>
      <w:r>
        <w:rPr>
          <w:rFonts w:hint="eastAsia"/>
          <w:lang w:val="en-US" w:eastAsia="zh-CN"/>
        </w:rPr>
        <w:t xml:space="preserve">, </w:t>
      </w:r>
      <w:r>
        <w:rPr>
          <w:lang w:eastAsia="zh-CN"/>
        </w:rPr>
        <w:t>ZTE</w:t>
      </w:r>
      <w:r>
        <w:rPr>
          <w:rFonts w:hint="eastAsia"/>
          <w:lang w:val="en-US" w:eastAsia="zh-CN"/>
        </w:rPr>
        <w:t xml:space="preserve">, vivo, </w:t>
      </w:r>
      <w:r>
        <w:rPr>
          <w:rFonts w:hint="eastAsia"/>
          <w:lang w:eastAsia="zh-CN"/>
        </w:rPr>
        <w:t>C</w:t>
      </w:r>
      <w:r>
        <w:rPr>
          <w:lang w:eastAsia="zh-CN"/>
        </w:rPr>
        <w:t>ATT</w:t>
      </w:r>
      <w:r>
        <w:rPr>
          <w:rFonts w:hint="eastAsia"/>
          <w:lang w:val="en-US" w:eastAsia="zh-CN"/>
        </w:rPr>
        <w:t xml:space="preserve">, Inspur, Huawei, </w:t>
      </w:r>
      <w:r>
        <w:t>Spreadtrum Communications</w:t>
      </w:r>
      <w:r>
        <w:rPr>
          <w:rFonts w:hint="eastAsia" w:eastAsia="宋体"/>
          <w:lang w:val="en-US" w:eastAsia="zh-CN"/>
        </w:rPr>
        <w:t>, InterDigital</w:t>
      </w:r>
    </w:p>
    <w:p>
      <w:pPr>
        <w:pStyle w:val="68"/>
      </w:pPr>
      <w:r>
        <w:t>Title:</w:t>
      </w:r>
      <w:r>
        <w:tab/>
      </w:r>
      <w:r>
        <w:t>New WI</w:t>
      </w:r>
      <w:bookmarkStart w:id="0" w:name="_GoBack"/>
      <w:bookmarkEnd w:id="0"/>
      <w:r>
        <w:t>D on Dynamically Changing AM Policies in the 5GC Phase 2 (TEI18 _DCAMP_Ph2)</w:t>
      </w:r>
    </w:p>
    <w:p>
      <w:pPr>
        <w:pStyle w:val="68"/>
      </w:pPr>
      <w:r>
        <w:t>Document for:</w:t>
      </w:r>
      <w:r>
        <w:tab/>
      </w:r>
      <w:r>
        <w:t>Approval</w:t>
      </w:r>
    </w:p>
    <w:p>
      <w:pPr>
        <w:pStyle w:val="68"/>
      </w:pPr>
      <w:r>
        <w:t>Agenda Item:</w:t>
      </w:r>
      <w:r>
        <w:tab/>
      </w:r>
      <w:r>
        <w:t>10.4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w:t>
      </w:r>
      <w:r>
        <w:tab/>
      </w:r>
      <w:r>
        <w:t>Dynamically Changing AM Policies in the 5GC Phase 2</w:t>
      </w:r>
    </w:p>
    <w:p>
      <w:pPr>
        <w:pStyle w:val="10"/>
      </w:pPr>
      <w:r>
        <w:t>Acronym:</w:t>
      </w:r>
      <w:r>
        <w:tab/>
      </w:r>
      <w:r>
        <w:t>TEI18_DCAMP_Ph2</w:t>
      </w:r>
    </w:p>
    <w:p>
      <w:pPr>
        <w:pStyle w:val="10"/>
      </w:pPr>
      <w:r>
        <w:t>Unique identifier:</w:t>
      </w:r>
      <w:r>
        <w:tab/>
      </w:r>
    </w:p>
    <w:p>
      <w:pPr>
        <w:pStyle w:val="10"/>
      </w:pPr>
      <w:r>
        <w:t>Potential target Release:</w:t>
      </w:r>
      <w:r>
        <w:tab/>
      </w:r>
      <w:r>
        <w:rPr>
          <w:i/>
          <w:iCs/>
        </w:rPr>
        <w:t>{Rel-18}</w:t>
      </w:r>
    </w:p>
    <w:p>
      <w:pPr>
        <w:pStyle w:val="2"/>
      </w:pPr>
      <w:r>
        <w:t>1</w:t>
      </w:r>
      <w:r>
        <w:tab/>
      </w:r>
      <w:r>
        <w:t>Impacts</w:t>
      </w:r>
    </w:p>
    <w:p>
      <w:pPr>
        <w:pStyle w:val="63"/>
      </w:pPr>
      <w:r>
        <w:t>{For Normative work, identify the anticipated impacts. For a Study, identify the scope of the study}</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pPr>
          </w:p>
        </w:tc>
        <w:tc>
          <w:tcPr>
            <w:tcW w:w="851" w:type="dxa"/>
            <w:tcBorders>
              <w:top w:val="nil"/>
            </w:tcBorders>
          </w:tcPr>
          <w:p>
            <w:pPr>
              <w:pStyle w:val="31"/>
            </w:pPr>
            <w: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r>
              <w:t>X</w:t>
            </w:r>
          </w:p>
        </w:tc>
        <w:tc>
          <w:tcPr>
            <w:tcW w:w="1037" w:type="dxa"/>
          </w:tcPr>
          <w:p>
            <w:pPr>
              <w:pStyle w:val="31"/>
            </w:pPr>
            <w:r>
              <w:t>X</w:t>
            </w:r>
          </w:p>
        </w:tc>
        <w:tc>
          <w:tcPr>
            <w:tcW w:w="850" w:type="dxa"/>
          </w:tcPr>
          <w:p>
            <w:pPr>
              <w:pStyle w:val="31"/>
            </w:pPr>
            <w:r>
              <w:t>X</w:t>
            </w:r>
          </w:p>
        </w:tc>
        <w:tc>
          <w:tcPr>
            <w:tcW w:w="851" w:type="dxa"/>
          </w:tcPr>
          <w:p>
            <w:pPr>
              <w:pStyle w:val="31"/>
            </w:pPr>
          </w:p>
        </w:tc>
        <w:tc>
          <w:tcPr>
            <w:tcW w:w="1752" w:type="dxa"/>
          </w:tcPr>
          <w:p>
            <w:pPr>
              <w:pStyle w:val="31"/>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t>X</w:t>
            </w:r>
          </w:p>
        </w:tc>
        <w:tc>
          <w:tcPr>
            <w:tcW w:w="2917" w:type="dxa"/>
            <w:shd w:val="clear" w:color="auto" w:fill="E0E0E0"/>
          </w:tcPr>
          <w:p>
            <w:pPr>
              <w:pStyle w:val="30"/>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Mar>
              <w:left w:w="227" w:type="dxa"/>
            </w:tcMar>
          </w:tcPr>
          <w:p>
            <w:pPr>
              <w:pStyle w:val="3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Mar>
              <w:left w:w="397" w:type="dxa"/>
            </w:tcMar>
          </w:tcPr>
          <w:p>
            <w:pPr>
              <w:pStyle w:val="3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color w:val="0000FF"/>
              </w:rPr>
            </w:pPr>
            <w:r>
              <w:rPr>
                <w:color w:val="0000FF"/>
                <w:sz w:val="20"/>
              </w:rPr>
              <w:t>Study Item</w:t>
            </w:r>
          </w:p>
        </w:tc>
      </w:tr>
    </w:tbl>
    <w:p>
      <w:pPr>
        <w:ind w:right="-99"/>
        <w:rPr>
          <w:b/>
        </w:rPr>
      </w:pPr>
    </w:p>
    <w:p>
      <w:pPr>
        <w:pStyle w:val="3"/>
      </w:pPr>
      <w:r>
        <w:t>2.2</w:t>
      </w:r>
      <w:r>
        <w:tab/>
      </w:r>
      <w:r>
        <w:t>Parent Work Item</w:t>
      </w:r>
    </w:p>
    <w:p>
      <w:r>
        <w:t>For a brand-new topic, use “N/A” in the table below. Otherwise indicate the parent Work Item.</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pPr>
      <w:r>
        <w:t>2.3</w:t>
      </w:r>
      <w:r>
        <w:tab/>
      </w:r>
      <w:r>
        <w:t>Other related Work Items and dependencies</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t>870005</w:t>
            </w:r>
          </w:p>
        </w:tc>
        <w:tc>
          <w:tcPr>
            <w:tcW w:w="3326" w:type="dxa"/>
          </w:tcPr>
          <w:p>
            <w:pPr>
              <w:pStyle w:val="28"/>
            </w:pPr>
            <w:r>
              <w:t>Dynamically Changing AM Policies in the 5GC</w:t>
            </w:r>
          </w:p>
        </w:tc>
        <w:tc>
          <w:tcPr>
            <w:tcW w:w="5099" w:type="dxa"/>
          </w:tcPr>
          <w:p>
            <w:pPr>
              <w:pStyle w:val="63"/>
            </w:pPr>
            <w:r>
              <w:rPr>
                <w:iCs/>
                <w:lang w:eastAsia="zh-CN"/>
              </w:rPr>
              <w:t>Rel-17 Work Item</w:t>
            </w:r>
          </w:p>
        </w:tc>
      </w:tr>
    </w:tbl>
    <w:p>
      <w:pPr>
        <w:pStyle w:val="40"/>
      </w:pPr>
    </w:p>
    <w:p>
      <w:pPr>
        <w:rPr>
          <w:b/>
          <w:bCs/>
        </w:rPr>
      </w:pPr>
      <w:r>
        <w:rPr>
          <w:b/>
          <w:bCs/>
        </w:rPr>
        <w:t>Dependency on non-3GPP (draft) specification:</w:t>
      </w:r>
    </w:p>
    <w:p>
      <w:pPr>
        <w:pStyle w:val="63"/>
      </w:pPr>
      <w:r>
        <w:t>{This section is to be typically used to identify the IETF dependencies. Delete the header "Dependency on non-3GPP (draft) specification:" if no such dependency}</w:t>
      </w:r>
    </w:p>
    <w:p>
      <w:pPr>
        <w:pStyle w:val="2"/>
      </w:pPr>
      <w:r>
        <w:t>3</w:t>
      </w:r>
      <w:r>
        <w:tab/>
      </w:r>
      <w:r>
        <w:t>Justification</w:t>
      </w:r>
    </w:p>
    <w:p>
      <w:pPr>
        <w:rPr>
          <w:rFonts w:eastAsia="等线"/>
          <w:lang w:eastAsia="zh-CN"/>
        </w:rPr>
      </w:pPr>
      <w:r>
        <w:rPr>
          <w:rFonts w:eastAsia="等线"/>
          <w:lang w:eastAsia="zh-CN"/>
        </w:rPr>
        <w:t>The access and mobility policy control introduced in 5G encompasses the management of service area restrictions, the management of the RFSP functionalities</w:t>
      </w:r>
      <w:r>
        <w:rPr>
          <w:rFonts w:eastAsia="等线"/>
        </w:rPr>
        <w:t xml:space="preserve">, the management of the </w:t>
      </w:r>
      <w:r>
        <w:rPr>
          <w:rFonts w:eastAsia="等线"/>
          <w:lang w:eastAsia="zh-CN"/>
        </w:rPr>
        <w:t xml:space="preserve">UE-AMBR, </w:t>
      </w:r>
      <w:r>
        <w:rPr>
          <w:rFonts w:eastAsia="等线"/>
        </w:rPr>
        <w:t xml:space="preserve">the management of the UE Slice-MBR and the management of the SMF selection </w:t>
      </w:r>
      <w:r>
        <w:rPr>
          <w:rFonts w:eastAsia="等线"/>
          <w:lang w:eastAsia="zh-CN"/>
        </w:rPr>
        <w:t>by PCF.</w:t>
      </w:r>
    </w:p>
    <w:p>
      <w:pPr>
        <w:rPr>
          <w:rFonts w:eastAsia="等线"/>
          <w:lang w:eastAsia="zh-CN"/>
        </w:rPr>
      </w:pPr>
      <w:r>
        <w:rPr>
          <w:rFonts w:eastAsia="等线"/>
          <w:lang w:eastAsia="zh-CN"/>
        </w:rPr>
        <w:t>Some potential enhancements on AM policy are identified based on the Rel-17 SA2 issues and requirements:</w:t>
      </w:r>
    </w:p>
    <w:p>
      <w:pPr>
        <w:numPr>
          <w:ilvl w:val="0"/>
          <w:numId w:val="1"/>
        </w:numPr>
        <w:rPr>
          <w:rFonts w:eastAsia="等线"/>
        </w:rPr>
      </w:pPr>
      <w:r>
        <w:rPr>
          <w:rFonts w:eastAsia="等线"/>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eastAsia="等线"/>
          <w:lang w:eastAsia="zh-CN"/>
        </w:rPr>
        <w:t xml:space="preserve"> H</w:t>
      </w:r>
      <w:r>
        <w:rPr>
          <w:rFonts w:eastAsia="等线"/>
          <w:lang w:eastAsia="zh-CN"/>
        </w:rPr>
        <w:t>owever, the solution in R17 is only applicable to non-roaming scenario. In the real network, the AF may not aware</w:t>
      </w:r>
      <w:r>
        <w:rPr>
          <w:rFonts w:hint="eastAsia" w:eastAsia="等线"/>
          <w:lang w:val="en-US" w:eastAsia="zh-CN"/>
        </w:rPr>
        <w:t xml:space="preserve"> any</w:t>
      </w:r>
      <w:r>
        <w:rPr>
          <w:rFonts w:eastAsia="等线"/>
          <w:lang w:eastAsia="zh-CN"/>
        </w:rPr>
        <w:t xml:space="preserve"> </w:t>
      </w:r>
      <w:r>
        <w:rPr>
          <w:rFonts w:hint="eastAsia" w:eastAsia="等线"/>
          <w:lang w:val="en-US" w:eastAsia="zh-CN"/>
        </w:rPr>
        <w:t>roaming</w:t>
      </w:r>
      <w:r>
        <w:rPr>
          <w:rFonts w:eastAsia="等线"/>
          <w:lang w:eastAsia="zh-CN"/>
        </w:rPr>
        <w:t xml:space="preserve"> UE</w:t>
      </w:r>
      <w:r>
        <w:rPr>
          <w:rFonts w:hint="eastAsia" w:eastAsia="等线"/>
          <w:lang w:val="en-US" w:eastAsia="zh-CN"/>
        </w:rPr>
        <w:t>s</w:t>
      </w:r>
      <w:r>
        <w:rPr>
          <w:rFonts w:eastAsia="等线"/>
          <w:lang w:eastAsia="zh-CN"/>
        </w:rPr>
        <w:t xml:space="preserve"> or group of </w:t>
      </w:r>
      <w:r>
        <w:rPr>
          <w:rFonts w:hint="eastAsia" w:eastAsia="等线"/>
          <w:lang w:val="en-US" w:eastAsia="zh-CN"/>
        </w:rPr>
        <w:t xml:space="preserve">roaming </w:t>
      </w:r>
      <w:r>
        <w:rPr>
          <w:rFonts w:eastAsia="等线"/>
          <w:lang w:eastAsia="zh-CN"/>
        </w:rPr>
        <w:t xml:space="preserve">UEs is in roaming state or not. To support AF’s requirement can be applied to roaming UEs, </w:t>
      </w:r>
      <w:r>
        <w:rPr>
          <w:rFonts w:hint="eastAsia" w:eastAsia="等线"/>
          <w:lang w:val="en-US" w:eastAsia="zh-CN"/>
        </w:rPr>
        <w:t>e.g.</w:t>
      </w:r>
      <w:r>
        <w:rPr>
          <w:rFonts w:eastAsia="等线"/>
          <w:lang w:eastAsia="zh-CN"/>
        </w:rPr>
        <w:t xml:space="preserve"> in </w:t>
      </w:r>
      <w:r>
        <w:rPr>
          <w:rFonts w:hint="eastAsia" w:eastAsia="等线"/>
          <w:lang w:val="en-US" w:eastAsia="zh-CN"/>
        </w:rPr>
        <w:t>LBO</w:t>
      </w:r>
      <w:r>
        <w:rPr>
          <w:rFonts w:eastAsia="等线"/>
          <w:lang w:eastAsia="zh-CN"/>
        </w:rPr>
        <w:t xml:space="preserve"> scenario where </w:t>
      </w:r>
      <w:r>
        <w:rPr>
          <w:rFonts w:eastAsia="等线"/>
        </w:rPr>
        <w:t xml:space="preserve">PCF for UE and the PCF for PDU session belong to </w:t>
      </w:r>
      <w:r>
        <w:rPr>
          <w:rFonts w:hint="eastAsia" w:eastAsia="等线"/>
          <w:lang w:val="en-US" w:eastAsia="zh-CN"/>
        </w:rPr>
        <w:t>V</w:t>
      </w:r>
      <w:r>
        <w:rPr>
          <w:rFonts w:eastAsia="等线"/>
        </w:rPr>
        <w:t>PLMN, enhancement on the current mechanism of dynamically changing AM policies for AF's request is needed</w:t>
      </w:r>
      <w:r>
        <w:rPr>
          <w:rFonts w:eastAsia="等线"/>
          <w:lang w:eastAsia="zh-CN"/>
        </w:rPr>
        <w:t>.</w:t>
      </w:r>
    </w:p>
    <w:p>
      <w:pPr>
        <w:numPr>
          <w:ilvl w:val="0"/>
          <w:numId w:val="1"/>
        </w:numPr>
        <w:rPr>
          <w:rFonts w:eastAsia="等线"/>
          <w:color w:val="auto"/>
        </w:rPr>
      </w:pPr>
      <w:r>
        <w:rPr>
          <w:rFonts w:hint="eastAsia" w:eastAsia="等线"/>
          <w:color w:val="auto"/>
          <w:lang w:eastAsia="zh-CN"/>
        </w:rPr>
        <w:t>I</w:t>
      </w:r>
      <w:r>
        <w:rPr>
          <w:rFonts w:eastAsia="等线"/>
          <w:color w:val="auto"/>
          <w:lang w:eastAsia="zh-CN"/>
        </w:rPr>
        <w:t>n clause 6.1.2 of TS23.503, it mentions:</w:t>
      </w:r>
    </w:p>
    <w:p>
      <w:pPr>
        <w:ind w:left="420"/>
        <w:rPr>
          <w:rFonts w:eastAsia="等线"/>
          <w:i/>
          <w:color w:val="auto"/>
        </w:rPr>
      </w:pPr>
      <w:r>
        <w:rPr>
          <w:rFonts w:eastAsia="等线"/>
          <w:i/>
          <w:color w:val="auto"/>
        </w:rPr>
        <w:t xml:space="preserve">The PCF modifies the RFSP Index based on operator policies that take into consideration e.g. </w:t>
      </w:r>
      <w:r>
        <w:rPr>
          <w:rFonts w:eastAsia="等线"/>
          <w:b/>
          <w:i/>
          <w:color w:val="auto"/>
        </w:rPr>
        <w:t>accumulated usage</w:t>
      </w:r>
      <w:r>
        <w:rPr>
          <w:rFonts w:eastAsia="等线"/>
          <w:i/>
          <w:color w:val="auto"/>
        </w:rPr>
        <w:t xml:space="preserve">, load level information per network slice instance, the indication that high throughput is desired for a specific application traffic or independently of the application in use and other information. </w:t>
      </w:r>
    </w:p>
    <w:p>
      <w:pPr>
        <w:ind w:left="420"/>
        <w:rPr>
          <w:rFonts w:eastAsia="等线"/>
          <w:color w:val="auto"/>
        </w:rPr>
      </w:pPr>
      <w:r>
        <w:rPr>
          <w:rFonts w:hint="eastAsia" w:eastAsia="等线"/>
          <w:color w:val="auto"/>
          <w:lang w:val="en-US" w:eastAsia="zh-CN"/>
        </w:rPr>
        <w:t>Although</w:t>
      </w:r>
      <w:r>
        <w:rPr>
          <w:rFonts w:eastAsia="等线"/>
          <w:color w:val="auto"/>
        </w:rPr>
        <w:t xml:space="preserve"> the accumulated usage</w:t>
      </w:r>
      <w:r>
        <w:rPr>
          <w:rFonts w:hint="eastAsia" w:eastAsia="等线"/>
          <w:color w:val="auto"/>
          <w:lang w:val="en-US" w:eastAsia="zh-CN"/>
        </w:rPr>
        <w:t xml:space="preserve"> can</w:t>
      </w:r>
      <w:r>
        <w:rPr>
          <w:rFonts w:eastAsia="等线"/>
          <w:color w:val="auto"/>
        </w:rPr>
        <w:t xml:space="preserve"> impact</w:t>
      </w:r>
      <w:r>
        <w:rPr>
          <w:rFonts w:hint="eastAsia" w:eastAsia="等线"/>
          <w:color w:val="auto"/>
          <w:lang w:val="en-US" w:eastAsia="zh-CN"/>
        </w:rPr>
        <w:t xml:space="preserve"> RFSP index, it only considers the scenario where PCF for a UE and PCF for a PDU Session are the same PCF instance</w:t>
      </w:r>
      <w:r>
        <w:rPr>
          <w:rFonts w:eastAsia="等线"/>
          <w:color w:val="auto"/>
        </w:rPr>
        <w:t>. One the other hand, up to R17, it defines how the PCF for PDU session interact with SMF for usage monitoring report for session related policy decisions. However, it does not elaborate on how PCF for UE could retrieve usage monitoring report when PCF for PDU session and PCF for UE are not the same one.</w:t>
      </w:r>
    </w:p>
    <w:p/>
    <w:p>
      <w:pPr>
        <w:pStyle w:val="2"/>
      </w:pPr>
      <w:r>
        <w:t>4</w:t>
      </w:r>
      <w:r>
        <w:tab/>
      </w:r>
      <w:r>
        <w:t>Objective</w:t>
      </w:r>
    </w:p>
    <w:p>
      <w:pPr>
        <w:pStyle w:val="63"/>
      </w:pPr>
    </w:p>
    <w:p>
      <w:r>
        <w:t>The objective is to enhance the dynamically changing AM policies, as follows:</w:t>
      </w:r>
    </w:p>
    <w:p>
      <w:pPr>
        <w:pStyle w:val="63"/>
        <w:rPr>
          <w:i w:val="0"/>
          <w:lang w:eastAsia="zh-CN"/>
        </w:rPr>
      </w:pPr>
      <w:r>
        <w:rPr>
          <w:b/>
          <w:i w:val="0"/>
          <w:lang w:eastAsia="zh-CN"/>
        </w:rPr>
        <w:t>Objective 1:</w:t>
      </w:r>
      <w:r>
        <w:rPr>
          <w:i w:val="0"/>
          <w:lang w:eastAsia="zh-CN"/>
        </w:rPr>
        <w:t xml:space="preserve"> To define the mechanism of supporting DCAMP in roaming scenario. This objective will focus on LBO roaming scenario.</w:t>
      </w:r>
    </w:p>
    <w:p>
      <w:pPr>
        <w:pStyle w:val="63"/>
        <w:rPr>
          <w:i w:val="0"/>
          <w:lang w:eastAsia="zh-CN"/>
        </w:rPr>
      </w:pPr>
      <w:r>
        <w:rPr>
          <w:b/>
          <w:i w:val="0"/>
          <w:lang w:eastAsia="zh-CN"/>
        </w:rPr>
        <w:t>Objective 2:</w:t>
      </w:r>
      <w:r>
        <w:rPr>
          <w:i w:val="0"/>
          <w:lang w:eastAsia="zh-CN"/>
        </w:rPr>
        <w:t xml:space="preserve"> To define the mechanism of allowing PCF for the UE to make AM policy decision based on UE’s accumulated usage. This objective will cover aspects when the PCF for the UE and the PCF for the PDU Sessions of a UE are different PCFs.</w:t>
      </w:r>
    </w:p>
    <w:p>
      <w:pPr>
        <w:rPr>
          <w:lang w:eastAsia="zh-CN"/>
        </w:rPr>
      </w:pPr>
      <w:r>
        <w:rPr>
          <w:rFonts w:hint="eastAsia"/>
          <w:lang w:eastAsia="zh-CN"/>
        </w:rPr>
        <w:t>Note</w:t>
      </w:r>
      <w:r>
        <w:rPr>
          <w:lang w:eastAsia="zh-CN"/>
        </w:rPr>
        <w:t xml:space="preserve">: This work will require </w:t>
      </w:r>
      <w:r>
        <w:rPr>
          <w:rFonts w:hint="eastAsia"/>
          <w:lang w:val="en-US" w:eastAsia="zh-CN"/>
        </w:rPr>
        <w:t>0.75</w:t>
      </w:r>
      <w:r>
        <w:rPr>
          <w:lang w:eastAsia="zh-CN"/>
        </w:rPr>
        <w:t xml:space="preserve"> TU.</w:t>
      </w:r>
    </w:p>
    <w:p/>
    <w:p>
      <w:pPr>
        <w:pStyle w:val="2"/>
      </w:pPr>
      <w:r>
        <w:t>5</w:t>
      </w:r>
      <w:r>
        <w:tab/>
      </w:r>
      <w:r>
        <w:t>Expected Output and Time scale</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tbl>
      <w:tblPr>
        <w:tblStyle w:val="2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r>
              <w:t>TS 23.502</w:t>
            </w:r>
          </w:p>
          <w:p>
            <w:pPr>
              <w:pStyle w:val="28"/>
            </w:pPr>
          </w:p>
          <w:p>
            <w:pPr>
              <w:pStyle w:val="28"/>
            </w:pPr>
          </w:p>
          <w:p>
            <w:pPr>
              <w:pStyle w:val="28"/>
            </w:pPr>
          </w:p>
          <w:p>
            <w:pPr>
              <w:pStyle w:val="28"/>
            </w:pPr>
          </w:p>
          <w:p>
            <w:pPr>
              <w:pStyle w:val="28"/>
            </w:pPr>
          </w:p>
          <w:p>
            <w:pPr>
              <w:pStyle w:val="28"/>
            </w:pPr>
            <w:r>
              <w:t>TS 23.503</w:t>
            </w:r>
          </w:p>
        </w:tc>
        <w:tc>
          <w:tcPr>
            <w:tcW w:w="4344" w:type="dxa"/>
            <w:tcBorders>
              <w:top w:val="single" w:color="auto" w:sz="4" w:space="0"/>
              <w:left w:val="single" w:color="auto" w:sz="4" w:space="0"/>
              <w:bottom w:val="single" w:color="auto" w:sz="4" w:space="0"/>
              <w:right w:val="single" w:color="auto" w:sz="4" w:space="0"/>
            </w:tcBorders>
          </w:tcPr>
          <w:p>
            <w:pPr>
              <w:pStyle w:val="28"/>
            </w:pPr>
            <w:r>
              <w:t>Update the procedures to show how the AF influences AM policy decisions in LBO roaming scenario.</w:t>
            </w:r>
          </w:p>
          <w:p>
            <w:pPr>
              <w:pStyle w:val="28"/>
              <w:rPr>
                <w:rFonts w:eastAsia="宋体"/>
                <w:lang w:val="en-US" w:eastAsia="zh-CN"/>
              </w:rPr>
            </w:pPr>
            <w:r>
              <w:rPr>
                <w:rFonts w:hint="eastAsia" w:eastAsia="宋体"/>
                <w:lang w:val="en-US" w:eastAsia="zh-CN"/>
              </w:rPr>
              <w:t>Define the procedure of dynamically changing AM policies based on accumulated usage</w:t>
            </w:r>
          </w:p>
          <w:p>
            <w:pPr>
              <w:pStyle w:val="28"/>
            </w:pPr>
          </w:p>
          <w:p>
            <w:pPr>
              <w:pStyle w:val="28"/>
            </w:pPr>
            <w:r>
              <w:t xml:space="preserve">Define the mechanism of usage monitoring to enable PCF for UE could retrieve usage monitoring report when PCF for PDU session and PCF for UE are not the same one. </w:t>
            </w:r>
          </w:p>
        </w:tc>
        <w:tc>
          <w:tcPr>
            <w:tcW w:w="1417" w:type="dxa"/>
            <w:tcBorders>
              <w:top w:val="single" w:color="auto" w:sz="4" w:space="0"/>
              <w:left w:val="single" w:color="auto" w:sz="4" w:space="0"/>
              <w:bottom w:val="single" w:color="auto" w:sz="4" w:space="0"/>
              <w:right w:val="single" w:color="auto" w:sz="4" w:space="0"/>
            </w:tcBorders>
          </w:tcPr>
          <w:p>
            <w:pPr>
              <w:pStyle w:val="28"/>
            </w:pPr>
            <w:r>
              <w:t>TSG#9</w:t>
            </w:r>
            <w:r>
              <w:rPr>
                <w:rFonts w:hint="eastAsia"/>
                <w:lang w:eastAsia="zh-CN"/>
              </w:rPr>
              <w:t>9</w:t>
            </w:r>
          </w:p>
        </w:tc>
        <w:tc>
          <w:tcPr>
            <w:tcW w:w="2101" w:type="dxa"/>
            <w:tcBorders>
              <w:top w:val="single" w:color="auto" w:sz="4" w:space="0"/>
              <w:left w:val="single" w:color="auto" w:sz="4" w:space="0"/>
              <w:bottom w:val="single" w:color="auto" w:sz="4" w:space="0"/>
              <w:right w:val="single" w:color="auto" w:sz="4" w:space="0"/>
            </w:tcBorders>
          </w:tcPr>
          <w:p>
            <w:pPr>
              <w:pStyle w:val="28"/>
            </w:pPr>
            <w:r>
              <w:t>This will be handled as “TEI18”.</w:t>
            </w:r>
          </w:p>
        </w:tc>
      </w:tr>
    </w:tbl>
    <w:p/>
    <w:p>
      <w:pPr>
        <w:pStyle w:val="2"/>
      </w:pPr>
      <w:r>
        <w:t>6</w:t>
      </w:r>
      <w:r>
        <w:tab/>
      </w:r>
      <w:r>
        <w:t>Work item Rapporteur(s)</w:t>
      </w:r>
    </w:p>
    <w:p>
      <w:r>
        <w:t>Yubing Liu, liuyb9@chinatelecom.cn</w:t>
      </w:r>
    </w:p>
    <w:p>
      <w:pPr>
        <w:pStyle w:val="2"/>
      </w:pPr>
      <w:r>
        <w:t>7</w:t>
      </w:r>
      <w:r>
        <w:tab/>
      </w:r>
      <w:r>
        <w:t>Work item leadership</w:t>
      </w:r>
    </w:p>
    <w:p>
      <w:pPr>
        <w:rPr>
          <w:lang w:eastAsia="zh-CN"/>
        </w:rPr>
      </w:pPr>
      <w:r>
        <w:rPr>
          <w:rFonts w:hint="eastAsia"/>
          <w:lang w:eastAsia="zh-CN"/>
        </w:rPr>
        <w:t>S</w:t>
      </w:r>
      <w:r>
        <w:rPr>
          <w:lang w:eastAsia="zh-CN"/>
        </w:rPr>
        <w:t>A2</w:t>
      </w:r>
    </w:p>
    <w:p>
      <w:pPr>
        <w:pStyle w:val="2"/>
      </w:pPr>
      <w:r>
        <w:t>8</w:t>
      </w:r>
      <w:r>
        <w:tab/>
      </w:r>
      <w:r>
        <w:t>Aspects that involve other WGs</w:t>
      </w:r>
    </w:p>
    <w:p>
      <w:pPr>
        <w:rPr>
          <w:lang w:eastAsia="zh-CN"/>
        </w:rPr>
      </w:pPr>
    </w:p>
    <w:p>
      <w:pPr>
        <w:pStyle w:val="2"/>
      </w:pPr>
      <w:r>
        <w:t>9</w:t>
      </w:r>
      <w:r>
        <w:tab/>
      </w:r>
      <w:r>
        <w:t>Supporting Individual Members</w:t>
      </w:r>
    </w:p>
    <w:p>
      <w:pPr>
        <w:pStyle w:val="63"/>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r>
              <w:rPr>
                <w:rFonts w:hint="eastAsia"/>
                <w:lang w:eastAsia="zh-CN"/>
              </w:rPr>
              <w:t>C</w:t>
            </w:r>
            <w:r>
              <w:rPr>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r>
              <w:rPr>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r>
              <w:rPr>
                <w:rFonts w:hint="eastAsia"/>
                <w:lang w:eastAsia="zh-CN"/>
              </w:rPr>
              <w:t>v</w:t>
            </w:r>
            <w:r>
              <w:rPr>
                <w:lang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r>
              <w:rPr>
                <w:rFonts w:hint="eastAsia"/>
                <w:lang w:eastAsia="zh-CN"/>
              </w:rPr>
              <w:t>C</w:t>
            </w:r>
            <w:r>
              <w:rPr>
                <w:lang w:eastAsia="zh-CN"/>
              </w:rP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r>
              <w:rPr>
                <w:rFonts w:hint="eastAsia"/>
                <w:lang w:eastAsia="zh-CN"/>
              </w:rPr>
              <w:t>I</w:t>
            </w:r>
            <w:r>
              <w:rPr>
                <w:lang w:eastAsia="zh-CN"/>
              </w:rPr>
              <w:t>nspur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E22F44"/>
    <w:multiLevelType w:val="multilevel"/>
    <w:tmpl w:val="28E22F44"/>
    <w:lvl w:ilvl="0" w:tentative="0">
      <w:start w:val="7"/>
      <w:numFmt w:val="bullet"/>
      <w:lvlText w:val="-"/>
      <w:lvlJc w:val="left"/>
      <w:pPr>
        <w:ind w:left="420" w:hanging="420"/>
      </w:pPr>
      <w:rPr>
        <w:rFonts w:hint="default" w:ascii="Arial" w:hAnsi="Arial" w:cs="Arial"/>
      </w:rPr>
    </w:lvl>
    <w:lvl w:ilvl="1" w:tentative="0">
      <w:start w:val="7"/>
      <w:numFmt w:val="bullet"/>
      <w:lvlText w:val="-"/>
      <w:lvlJc w:val="left"/>
      <w:pPr>
        <w:ind w:left="840" w:hanging="420"/>
      </w:pPr>
      <w:rPr>
        <w:rFonts w:hint="default" w:ascii="Arial" w:hAnsi="Arial" w:cs="Arial"/>
      </w:rPr>
    </w:lvl>
    <w:lvl w:ilvl="2" w:tentative="0">
      <w:start w:val="1"/>
      <w:numFmt w:val="bullet"/>
      <w:lvlText w:val="-"/>
      <w:lvlJc w:val="left"/>
      <w:pPr>
        <w:ind w:left="1260" w:hanging="420"/>
      </w:pPr>
      <w:rPr>
        <w:rFonts w:hint="default" w:ascii="Times New Roman" w:hAnsi="Times New Roman" w:eastAsia="宋体" w:cs="Times New Roman"/>
      </w:rPr>
    </w:lvl>
    <w:lvl w:ilvl="3" w:tentative="0">
      <w:start w:val="3"/>
      <w:numFmt w:val="bullet"/>
      <w:lvlText w:val="-"/>
      <w:lvlJc w:val="left"/>
      <w:pPr>
        <w:ind w:left="1680" w:hanging="420"/>
      </w:pPr>
      <w:rPr>
        <w:rFonts w:hint="default" w:ascii="Times New Roman" w:hAnsi="Times New Roman" w:eastAsia="宋体"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0A72"/>
    <w:rsid w:val="00072A56"/>
    <w:rsid w:val="00082CCB"/>
    <w:rsid w:val="0009696A"/>
    <w:rsid w:val="000A3125"/>
    <w:rsid w:val="000B0519"/>
    <w:rsid w:val="000B1ABD"/>
    <w:rsid w:val="000B61FD"/>
    <w:rsid w:val="000C0BF7"/>
    <w:rsid w:val="000C5FE3"/>
    <w:rsid w:val="000D122A"/>
    <w:rsid w:val="000D515E"/>
    <w:rsid w:val="000E55AD"/>
    <w:rsid w:val="000E630D"/>
    <w:rsid w:val="001001BD"/>
    <w:rsid w:val="00102222"/>
    <w:rsid w:val="00111FF7"/>
    <w:rsid w:val="00120541"/>
    <w:rsid w:val="001211F3"/>
    <w:rsid w:val="00123772"/>
    <w:rsid w:val="00127B5D"/>
    <w:rsid w:val="00133B51"/>
    <w:rsid w:val="00171925"/>
    <w:rsid w:val="00173998"/>
    <w:rsid w:val="00174617"/>
    <w:rsid w:val="001759A7"/>
    <w:rsid w:val="00197B03"/>
    <w:rsid w:val="001A4192"/>
    <w:rsid w:val="001A7910"/>
    <w:rsid w:val="001B4B5A"/>
    <w:rsid w:val="001C5C86"/>
    <w:rsid w:val="001C718D"/>
    <w:rsid w:val="001E14C4"/>
    <w:rsid w:val="001F7D5F"/>
    <w:rsid w:val="001F7EB4"/>
    <w:rsid w:val="002000C2"/>
    <w:rsid w:val="00205F25"/>
    <w:rsid w:val="00221B1E"/>
    <w:rsid w:val="00240DCD"/>
    <w:rsid w:val="0024330F"/>
    <w:rsid w:val="0024786B"/>
    <w:rsid w:val="00251D80"/>
    <w:rsid w:val="00254FB5"/>
    <w:rsid w:val="002640E5"/>
    <w:rsid w:val="0026436F"/>
    <w:rsid w:val="0026606E"/>
    <w:rsid w:val="00276403"/>
    <w:rsid w:val="00283472"/>
    <w:rsid w:val="002944FD"/>
    <w:rsid w:val="002C1C50"/>
    <w:rsid w:val="002C4FF9"/>
    <w:rsid w:val="002E6A7D"/>
    <w:rsid w:val="002E7A9E"/>
    <w:rsid w:val="002F15DC"/>
    <w:rsid w:val="002F3C41"/>
    <w:rsid w:val="002F6BBD"/>
    <w:rsid w:val="002F6C5C"/>
    <w:rsid w:val="0030045C"/>
    <w:rsid w:val="003205AD"/>
    <w:rsid w:val="00321FF1"/>
    <w:rsid w:val="0033027D"/>
    <w:rsid w:val="00335107"/>
    <w:rsid w:val="00335FB2"/>
    <w:rsid w:val="00344158"/>
    <w:rsid w:val="00347B74"/>
    <w:rsid w:val="00355CB6"/>
    <w:rsid w:val="00356A4D"/>
    <w:rsid w:val="00366257"/>
    <w:rsid w:val="00370C85"/>
    <w:rsid w:val="0038516D"/>
    <w:rsid w:val="003869D7"/>
    <w:rsid w:val="003A08AA"/>
    <w:rsid w:val="003A1EB0"/>
    <w:rsid w:val="003C0F14"/>
    <w:rsid w:val="003C2DA6"/>
    <w:rsid w:val="003C5132"/>
    <w:rsid w:val="003C5AF9"/>
    <w:rsid w:val="003C6DA6"/>
    <w:rsid w:val="003D1DCD"/>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6425"/>
    <w:rsid w:val="004876B9"/>
    <w:rsid w:val="00493A79"/>
    <w:rsid w:val="00495840"/>
    <w:rsid w:val="0049613C"/>
    <w:rsid w:val="004A40BE"/>
    <w:rsid w:val="004A6A60"/>
    <w:rsid w:val="004C634D"/>
    <w:rsid w:val="004D24B9"/>
    <w:rsid w:val="004E2CE2"/>
    <w:rsid w:val="004E313F"/>
    <w:rsid w:val="004E5172"/>
    <w:rsid w:val="004E6F8A"/>
    <w:rsid w:val="004F09F1"/>
    <w:rsid w:val="004F0B40"/>
    <w:rsid w:val="004F2866"/>
    <w:rsid w:val="00502CD2"/>
    <w:rsid w:val="00504E33"/>
    <w:rsid w:val="0051703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1C8A"/>
    <w:rsid w:val="005C29F7"/>
    <w:rsid w:val="005C4F58"/>
    <w:rsid w:val="005C5E8D"/>
    <w:rsid w:val="005C78F2"/>
    <w:rsid w:val="005D057C"/>
    <w:rsid w:val="005D3FEC"/>
    <w:rsid w:val="005D44BE"/>
    <w:rsid w:val="005D5116"/>
    <w:rsid w:val="005E088B"/>
    <w:rsid w:val="00611EC4"/>
    <w:rsid w:val="00612542"/>
    <w:rsid w:val="006146D2"/>
    <w:rsid w:val="00620B3F"/>
    <w:rsid w:val="006239E7"/>
    <w:rsid w:val="006254C4"/>
    <w:rsid w:val="00631F85"/>
    <w:rsid w:val="006323BE"/>
    <w:rsid w:val="006418C6"/>
    <w:rsid w:val="00641ED8"/>
    <w:rsid w:val="00654893"/>
    <w:rsid w:val="00662741"/>
    <w:rsid w:val="006633A4"/>
    <w:rsid w:val="00667DD2"/>
    <w:rsid w:val="00671BBB"/>
    <w:rsid w:val="00682237"/>
    <w:rsid w:val="006A0EF8"/>
    <w:rsid w:val="006A45BA"/>
    <w:rsid w:val="006B4280"/>
    <w:rsid w:val="006B4B1C"/>
    <w:rsid w:val="006C254D"/>
    <w:rsid w:val="006C2E80"/>
    <w:rsid w:val="006C4991"/>
    <w:rsid w:val="006E0F19"/>
    <w:rsid w:val="006E1FDA"/>
    <w:rsid w:val="006E5E87"/>
    <w:rsid w:val="006F1A44"/>
    <w:rsid w:val="00706A1A"/>
    <w:rsid w:val="00707673"/>
    <w:rsid w:val="007162BE"/>
    <w:rsid w:val="00721122"/>
    <w:rsid w:val="00722267"/>
    <w:rsid w:val="00723DDC"/>
    <w:rsid w:val="00746F46"/>
    <w:rsid w:val="0075252A"/>
    <w:rsid w:val="00764B84"/>
    <w:rsid w:val="00765028"/>
    <w:rsid w:val="00776ED7"/>
    <w:rsid w:val="0078034D"/>
    <w:rsid w:val="00785C08"/>
    <w:rsid w:val="00790BCC"/>
    <w:rsid w:val="00795CEE"/>
    <w:rsid w:val="00796F94"/>
    <w:rsid w:val="007974F5"/>
    <w:rsid w:val="007A5AA5"/>
    <w:rsid w:val="007A6136"/>
    <w:rsid w:val="007B0AE6"/>
    <w:rsid w:val="007B0F49"/>
    <w:rsid w:val="007C31D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1EC0"/>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1C0A"/>
    <w:rsid w:val="008C537F"/>
    <w:rsid w:val="008D40D0"/>
    <w:rsid w:val="008D658B"/>
    <w:rsid w:val="00902ABD"/>
    <w:rsid w:val="00922FCB"/>
    <w:rsid w:val="00935CB0"/>
    <w:rsid w:val="00937C6F"/>
    <w:rsid w:val="009428A9"/>
    <w:rsid w:val="009437A2"/>
    <w:rsid w:val="00944B28"/>
    <w:rsid w:val="00962D62"/>
    <w:rsid w:val="00967838"/>
    <w:rsid w:val="0097716D"/>
    <w:rsid w:val="009822EC"/>
    <w:rsid w:val="00982CD6"/>
    <w:rsid w:val="00985B73"/>
    <w:rsid w:val="009870A7"/>
    <w:rsid w:val="00992266"/>
    <w:rsid w:val="00994A54"/>
    <w:rsid w:val="009A0B51"/>
    <w:rsid w:val="009A25A9"/>
    <w:rsid w:val="009A3BC4"/>
    <w:rsid w:val="009A527F"/>
    <w:rsid w:val="009A6092"/>
    <w:rsid w:val="009B0B47"/>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4842"/>
    <w:rsid w:val="00A6656B"/>
    <w:rsid w:val="00A70E1E"/>
    <w:rsid w:val="00A73257"/>
    <w:rsid w:val="00A9081F"/>
    <w:rsid w:val="00A9188C"/>
    <w:rsid w:val="00A91E45"/>
    <w:rsid w:val="00A97002"/>
    <w:rsid w:val="00A97A52"/>
    <w:rsid w:val="00AA0D6A"/>
    <w:rsid w:val="00AB58BF"/>
    <w:rsid w:val="00AC6AE6"/>
    <w:rsid w:val="00AD0751"/>
    <w:rsid w:val="00AD35C1"/>
    <w:rsid w:val="00AD77C4"/>
    <w:rsid w:val="00AE25BF"/>
    <w:rsid w:val="00AF0C13"/>
    <w:rsid w:val="00B03AF5"/>
    <w:rsid w:val="00B03C01"/>
    <w:rsid w:val="00B078D6"/>
    <w:rsid w:val="00B1053A"/>
    <w:rsid w:val="00B1248D"/>
    <w:rsid w:val="00B14709"/>
    <w:rsid w:val="00B2743D"/>
    <w:rsid w:val="00B3015C"/>
    <w:rsid w:val="00B344D8"/>
    <w:rsid w:val="00B567D1"/>
    <w:rsid w:val="00B73B4C"/>
    <w:rsid w:val="00B73F75"/>
    <w:rsid w:val="00B75190"/>
    <w:rsid w:val="00B831FA"/>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04AE"/>
    <w:rsid w:val="00CA0968"/>
    <w:rsid w:val="00CA168E"/>
    <w:rsid w:val="00CA5E57"/>
    <w:rsid w:val="00CB0647"/>
    <w:rsid w:val="00CB4236"/>
    <w:rsid w:val="00CC72A4"/>
    <w:rsid w:val="00CD3153"/>
    <w:rsid w:val="00CF6810"/>
    <w:rsid w:val="00D06117"/>
    <w:rsid w:val="00D21FAC"/>
    <w:rsid w:val="00D31CC8"/>
    <w:rsid w:val="00D32678"/>
    <w:rsid w:val="00D521C1"/>
    <w:rsid w:val="00D71F40"/>
    <w:rsid w:val="00D74F71"/>
    <w:rsid w:val="00D77416"/>
    <w:rsid w:val="00D80FC6"/>
    <w:rsid w:val="00D94917"/>
    <w:rsid w:val="00D95608"/>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14075"/>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1201"/>
    <w:rsid w:val="00EF41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3AE3E9B"/>
    <w:rsid w:val="380934AD"/>
    <w:rsid w:val="747E48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annotation text"/>
    <w:basedOn w:val="1"/>
    <w:link w:val="66"/>
    <w:qFormat/>
    <w:uiPriority w:val="0"/>
    <w:rPr>
      <w:rFonts w:eastAsia="Times New Roman"/>
    </w:rPr>
  </w:style>
  <w:style w:type="paragraph" w:styleId="20">
    <w:name w:val="Body Text"/>
    <w:basedOn w:val="1"/>
    <w:link w:val="64"/>
    <w:uiPriority w:val="0"/>
    <w:pPr>
      <w:widowControl w:val="0"/>
    </w:pPr>
    <w:rPr>
      <w:i/>
      <w:lang w:val="en-US"/>
    </w:rPr>
  </w:style>
  <w:style w:type="paragraph" w:styleId="21">
    <w:name w:val="toc 8"/>
    <w:basedOn w:val="18"/>
    <w:next w:val="1"/>
    <w:semiHidden/>
    <w:uiPriority w:val="0"/>
    <w:pPr>
      <w:spacing w:before="180"/>
      <w:ind w:left="2693" w:hanging="2693"/>
    </w:pPr>
    <w:rPr>
      <w:b/>
    </w:rPr>
  </w:style>
  <w:style w:type="paragraph" w:styleId="22">
    <w:name w:val="footer"/>
    <w:basedOn w:val="23"/>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1"/>
    <w:next w:val="1"/>
    <w:semiHidden/>
    <w:uiPriority w:val="0"/>
    <w:pPr>
      <w:ind w:left="1418" w:hanging="1418"/>
    </w:pPr>
  </w:style>
  <w:style w:type="character" w:styleId="27">
    <w:name w:val="annotation reference"/>
    <w:qFormat/>
    <w:uiPriority w:val="0"/>
    <w:rPr>
      <w:sz w:val="16"/>
      <w:szCs w:val="16"/>
    </w:rPr>
  </w:style>
  <w:style w:type="paragraph" w:customStyle="1" w:styleId="28">
    <w:name w:val="TAL"/>
    <w:basedOn w:val="1"/>
    <w:link w:val="65"/>
    <w:qFormat/>
    <w:uiPriority w:val="0"/>
    <w:pPr>
      <w:keepNext/>
      <w:keepLines/>
      <w:spacing w:after="0"/>
    </w:pPr>
    <w:rPr>
      <w:rFonts w:ascii="Arial" w:hAnsi="Arial"/>
      <w:sz w:val="18"/>
    </w:rPr>
  </w:style>
  <w:style w:type="paragraph" w:customStyle="1" w:styleId="29">
    <w:name w:val="Heading"/>
    <w:basedOn w:val="1"/>
    <w:uiPriority w:val="0"/>
    <w:pPr>
      <w:widowControl w:val="0"/>
      <w:spacing w:after="120" w:line="240" w:lineRule="atLeast"/>
      <w:ind w:left="1260" w:hanging="551"/>
    </w:pPr>
    <w:rPr>
      <w:rFonts w:ascii="Arial" w:hAnsi="Arial"/>
      <w:b/>
      <w:sz w:val="22"/>
    </w:rPr>
  </w:style>
  <w:style w:type="paragraph" w:customStyle="1" w:styleId="30">
    <w:name w:val="TAH"/>
    <w:basedOn w:val="31"/>
    <w:uiPriority w:val="0"/>
    <w:rPr>
      <w:b/>
    </w:rPr>
  </w:style>
  <w:style w:type="paragraph" w:customStyle="1" w:styleId="31">
    <w:name w:val="TAC"/>
    <w:basedOn w:val="28"/>
    <w:uiPriority w:val="0"/>
    <w:pPr>
      <w:jc w:val="center"/>
    </w:pPr>
  </w:style>
  <w:style w:type="paragraph" w:customStyle="1" w:styleId="32">
    <w:name w:val="HE"/>
    <w:basedOn w:val="1"/>
    <w:uiPriority w:val="0"/>
    <w:rPr>
      <w:rFonts w:ascii="Arial" w:hAnsi="Arial"/>
      <w:b/>
    </w:rPr>
  </w:style>
  <w:style w:type="paragraph" w:customStyle="1" w:styleId="33">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35">
    <w:name w:val="TT"/>
    <w:basedOn w:val="2"/>
    <w:next w:val="1"/>
    <w:uiPriority w:val="0"/>
    <w:pPr>
      <w:outlineLvl w:val="9"/>
    </w:pPr>
  </w:style>
  <w:style w:type="paragraph" w:customStyle="1" w:styleId="36">
    <w:name w:val="TF"/>
    <w:basedOn w:val="37"/>
    <w:uiPriority w:val="0"/>
    <w:pPr>
      <w:keepNext w:val="0"/>
      <w:spacing w:before="0" w:after="240"/>
    </w:pPr>
  </w:style>
  <w:style w:type="paragraph" w:customStyle="1" w:styleId="37">
    <w:name w:val="TH"/>
    <w:basedOn w:val="1"/>
    <w:link w:val="62"/>
    <w:uiPriority w:val="0"/>
    <w:pPr>
      <w:keepNext/>
      <w:keepLines/>
      <w:spacing w:before="60"/>
      <w:jc w:val="center"/>
    </w:pPr>
    <w:rPr>
      <w:rFonts w:ascii="Arial" w:hAnsi="Arial"/>
      <w:b/>
    </w:rPr>
  </w:style>
  <w:style w:type="paragraph" w:customStyle="1" w:styleId="38">
    <w:name w:val="NO"/>
    <w:basedOn w:val="1"/>
    <w:uiPriority w:val="0"/>
    <w:pPr>
      <w:keepLines/>
      <w:ind w:left="1135" w:hanging="851"/>
    </w:pPr>
  </w:style>
  <w:style w:type="paragraph" w:customStyle="1" w:styleId="39">
    <w:name w:val="EX"/>
    <w:basedOn w:val="1"/>
    <w:uiPriority w:val="0"/>
    <w:pPr>
      <w:keepLines/>
      <w:ind w:left="1702" w:hanging="1418"/>
    </w:pPr>
  </w:style>
  <w:style w:type="paragraph" w:customStyle="1" w:styleId="40">
    <w:name w:val="FP"/>
    <w:basedOn w:val="1"/>
    <w:uiPriority w:val="0"/>
    <w:pPr>
      <w:spacing w:after="0"/>
    </w:pPr>
  </w:style>
  <w:style w:type="paragraph" w:customStyle="1" w:styleId="41">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2">
    <w:name w:val="NW"/>
    <w:basedOn w:val="38"/>
    <w:uiPriority w:val="0"/>
    <w:pPr>
      <w:spacing w:after="0"/>
    </w:pPr>
  </w:style>
  <w:style w:type="paragraph" w:customStyle="1" w:styleId="43">
    <w:name w:val="EW"/>
    <w:basedOn w:val="39"/>
    <w:uiPriority w:val="0"/>
    <w:pPr>
      <w:spacing w:after="0"/>
    </w:pPr>
  </w:style>
  <w:style w:type="paragraph" w:customStyle="1" w:styleId="44">
    <w:name w:val="EQ"/>
    <w:basedOn w:val="1"/>
    <w:next w:val="1"/>
    <w:uiPriority w:val="0"/>
    <w:pPr>
      <w:keepLines/>
      <w:tabs>
        <w:tab w:val="center" w:pos="4536"/>
        <w:tab w:val="right" w:pos="9072"/>
      </w:tabs>
    </w:pPr>
  </w:style>
  <w:style w:type="paragraph" w:customStyle="1" w:styleId="45">
    <w:name w:val="NF"/>
    <w:basedOn w:val="38"/>
    <w:uiPriority w:val="0"/>
    <w:pPr>
      <w:keepNext/>
      <w:spacing w:after="0"/>
    </w:pPr>
    <w:rPr>
      <w:rFonts w:ascii="Arial" w:hAnsi="Arial"/>
      <w:sz w:val="18"/>
    </w:rPr>
  </w:style>
  <w:style w:type="paragraph" w:customStyle="1" w:styleId="4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47">
    <w:name w:val="TAR"/>
    <w:basedOn w:val="28"/>
    <w:uiPriority w:val="0"/>
    <w:pPr>
      <w:jc w:val="right"/>
    </w:pPr>
  </w:style>
  <w:style w:type="paragraph" w:customStyle="1" w:styleId="48">
    <w:name w:val="TAN"/>
    <w:basedOn w:val="28"/>
    <w:uiPriority w:val="0"/>
    <w:pPr>
      <w:ind w:left="851" w:hanging="851"/>
    </w:pPr>
  </w:style>
  <w:style w:type="paragraph" w:customStyle="1" w:styleId="4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5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51">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5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3">
    <w:name w:val="ZV"/>
    <w:basedOn w:val="52"/>
    <w:uiPriority w:val="0"/>
    <w:pPr>
      <w:framePr w:y="16161"/>
    </w:pPr>
  </w:style>
  <w:style w:type="character" w:customStyle="1" w:styleId="54">
    <w:name w:val="ZGSM"/>
    <w:uiPriority w:val="0"/>
  </w:style>
  <w:style w:type="paragraph" w:customStyle="1" w:styleId="5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6">
    <w:name w:val="B1"/>
    <w:basedOn w:val="1"/>
    <w:uiPriority w:val="0"/>
    <w:pPr>
      <w:ind w:left="568" w:hanging="284"/>
    </w:pPr>
  </w:style>
  <w:style w:type="paragraph" w:customStyle="1" w:styleId="57">
    <w:name w:val="B2"/>
    <w:basedOn w:val="1"/>
    <w:uiPriority w:val="0"/>
    <w:pPr>
      <w:ind w:left="851" w:hanging="284"/>
    </w:pPr>
  </w:style>
  <w:style w:type="paragraph" w:customStyle="1" w:styleId="58">
    <w:name w:val="B3"/>
    <w:basedOn w:val="1"/>
    <w:uiPriority w:val="0"/>
    <w:pPr>
      <w:ind w:left="1135" w:hanging="284"/>
    </w:pPr>
  </w:style>
  <w:style w:type="paragraph" w:customStyle="1" w:styleId="59">
    <w:name w:val="B4"/>
    <w:basedOn w:val="1"/>
    <w:uiPriority w:val="0"/>
    <w:pPr>
      <w:ind w:left="1418" w:hanging="284"/>
    </w:pPr>
  </w:style>
  <w:style w:type="paragraph" w:customStyle="1" w:styleId="60">
    <w:name w:val="B5"/>
    <w:basedOn w:val="1"/>
    <w:uiPriority w:val="0"/>
    <w:pPr>
      <w:ind w:left="1702" w:hanging="284"/>
    </w:pPr>
  </w:style>
  <w:style w:type="paragraph" w:customStyle="1" w:styleId="61">
    <w:name w:val="ZTD"/>
    <w:basedOn w:val="50"/>
    <w:uiPriority w:val="0"/>
    <w:pPr>
      <w:framePr w:hRule="auto" w:y="852"/>
    </w:pPr>
    <w:rPr>
      <w:i w:val="0"/>
      <w:sz w:val="40"/>
    </w:rPr>
  </w:style>
  <w:style w:type="character" w:customStyle="1" w:styleId="62">
    <w:name w:val="TH Char"/>
    <w:link w:val="37"/>
    <w:uiPriority w:val="0"/>
    <w:rPr>
      <w:rFonts w:ascii="Arial" w:hAnsi="Arial"/>
      <w:b/>
      <w:color w:val="000000"/>
      <w:lang w:eastAsia="ja-JP"/>
    </w:rPr>
  </w:style>
  <w:style w:type="paragraph" w:customStyle="1" w:styleId="63">
    <w:name w:val="Guidance"/>
    <w:basedOn w:val="1"/>
    <w:uiPriority w:val="0"/>
    <w:rPr>
      <w:i/>
    </w:rPr>
  </w:style>
  <w:style w:type="character" w:customStyle="1" w:styleId="64">
    <w:name w:val="正文文本 字符"/>
    <w:basedOn w:val="26"/>
    <w:link w:val="20"/>
    <w:uiPriority w:val="0"/>
    <w:rPr>
      <w:i/>
      <w:color w:val="000000"/>
      <w:lang w:val="en-US" w:eastAsia="ja-JP"/>
    </w:rPr>
  </w:style>
  <w:style w:type="character" w:customStyle="1" w:styleId="65">
    <w:name w:val="TAL Char"/>
    <w:link w:val="28"/>
    <w:uiPriority w:val="0"/>
    <w:rPr>
      <w:rFonts w:ascii="Arial" w:hAnsi="Arial"/>
      <w:color w:val="000000"/>
      <w:sz w:val="18"/>
      <w:lang w:eastAsia="ja-JP"/>
    </w:rPr>
  </w:style>
  <w:style w:type="character" w:customStyle="1" w:styleId="66">
    <w:name w:val="批注文字 字符"/>
    <w:basedOn w:val="26"/>
    <w:link w:val="19"/>
    <w:uiPriority w:val="0"/>
    <w:rPr>
      <w:rFonts w:eastAsia="Times New Roman"/>
      <w:color w:val="000000"/>
      <w:lang w:eastAsia="ja-JP"/>
    </w:rPr>
  </w:style>
  <w:style w:type="paragraph" w:customStyle="1" w:styleId="67">
    <w:name w:val="Revision"/>
    <w:hidden/>
    <w:semiHidden/>
    <w:uiPriority w:val="99"/>
    <w:rPr>
      <w:rFonts w:ascii="Times New Roman" w:hAnsi="Times New Roman" w:cs="Times New Roman" w:eastAsiaTheme="minorEastAsia"/>
      <w:color w:val="000000"/>
      <w:lang w:val="en-GB" w:eastAsia="ja-JP" w:bidi="ar-SA"/>
    </w:rPr>
  </w:style>
  <w:style w:type="paragraph" w:customStyle="1" w:styleId="68">
    <w:name w:val="样式1"/>
    <w:basedOn w:val="1"/>
    <w:link w:val="69"/>
    <w:qFormat/>
    <w:uiPriority w:val="0"/>
    <w:pPr>
      <w:tabs>
        <w:tab w:val="left" w:pos="2127"/>
      </w:tabs>
      <w:overflowPunct/>
      <w:autoSpaceDE/>
      <w:autoSpaceDN/>
      <w:adjustRightInd/>
      <w:spacing w:after="0"/>
      <w:ind w:left="2127" w:hanging="2127"/>
      <w:jc w:val="both"/>
      <w:textAlignment w:val="auto"/>
      <w:outlineLvl w:val="0"/>
    </w:pPr>
    <w:rPr>
      <w:rFonts w:ascii="Arial" w:hAnsi="Arial" w:eastAsia="Arial"/>
      <w:b/>
      <w:sz w:val="24"/>
      <w:szCs w:val="24"/>
      <w:lang w:val="en-US" w:eastAsia="zh-CN"/>
    </w:rPr>
  </w:style>
  <w:style w:type="character" w:customStyle="1" w:styleId="69">
    <w:name w:val="样式1 字符"/>
    <w:basedOn w:val="26"/>
    <w:link w:val="68"/>
    <w:uiPriority w:val="0"/>
    <w:rPr>
      <w:rFonts w:ascii="Arial" w:hAnsi="Arial" w:eastAsia="Arial"/>
      <w:b/>
      <w:color w:val="000000"/>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5B671A-30D1-4117-8002-38BB9C0F8F8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780</Words>
  <Characters>4449</Characters>
  <Lines>37</Lines>
  <Paragraphs>10</Paragraphs>
  <TotalTime>1</TotalTime>
  <ScaleCrop>false</ScaleCrop>
  <LinksUpToDate>false</LinksUpToDate>
  <CharactersWithSpaces>5219</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2022-08-10T09:53:00Z</dcterms:created>
  <dc:creator>MCC/Alain Sultan</dc:creator>
  <cp:keywords>WID template</cp:keywords>
  <cp:lastModifiedBy>Liu Yubing1</cp:lastModifiedBy>
  <cp:lastPrinted>2000-02-29T11:31:00Z</cp:lastPrinted>
  <dcterms:modified xsi:type="dcterms:W3CDTF">2022-08-10T15:32:16Z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2052-11.1.0.11411</vt:lpwstr>
  </property>
  <property fmtid="{D5CDD505-2E9C-101B-9397-08002B2CF9AE}" pid="17" name="ICV">
    <vt:lpwstr>866CA88C19914571BD6A0347884EC7FC</vt:lpwstr>
  </property>
</Properties>
</file>