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cs="Arial"/>
          <w:b/>
          <w:sz w:val="24"/>
          <w:lang w:val="en-US" w:eastAsia="zh-CN"/>
        </w:rPr>
      </w:pPr>
      <w:bookmarkStart w:id="0" w:name="_Hlk91753531"/>
      <w:r>
        <w:rPr>
          <w:rFonts w:cs="Arial"/>
          <w:b/>
          <w:sz w:val="24"/>
        </w:rPr>
        <w:t xml:space="preserve">3GPP TSG SA </w:t>
      </w:r>
      <w:r>
        <w:rPr>
          <w:rFonts w:hint="eastAsia" w:eastAsia="宋体" w:cs="Arial"/>
          <w:b/>
          <w:sz w:val="24"/>
          <w:lang w:val="en-US" w:eastAsia="zh-CN"/>
        </w:rPr>
        <w:t xml:space="preserve">WG2 </w:t>
      </w:r>
      <w:r>
        <w:rPr>
          <w:rFonts w:cs="Arial"/>
          <w:b/>
          <w:sz w:val="24"/>
        </w:rPr>
        <w:t>Meeting #</w:t>
      </w:r>
      <w:r>
        <w:rPr>
          <w:rFonts w:hint="eastAsia" w:eastAsia="宋体" w:cs="Arial"/>
          <w:b/>
          <w:sz w:val="24"/>
          <w:lang w:val="en-US" w:eastAsia="zh-CN"/>
        </w:rPr>
        <w:t>152-e</w:t>
      </w:r>
      <w:r>
        <w:rPr>
          <w:b/>
          <w:i/>
          <w:sz w:val="28"/>
        </w:rPr>
        <w:tab/>
      </w:r>
      <w:r>
        <w:rPr>
          <w:rFonts w:cs="Arial"/>
          <w:b/>
          <w:sz w:val="24"/>
        </w:rPr>
        <w:t>S</w:t>
      </w:r>
      <w:r>
        <w:rPr>
          <w:rFonts w:hint="eastAsia" w:eastAsia="宋体" w:cs="Arial"/>
          <w:b/>
          <w:sz w:val="24"/>
          <w:lang w:val="en-US" w:eastAsia="zh-CN"/>
        </w:rPr>
        <w:t>2</w:t>
      </w:r>
      <w:r>
        <w:rPr>
          <w:rFonts w:cs="Arial"/>
          <w:b/>
          <w:sz w:val="24"/>
        </w:rPr>
        <w:t>-</w:t>
      </w:r>
      <w:r>
        <w:rPr>
          <w:rFonts w:hint="eastAsia" w:eastAsia="宋体" w:cs="Arial"/>
          <w:b/>
          <w:sz w:val="24"/>
          <w:lang w:val="en-US" w:eastAsia="zh-CN"/>
        </w:rPr>
        <w:t>2205460</w:t>
      </w:r>
    </w:p>
    <w:p>
      <w:pPr>
        <w:pStyle w:val="81"/>
        <w:outlineLvl w:val="0"/>
        <w:rPr>
          <w:b/>
          <w:sz w:val="24"/>
        </w:rPr>
      </w:pPr>
      <w:r>
        <w:rPr>
          <w:rFonts w:hint="eastAsia" w:eastAsia="宋体"/>
          <w:b/>
          <w:sz w:val="24"/>
          <w:lang w:val="en-US" w:eastAsia="zh-CN"/>
        </w:rPr>
        <w:t>August</w:t>
      </w:r>
      <w:r>
        <w:rPr>
          <w:b/>
          <w:sz w:val="24"/>
        </w:rPr>
        <w:t xml:space="preserve"> </w:t>
      </w:r>
      <w:r>
        <w:rPr>
          <w:rFonts w:hint="eastAsia" w:eastAsia="宋体"/>
          <w:b/>
          <w:sz w:val="24"/>
          <w:lang w:val="en-US" w:eastAsia="zh-CN"/>
        </w:rPr>
        <w:t>1</w:t>
      </w:r>
      <w:r>
        <w:rPr>
          <w:b/>
          <w:sz w:val="24"/>
        </w:rPr>
        <w:t>7</w:t>
      </w:r>
      <w:r>
        <w:rPr>
          <w:b/>
          <w:sz w:val="24"/>
          <w:vertAlign w:val="superscript"/>
        </w:rPr>
        <w:t>th</w:t>
      </w:r>
      <w:r>
        <w:rPr>
          <w:b/>
          <w:sz w:val="24"/>
        </w:rPr>
        <w:t xml:space="preserve"> – </w:t>
      </w:r>
      <w:r>
        <w:rPr>
          <w:rFonts w:hint="eastAsia" w:eastAsia="宋体"/>
          <w:b/>
          <w:sz w:val="24"/>
          <w:lang w:val="en-US" w:eastAsia="zh-CN"/>
        </w:rPr>
        <w:t>26</w:t>
      </w:r>
      <w:r>
        <w:rPr>
          <w:b/>
          <w:sz w:val="24"/>
          <w:vertAlign w:val="superscript"/>
        </w:rPr>
        <w:t>th</w:t>
      </w:r>
      <w:r>
        <w:rPr>
          <w:b/>
          <w:sz w:val="24"/>
        </w:rPr>
        <w:t>, 2022</w:t>
      </w:r>
      <w:r>
        <w:rPr>
          <w:rFonts w:hint="eastAsia" w:eastAsia="宋体"/>
          <w:b/>
          <w:sz w:val="24"/>
          <w:lang w:val="en-US" w:eastAsia="zh-CN"/>
        </w:rPr>
        <w:t>,</w:t>
      </w:r>
      <w:r>
        <w:rPr>
          <w:b/>
          <w:sz w:val="24"/>
        </w:rPr>
        <w:t xml:space="preserve"> </w:t>
      </w:r>
      <w:r>
        <w:rPr>
          <w:rFonts w:hint="eastAsia"/>
          <w:b/>
          <w:sz w:val="24"/>
        </w:rPr>
        <w:t>Electronic meeting</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b/>
          <w:sz w:val="24"/>
        </w:rPr>
        <w:tab/>
      </w:r>
      <w:r>
        <w:rPr>
          <w:b/>
          <w:sz w:val="24"/>
        </w:rPr>
        <w:tab/>
      </w:r>
      <w:r>
        <w:rPr>
          <w:b/>
          <w:sz w:val="24"/>
        </w:rPr>
        <w:tab/>
      </w:r>
      <w:r>
        <w:rPr>
          <w:b/>
          <w:sz w:val="24"/>
        </w:rPr>
        <w:tab/>
      </w:r>
      <w:bookmarkStart w:id="32" w:name="_GoBack"/>
      <w:bookmarkEnd w:id="32"/>
      <w:r>
        <w:rPr>
          <w:b/>
          <w:sz w:val="24"/>
        </w:rPr>
        <w:tab/>
      </w:r>
      <w:r>
        <w:rPr>
          <w:b/>
          <w:sz w:val="24"/>
        </w:rPr>
        <w:tab/>
      </w:r>
      <w:r>
        <w:rPr>
          <w:b/>
          <w:sz w:val="24"/>
        </w:rPr>
        <w:tab/>
      </w:r>
      <w:r>
        <w:rPr>
          <w:b/>
          <w:sz w:val="24"/>
        </w:rPr>
        <w:tab/>
      </w:r>
      <w:r>
        <w:rPr>
          <w:rFonts w:hint="eastAsia" w:eastAsia="宋体"/>
          <w:b/>
          <w:sz w:val="24"/>
          <w:lang w:val="en-US" w:eastAsia="zh-CN"/>
        </w:rPr>
        <w:tab/>
      </w:r>
      <w:r>
        <w:rPr>
          <w:rFonts w:hint="eastAsia" w:eastAsia="宋体"/>
          <w:b/>
          <w:sz w:val="24"/>
          <w:lang w:val="en-US" w:eastAsia="zh-CN"/>
        </w:rPr>
        <w:tab/>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rPr>
          <w:trHeight w:val="210" w:hRule="atLeast"/>
        </w:trP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b/>
                <w:sz w:val="28"/>
              </w:rPr>
              <w:t>23.</w:t>
            </w:r>
            <w:r>
              <w:rPr>
                <w:rFonts w:hint="eastAsia" w:eastAsia="宋体"/>
                <w:b/>
                <w:sz w:val="28"/>
                <w:lang w:val="en-US" w:eastAsia="zh-CN"/>
              </w:rPr>
              <w:t>501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b/>
                <w:bCs/>
                <w:lang w:val="en-US" w:eastAsia="zh-CN"/>
              </w:rPr>
            </w:pPr>
            <w:r>
              <w:rPr>
                <w:rFonts w:hint="eastAsia" w:eastAsia="宋体"/>
                <w:b/>
                <w:sz w:val="28"/>
                <w:lang w:val="en-US" w:eastAsia="zh-CN"/>
              </w:rPr>
              <w:t>3658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szCs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w:t>
            </w:r>
            <w:r>
              <w:rPr>
                <w:rFonts w:hint="eastAsia" w:eastAsia="宋体"/>
                <w:b/>
                <w:sz w:val="28"/>
                <w:lang w:val="en-US" w:eastAsia="zh-CN"/>
              </w:rPr>
              <w:t>5</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jc w:val="center"/>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rPr>
          <w:jc w:val="center"/>
        </w:trP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of</w:t>
            </w:r>
            <w:r>
              <w:t xml:space="preserve"> Network Slice AS Groups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lang w:val="en-US"/>
              </w:rPr>
            </w:pPr>
          </w:p>
        </w:tc>
        <w:tc>
          <w:tcPr>
            <w:tcW w:w="7797" w:type="dxa"/>
            <w:gridSpan w:val="10"/>
            <w:tcBorders>
              <w:right w:val="single" w:color="auto" w:sz="4" w:space="0"/>
            </w:tcBorders>
          </w:tcPr>
          <w:p>
            <w:pPr>
              <w:pStyle w:val="81"/>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IPLOOK</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NR_slice-Core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2022-0</w:t>
            </w:r>
            <w:r>
              <w:rPr>
                <w:rFonts w:hint="eastAsia" w:eastAsia="宋体"/>
                <w:lang w:val="en-US" w:eastAsia="zh-CN"/>
              </w:rPr>
              <w:t>8</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D</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This CR </w:t>
            </w:r>
            <w:r>
              <w:rPr>
                <w:rFonts w:hint="eastAsia" w:eastAsia="宋体"/>
                <w:lang w:val="en-US" w:eastAsia="zh-CN"/>
              </w:rPr>
              <w:t>provides some correction on NR_slice-Core</w:t>
            </w:r>
            <w:r>
              <w:t xml:space="preserve"> relaying </w:t>
            </w:r>
            <w:r>
              <w:rPr>
                <w:rFonts w:hint="eastAsia" w:eastAsia="宋体"/>
                <w:lang w:val="en-US" w:eastAsia="zh-CN"/>
              </w:rPr>
              <w:t>Network Slice AS Group support</w:t>
            </w:r>
            <w:r>
              <w:t xml:space="preserve"> as specified in </w:t>
            </w:r>
            <w:r>
              <w:rPr>
                <w:rFonts w:hint="eastAsia" w:eastAsia="宋体"/>
                <w:lang w:val="en-US" w:eastAsia="zh-CN"/>
              </w:rPr>
              <w:t xml:space="preserve">clause 5.15.14, </w:t>
            </w:r>
            <w:r>
              <w:t xml:space="preserve">TS </w:t>
            </w:r>
            <w:r>
              <w:rPr>
                <w:rFonts w:hint="eastAsia" w:eastAsia="宋体"/>
                <w:lang w:val="en-US" w:eastAsia="zh-CN"/>
              </w:rPr>
              <w:t>23.501</w:t>
            </w:r>
            <w:r>
              <w:t>.</w:t>
            </w:r>
          </w:p>
          <w:p>
            <w:pPr>
              <w:pStyle w:val="81"/>
              <w:spacing w:after="0"/>
              <w:ind w:left="100"/>
            </w:pPr>
          </w:p>
          <w:p>
            <w:pPr>
              <w:pStyle w:val="81"/>
              <w:spacing w:after="0"/>
              <w:ind w:left="100"/>
              <w:rPr>
                <w:color w:val="FF0000"/>
                <w:sz w:val="24"/>
                <w:szCs w:val="24"/>
                <w:lang w:val="en-US"/>
              </w:rPr>
            </w:pPr>
            <w:r>
              <w:rPr>
                <w:rFonts w:hint="eastAsia" w:eastAsia="宋体"/>
                <w:lang w:val="en-US" w:eastAsia="zh-CN"/>
              </w:rPr>
              <w:t>Correction on redundant word in the description of NSAG.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Remove the redundant word </w:t>
            </w:r>
            <w:r>
              <w:rPr>
                <w:rFonts w:hint="default" w:eastAsia="宋体"/>
                <w:lang w:val="en-US" w:eastAsia="zh-CN"/>
              </w:rPr>
              <w:t>‘</w:t>
            </w:r>
            <w:r>
              <w:rPr>
                <w:rFonts w:hint="eastAsia" w:eastAsia="宋体"/>
                <w:lang w:val="en-US" w:eastAsia="zh-CN"/>
              </w:rPr>
              <w:t>e</w:t>
            </w:r>
            <w:r>
              <w:rPr>
                <w:rFonts w:hint="default" w:eastAsia="宋体"/>
                <w:lang w:val="en-US" w:eastAsia="zh-CN"/>
              </w:rPr>
              <w:t>’</w:t>
            </w:r>
            <w:r>
              <w:rPr>
                <w:rFonts w:hint="eastAsia" w:eastAsia="宋体"/>
                <w:lang w:val="en-US" w:eastAsia="zh-CN"/>
              </w:rPr>
              <w:t xml:space="preserve"> </w:t>
            </w:r>
            <w:r>
              <w:rPr>
                <w:rFonts w:hint="eastAsia"/>
              </w:rPr>
              <w:t>in the description of NSAG.</w:t>
            </w:r>
          </w:p>
          <w:p>
            <w:pPr>
              <w:pStyle w:val="81"/>
              <w:spacing w:after="0"/>
              <w:ind w:left="100"/>
              <w:rPr>
                <w:rFonts w:hint="eastAsia"/>
              </w:rPr>
            </w:pPr>
          </w:p>
          <w:p>
            <w:pPr>
              <w:pStyle w:val="81"/>
              <w:spacing w:after="0"/>
              <w:ind w:left="100"/>
              <w:rPr>
                <w:b/>
                <w:bCs/>
              </w:rPr>
            </w:pPr>
            <w:r>
              <w:rPr>
                <w:rFonts w:hint="eastAsia"/>
              </w:rPr>
              <w:t xml:space="preserve">Remove the redundant bracket </w:t>
            </w:r>
            <w:r>
              <w:rPr>
                <w:rFonts w:hint="default" w:eastAsia="宋体"/>
                <w:lang w:val="en-US" w:eastAsia="zh-CN"/>
              </w:rPr>
              <w:t>‘</w:t>
            </w:r>
            <w:r>
              <w:rPr>
                <w:rFonts w:hint="eastAsia" w:eastAsia="宋体"/>
                <w:lang w:val="en-US" w:eastAsia="zh-CN"/>
              </w:rPr>
              <w:t>)</w:t>
            </w:r>
            <w:r>
              <w:rPr>
                <w:rFonts w:hint="default" w:eastAsia="宋体"/>
                <w:lang w:val="en-US" w:eastAsia="zh-CN"/>
              </w:rPr>
              <w:t>’</w:t>
            </w:r>
            <w:r>
              <w:rPr>
                <w:rFonts w:hint="eastAsia" w:eastAsia="宋体"/>
                <w:lang w:val="en-US" w:eastAsia="zh-CN"/>
              </w:rPr>
              <w:t xml:space="preserve"> </w:t>
            </w:r>
            <w:r>
              <w:rPr>
                <w:rFonts w:hint="eastAsia"/>
              </w:rPr>
              <w:t>in the description of NSAG.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bookmarkStart w:id="2" w:name="OLE_LINK1"/>
            <w:r>
              <w:rPr>
                <w:rFonts w:hint="eastAsia" w:eastAsia="宋体"/>
                <w:lang w:val="en-US" w:eastAsia="zh-CN"/>
              </w:rPr>
              <w:t xml:space="preserve">Misunderstanding on procedure of AMF configure the UE with NSAG information due to the no meaning character </w:t>
            </w:r>
            <w:r>
              <w:rPr>
                <w:rFonts w:hint="default" w:eastAsia="宋体"/>
                <w:lang w:val="en-US" w:eastAsia="zh-CN"/>
              </w:rPr>
              <w:t>“</w:t>
            </w:r>
            <w:r>
              <w:rPr>
                <w:rFonts w:hint="eastAsia" w:eastAsia="宋体"/>
                <w:lang w:val="en-US" w:eastAsia="zh-CN"/>
              </w:rPr>
              <w:t>e</w:t>
            </w:r>
            <w:r>
              <w:rPr>
                <w:rFonts w:hint="default" w:eastAsia="宋体"/>
                <w:lang w:val="en-US" w:eastAsia="zh-CN"/>
              </w:rPr>
              <w:t>”</w:t>
            </w:r>
            <w:r>
              <w:rPr>
                <w:rFonts w:hint="eastAsia" w:eastAsia="宋体"/>
                <w:lang w:val="en-US" w:eastAsia="zh-CN"/>
              </w:rPr>
              <w:t>.</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Redundant bracket may lead to unclear description.</w:t>
            </w:r>
            <w:bookmarkEnd w:id="2"/>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ko-KR"/>
              </w:rPr>
            </w:pPr>
            <w:r>
              <w:rPr>
                <w:rFonts w:hint="eastAsia" w:eastAsia="宋体"/>
                <w:lang w:val="en-US" w:eastAsia="zh-CN"/>
              </w:rPr>
              <w:t>5.15.14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rPr>
      </w:pPr>
      <w:r>
        <w:rPr>
          <w:rFonts w:hint="eastAsia" w:ascii="Arial" w:hAnsi="Arial" w:eastAsia="宋体"/>
          <w:i/>
          <w:color w:val="FF0000"/>
          <w:sz w:val="24"/>
          <w:lang w:val="en-US" w:eastAsia="zh-CN"/>
        </w:rPr>
        <w:t>START OF</w:t>
      </w:r>
      <w:r>
        <w:rPr>
          <w:rFonts w:ascii="Arial" w:hAnsi="Arial"/>
          <w:i/>
          <w:color w:val="FF0000"/>
          <w:sz w:val="24"/>
          <w:lang w:val="en-US"/>
        </w:rPr>
        <w:t xml:space="preserve"> CHANGE</w:t>
      </w:r>
    </w:p>
    <w:p>
      <w:pPr>
        <w:pStyle w:val="4"/>
      </w:pPr>
      <w:bookmarkStart w:id="3" w:name="_Toc106188037"/>
      <w:bookmarkStart w:id="4" w:name="_Toc43735540"/>
      <w:bookmarkStart w:id="5" w:name="_Toc75412148"/>
      <w:bookmarkStart w:id="6" w:name="_Toc36192491"/>
      <w:bookmarkStart w:id="7" w:name="_Toc73625501"/>
      <w:bookmarkStart w:id="8" w:name="_Toc55202114"/>
      <w:bookmarkStart w:id="9" w:name="_Toc20204674"/>
      <w:bookmarkStart w:id="10" w:name="_Toc50557133"/>
      <w:bookmarkStart w:id="11" w:name="_Toc50133841"/>
      <w:bookmarkStart w:id="12" w:name="_Toc83355922"/>
      <w:bookmarkStart w:id="13" w:name="_Toc45193593"/>
      <w:bookmarkStart w:id="14" w:name="_Toc57366127"/>
      <w:bookmarkStart w:id="15" w:name="_Toc27895388"/>
      <w:bookmarkStart w:id="16" w:name="_Toc30666558"/>
      <w:bookmarkStart w:id="17" w:name="_Toc50134181"/>
      <w:bookmarkStart w:id="18" w:name="_Toc66703570"/>
      <w:bookmarkStart w:id="19" w:name="_Toc43388310"/>
      <w:bookmarkStart w:id="20" w:name="_Toc31030743"/>
      <w:bookmarkStart w:id="21" w:name="_Toc83206601"/>
      <w:bookmarkStart w:id="22" w:name="_Toc50548809"/>
      <w:bookmarkStart w:id="23" w:name="_Toc57209736"/>
      <w:bookmarkStart w:id="24" w:name="_Toc98836876"/>
      <w:bookmarkStart w:id="25" w:name="_Toc83206620"/>
      <w:bookmarkStart w:id="26" w:name="_Toc47593225"/>
      <w:bookmarkStart w:id="27" w:name="_Toc83206732"/>
      <w:bookmarkStart w:id="28" w:name="_Toc51835312"/>
      <w:bookmarkStart w:id="29" w:name="_Toc50130527"/>
      <w:bookmarkStart w:id="30" w:name="_Toc31029852"/>
      <w:bookmarkStart w:id="31" w:name="_Toc73625622"/>
      <w:r>
        <w:t>5.15.14</w:t>
      </w:r>
      <w:r>
        <w:tab/>
      </w:r>
      <w:r>
        <w:t>Network Slice AS Groups support</w:t>
      </w:r>
      <w:bookmarkEnd w:id="3"/>
    </w:p>
    <w:p>
      <w:r>
        <w:t>The RAN may support Network Slice AS Groups (NSAGs) which are used as specified in TS 38.300 [27] and TS 38.304 [50]. A Network Slice AS Group may be valid in one or more Tracking Areas. The 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w:t>
      </w:r>
      <w:del w:id="0" w:author="IPLOOK" w:date="2022-07-21T09:24:48Z">
        <w:r>
          <w:rPr>
            <w:highlight w:val="none"/>
          </w:rPr>
          <w:delText>)</w:delText>
        </w:r>
      </w:del>
      <w:r>
        <w:t>, all the NSAGs configured in the RAN may be unique per PLMN. If the UE has indicated that the UE supports NSAG in the 5GMM Core Network Capability (see clause 5.4.4a), the AMF may, with or without NSSF assistance, configure the UE with NSAG Information</w:t>
      </w:r>
      <w:ins w:id="1" w:author="IPLOOK" w:date="2022-07-21T09:24:55Z">
        <w:r>
          <w:rPr>
            <w:rFonts w:hint="eastAsia" w:eastAsia="宋体"/>
            <w:lang w:val="en-US" w:eastAsia="zh-CN"/>
          </w:rPr>
          <w:t xml:space="preserve"> </w:t>
        </w:r>
      </w:ins>
      <w:del w:id="2" w:author="IPLOOK" w:date="2022-07-21T09:24:53Z">
        <w:r>
          <w:rPr>
            <w:highlight w:val="none"/>
          </w:rPr>
          <w:delText xml:space="preserve"> e </w:delText>
        </w:r>
      </w:del>
      <w:r>
        <w:rPr>
          <w:highlight w:val="none"/>
        </w:rPr>
        <w:t>f</w:t>
      </w:r>
      <w:r>
        <w:t>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p>
    <w:p>
      <w:r>
        <w:t>The UE shall store and consider the received NSAG Information, valid for the Registered PLMN until:</w:t>
      </w:r>
    </w:p>
    <w:p>
      <w:pPr>
        <w:pStyle w:val="75"/>
      </w:pPr>
      <w:r>
        <w:t>-</w:t>
      </w:r>
      <w:r>
        <w:tab/>
      </w:r>
      <w:r>
        <w:t>the UE receives new NSAG information in a Registration Accept message or UE Configuration Command message in this PLMN; or</w:t>
      </w:r>
    </w:p>
    <w:p>
      <w:pPr>
        <w:pStyle w:val="75"/>
      </w:pPr>
      <w:r>
        <w:t>-</w:t>
      </w:r>
      <w:r>
        <w:tab/>
      </w:r>
      <w:r>
        <w:t>the UE receives a Configured NSSAI without any NSAG information in this PLMN.</w:t>
      </w:r>
    </w:p>
    <w:p>
      <w:r>
        <w:t>The UE shall store the currently valid NSAG information received in the registered PLMN when registered in this PLMN and:</w:t>
      </w:r>
    </w:p>
    <w:p>
      <w:pPr>
        <w:pStyle w:val="75"/>
      </w:pPr>
      <w:r>
        <w:t>-</w:t>
      </w:r>
      <w:r>
        <w:tab/>
      </w:r>
      <w:r>
        <w:t>The UE should be able to store the NSAG information for at least the R-PLMN and equivalent PLMNs.</w:t>
      </w:r>
    </w:p>
    <w:p>
      <w:pPr>
        <w:pStyle w:val="75"/>
      </w:pPr>
      <w:r>
        <w:t>-</w:t>
      </w:r>
      <w:r>
        <w:tab/>
      </w:r>
      <w:r>
        <w:t>Only the RPLMN can provide NSAG information to the UE.</w:t>
      </w:r>
    </w:p>
    <w:p>
      <w:pPr>
        <w:pStyle w:val="75"/>
      </w:pPr>
      <w:r>
        <w:t>-</w:t>
      </w:r>
      <w:r>
        <w:tab/>
      </w:r>
      <w:r>
        <w:t>There can be at most 32 groups configured in the UE at a time for a PLMN.</w:t>
      </w:r>
    </w:p>
    <w:p>
      <w:pPr>
        <w:pStyle w:val="75"/>
      </w:pPr>
      <w:r>
        <w:t>-</w:t>
      </w:r>
      <w:r>
        <w:tab/>
      </w:r>
      <w:r>
        <w:t>At most 4 NSAGs can have an optional TAI associated with it.</w:t>
      </w:r>
    </w:p>
    <w:p>
      <w:r>
        <w:t>The NSAG information is not required to be stored after power off or after the UE becomes Deregistered as it is not used for cell selection.</w:t>
      </w:r>
    </w:p>
    <w:p>
      <w:r>
        <w:t>A S-NSSAI can be associated with at most one NSAG values for RACH and at most one NSAG value for Cell Reselection within a Tracking Area. A S-NSSAI can be associated with different NSAG values in different Tracking Areas.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rPr>
      </w:pPr>
      <w:r>
        <w:rPr>
          <w:rFonts w:hint="eastAsia" w:ascii="Arial" w:hAnsi="Arial" w:eastAsia="宋体"/>
          <w:i/>
          <w:color w:val="FF0000"/>
          <w:sz w:val="24"/>
          <w:lang w:val="en-US" w:eastAsia="zh-CN"/>
        </w:rPr>
        <w:t>END</w:t>
      </w:r>
      <w:r>
        <w:rPr>
          <w:rFonts w:ascii="Arial" w:hAnsi="Arial"/>
          <w:i/>
          <w:color w:val="FF0000"/>
          <w:sz w:val="24"/>
          <w:lang w:val="en-US"/>
        </w:rPr>
        <w:t xml:space="preserve"> </w:t>
      </w:r>
      <w:r>
        <w:rPr>
          <w:rFonts w:hint="eastAsia" w:ascii="Arial" w:hAnsi="Arial" w:eastAsia="宋体"/>
          <w:i/>
          <w:color w:val="FF0000"/>
          <w:sz w:val="24"/>
          <w:lang w:val="en-US" w:eastAsia="zh-CN"/>
        </w:rPr>
        <w:t xml:space="preserve">OF </w:t>
      </w:r>
      <w:r>
        <w:rPr>
          <w:rFonts w:ascii="Arial" w:hAnsi="Arial"/>
          <w:i/>
          <w:color w:val="FF0000"/>
          <w:sz w:val="24"/>
          <w:lang w:val="en-US"/>
        </w:rPr>
        <w:t>CHANGE</w:t>
      </w:r>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WPS Office" w15:userId="10031297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135557"/>
    <w:rsid w:val="001413D9"/>
    <w:rsid w:val="00143237"/>
    <w:rsid w:val="00154966"/>
    <w:rsid w:val="00160051"/>
    <w:rsid w:val="0016613B"/>
    <w:rsid w:val="00184D8E"/>
    <w:rsid w:val="001B015E"/>
    <w:rsid w:val="001B4368"/>
    <w:rsid w:val="001D10FA"/>
    <w:rsid w:val="001D3ACB"/>
    <w:rsid w:val="001D5D28"/>
    <w:rsid w:val="001F5F0E"/>
    <w:rsid w:val="00201172"/>
    <w:rsid w:val="002365BA"/>
    <w:rsid w:val="00260446"/>
    <w:rsid w:val="00270324"/>
    <w:rsid w:val="00272C13"/>
    <w:rsid w:val="00275381"/>
    <w:rsid w:val="002818D5"/>
    <w:rsid w:val="002831D7"/>
    <w:rsid w:val="00292395"/>
    <w:rsid w:val="002C579E"/>
    <w:rsid w:val="002E2550"/>
    <w:rsid w:val="00333C0A"/>
    <w:rsid w:val="00363FF2"/>
    <w:rsid w:val="003715D0"/>
    <w:rsid w:val="003847DD"/>
    <w:rsid w:val="003B2F8D"/>
    <w:rsid w:val="003C027C"/>
    <w:rsid w:val="003C1EB8"/>
    <w:rsid w:val="003C6843"/>
    <w:rsid w:val="003E4526"/>
    <w:rsid w:val="003E600F"/>
    <w:rsid w:val="0040080A"/>
    <w:rsid w:val="0041751A"/>
    <w:rsid w:val="00430DAC"/>
    <w:rsid w:val="00442D26"/>
    <w:rsid w:val="004723A7"/>
    <w:rsid w:val="004B5017"/>
    <w:rsid w:val="004B5FF5"/>
    <w:rsid w:val="004C75F1"/>
    <w:rsid w:val="004E6E8B"/>
    <w:rsid w:val="004F719C"/>
    <w:rsid w:val="00510FFA"/>
    <w:rsid w:val="0051517C"/>
    <w:rsid w:val="00515E48"/>
    <w:rsid w:val="00525E64"/>
    <w:rsid w:val="00540F29"/>
    <w:rsid w:val="00542A62"/>
    <w:rsid w:val="00550706"/>
    <w:rsid w:val="00582DF8"/>
    <w:rsid w:val="00593FCD"/>
    <w:rsid w:val="005971B1"/>
    <w:rsid w:val="005A4B29"/>
    <w:rsid w:val="005B2E57"/>
    <w:rsid w:val="005C5F94"/>
    <w:rsid w:val="005E0CFB"/>
    <w:rsid w:val="005F26EC"/>
    <w:rsid w:val="005F5C1D"/>
    <w:rsid w:val="00607AF0"/>
    <w:rsid w:val="00611116"/>
    <w:rsid w:val="006405AE"/>
    <w:rsid w:val="0065006B"/>
    <w:rsid w:val="00654987"/>
    <w:rsid w:val="00692B22"/>
    <w:rsid w:val="00693D23"/>
    <w:rsid w:val="006B3823"/>
    <w:rsid w:val="006C4858"/>
    <w:rsid w:val="006D5CB7"/>
    <w:rsid w:val="006F3A14"/>
    <w:rsid w:val="006F4E91"/>
    <w:rsid w:val="0070515B"/>
    <w:rsid w:val="0070708B"/>
    <w:rsid w:val="00710AFD"/>
    <w:rsid w:val="00756AF7"/>
    <w:rsid w:val="007632B4"/>
    <w:rsid w:val="00781D5B"/>
    <w:rsid w:val="007833ED"/>
    <w:rsid w:val="007C30FE"/>
    <w:rsid w:val="007C552F"/>
    <w:rsid w:val="007E3623"/>
    <w:rsid w:val="007E6331"/>
    <w:rsid w:val="00804F44"/>
    <w:rsid w:val="008239F7"/>
    <w:rsid w:val="00835AF2"/>
    <w:rsid w:val="00836010"/>
    <w:rsid w:val="00863BB7"/>
    <w:rsid w:val="008706C2"/>
    <w:rsid w:val="008758C8"/>
    <w:rsid w:val="00886028"/>
    <w:rsid w:val="008C54F0"/>
    <w:rsid w:val="008D1C66"/>
    <w:rsid w:val="008E72F2"/>
    <w:rsid w:val="0090525F"/>
    <w:rsid w:val="0090762D"/>
    <w:rsid w:val="0092267B"/>
    <w:rsid w:val="00927D67"/>
    <w:rsid w:val="00931862"/>
    <w:rsid w:val="00944A32"/>
    <w:rsid w:val="009504E1"/>
    <w:rsid w:val="00966454"/>
    <w:rsid w:val="0096795B"/>
    <w:rsid w:val="00975A5A"/>
    <w:rsid w:val="009A3AFD"/>
    <w:rsid w:val="009B4567"/>
    <w:rsid w:val="009D0618"/>
    <w:rsid w:val="009D4FEB"/>
    <w:rsid w:val="009F4399"/>
    <w:rsid w:val="00A26FD1"/>
    <w:rsid w:val="00A46179"/>
    <w:rsid w:val="00A7183C"/>
    <w:rsid w:val="00A95704"/>
    <w:rsid w:val="00A97DA7"/>
    <w:rsid w:val="00AC4256"/>
    <w:rsid w:val="00B26929"/>
    <w:rsid w:val="00B5360B"/>
    <w:rsid w:val="00B56068"/>
    <w:rsid w:val="00B74F29"/>
    <w:rsid w:val="00B91B1B"/>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D2433D"/>
    <w:rsid w:val="00D52BFD"/>
    <w:rsid w:val="00D61BDE"/>
    <w:rsid w:val="00D67632"/>
    <w:rsid w:val="00D7587A"/>
    <w:rsid w:val="00D774E2"/>
    <w:rsid w:val="00DA2C8E"/>
    <w:rsid w:val="00DB1C2E"/>
    <w:rsid w:val="00DC6900"/>
    <w:rsid w:val="00DC76EA"/>
    <w:rsid w:val="00DD5393"/>
    <w:rsid w:val="00DD6048"/>
    <w:rsid w:val="00DF5488"/>
    <w:rsid w:val="00E36569"/>
    <w:rsid w:val="00E425BA"/>
    <w:rsid w:val="00E567F7"/>
    <w:rsid w:val="00E6543F"/>
    <w:rsid w:val="00E71200"/>
    <w:rsid w:val="00E842C8"/>
    <w:rsid w:val="00E85EB6"/>
    <w:rsid w:val="00EA4F8A"/>
    <w:rsid w:val="00EC19D6"/>
    <w:rsid w:val="00ED23C8"/>
    <w:rsid w:val="00ED28C8"/>
    <w:rsid w:val="00F00A1D"/>
    <w:rsid w:val="00F02E57"/>
    <w:rsid w:val="00F26E54"/>
    <w:rsid w:val="00F3065F"/>
    <w:rsid w:val="00FC7D03"/>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Batang"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link w:val="96"/>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Batang" w:cs="Times New Roman"/>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4">
    <w:name w:val="Editor's Note"/>
    <w:basedOn w:val="56"/>
    <w:link w:val="93"/>
    <w:qFormat/>
    <w:uiPriority w:val="0"/>
    <w:rPr>
      <w:color w:val="FF0000"/>
    </w:rPr>
  </w:style>
  <w:style w:type="paragraph" w:customStyle="1" w:styleId="75">
    <w:name w:val="B1"/>
    <w:basedOn w:val="14"/>
    <w:link w:val="87"/>
    <w:qFormat/>
    <w:uiPriority w:val="0"/>
  </w:style>
  <w:style w:type="paragraph" w:customStyle="1" w:styleId="76">
    <w:name w:val="B2"/>
    <w:basedOn w:val="13"/>
    <w:link w:val="90"/>
    <w:qFormat/>
    <w:uiPriority w:val="0"/>
  </w:style>
  <w:style w:type="paragraph" w:customStyle="1" w:styleId="77">
    <w:name w:val="B3"/>
    <w:basedOn w:val="12"/>
    <w:link w:val="9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97"/>
    <w:qFormat/>
    <w:uiPriority w:val="0"/>
    <w:pPr>
      <w:spacing w:after="120"/>
    </w:pPr>
    <w:rPr>
      <w:rFonts w:ascii="Arial" w:hAnsi="Arial" w:eastAsia="Batang" w:cs="Times New Roman"/>
      <w:lang w:val="en-GB" w:eastAsia="en-US" w:bidi="ar-SA"/>
    </w:rPr>
  </w:style>
  <w:style w:type="paragraph" w:customStyle="1" w:styleId="82">
    <w:name w:val="tdoc-header"/>
    <w:qFormat/>
    <w:uiPriority w:val="0"/>
    <w:rPr>
      <w:rFonts w:ascii="Arial" w:hAnsi="Arial" w:eastAsia="Batang"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B1 Char"/>
    <w:link w:val="75"/>
    <w:qFormat/>
    <w:locked/>
    <w:uiPriority w:val="0"/>
    <w:rPr>
      <w:rFonts w:ascii="Times New Roman" w:hAnsi="Times New Roman"/>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NO Zchn"/>
    <w:qFormat/>
    <w:uiPriority w:val="0"/>
    <w:rPr>
      <w:lang w:eastAsia="en-US"/>
    </w:rPr>
  </w:style>
  <w:style w:type="character" w:customStyle="1" w:styleId="90">
    <w:name w:val="B2 Char"/>
    <w:link w:val="76"/>
    <w:qFormat/>
    <w:uiPriority w:val="0"/>
    <w:rPr>
      <w:rFonts w:ascii="Times New Roman" w:hAnsi="Times New Roman"/>
      <w:lang w:val="en-GB" w:eastAsia="en-US"/>
    </w:rPr>
  </w:style>
  <w:style w:type="character" w:customStyle="1" w:styleId="91">
    <w:name w:val="TAN Char"/>
    <w:link w:val="66"/>
    <w:qFormat/>
    <w:locked/>
    <w:uiPriority w:val="0"/>
    <w:rPr>
      <w:rFonts w:ascii="Arial" w:hAnsi="Arial"/>
      <w:sz w:val="18"/>
      <w:lang w:val="en-GB" w:eastAsia="en-US"/>
    </w:rPr>
  </w:style>
  <w:style w:type="character" w:customStyle="1" w:styleId="92">
    <w:name w:val="B3 Car"/>
    <w:link w:val="77"/>
    <w:qFormat/>
    <w:uiPriority w:val="0"/>
    <w:rPr>
      <w:rFonts w:ascii="Times New Roman" w:hAnsi="Times New Roman"/>
      <w:lang w:val="en-GB" w:eastAsia="en-US"/>
    </w:rPr>
  </w:style>
  <w:style w:type="character" w:customStyle="1" w:styleId="93">
    <w:name w:val="Editor's Note Char"/>
    <w:link w:val="74"/>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eastAsia="Batang" w:cs="Times New Roman"/>
      <w:lang w:val="en-GB" w:eastAsia="en-US" w:bidi="ar-SA"/>
    </w:rPr>
  </w:style>
  <w:style w:type="character" w:customStyle="1" w:styleId="95">
    <w:name w:val="Comment Text Char"/>
    <w:basedOn w:val="43"/>
    <w:link w:val="29"/>
    <w:semiHidden/>
    <w:qFormat/>
    <w:uiPriority w:val="0"/>
    <w:rPr>
      <w:rFonts w:ascii="Times New Roman" w:hAnsi="Times New Roman"/>
      <w:lang w:val="en-GB" w:eastAsia="en-US"/>
    </w:rPr>
  </w:style>
  <w:style w:type="character" w:customStyle="1" w:styleId="96">
    <w:name w:val="EX Char"/>
    <w:link w:val="57"/>
    <w:qFormat/>
    <w:locked/>
    <w:uiPriority w:val="0"/>
    <w:rPr>
      <w:rFonts w:ascii="Times New Roman" w:hAnsi="Times New Roman"/>
      <w:lang w:val="en-GB" w:eastAsia="en-US"/>
    </w:rPr>
  </w:style>
  <w:style w:type="character" w:customStyle="1" w:styleId="97">
    <w:name w:val="CR Cover Page Zchn"/>
    <w:link w:val="81"/>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C4B2F-92FA-48D1-81C2-6857C9A8F992}">
  <ds:schemaRefs/>
</ds:datastoreItem>
</file>

<file path=customXml/itemProps2.xml><?xml version="1.0" encoding="utf-8"?>
<ds:datastoreItem xmlns:ds="http://schemas.openxmlformats.org/officeDocument/2006/customXml" ds:itemID="{E2826409-679E-4072-8A42-C0AEBDD714E3}">
  <ds:schemaRefs/>
</ds:datastoreItem>
</file>

<file path=customXml/itemProps3.xml><?xml version="1.0" encoding="utf-8"?>
<ds:datastoreItem xmlns:ds="http://schemas.openxmlformats.org/officeDocument/2006/customXml" ds:itemID="{716F4144-BC62-4C16-9496-9A303AE4548B}">
  <ds:schemaRefs/>
</ds:datastoreItem>
</file>

<file path=customXml/itemProps4.xml><?xml version="1.0" encoding="utf-8"?>
<ds:datastoreItem xmlns:ds="http://schemas.openxmlformats.org/officeDocument/2006/customXml" ds:itemID="{EF25B867-2475-4FCB-A16B-1C0E4EE79DD8}">
  <ds:schemaRefs/>
</ds:datastoreItem>
</file>

<file path=customXml/itemProps5.xml><?xml version="1.0" encoding="utf-8"?>
<ds:datastoreItem xmlns:ds="http://schemas.openxmlformats.org/officeDocument/2006/customXml" ds:itemID="{E6A183A5-46EF-4FAC-BF9E-DB062AB90BB7}">
  <ds:schemaRefs/>
</ds:datastoreItem>
</file>

<file path=customXml/itemProps6.xml><?xml version="1.0" encoding="utf-8"?>
<ds:datastoreItem xmlns:ds="http://schemas.openxmlformats.org/officeDocument/2006/customXml" ds:itemID="{5245B071-4374-4762-BB8F-42F409BC6A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904</Words>
  <Characters>4974</Characters>
  <Lines>41</Lines>
  <Paragraphs>11</Paragraphs>
  <TotalTime>2</TotalTime>
  <ScaleCrop>false</ScaleCrop>
  <LinksUpToDate>false</LinksUpToDate>
  <CharactersWithSpaces>5867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2022-06-01T15:53:00Z</dcterms:created>
  <dc:creator>Michael Sanders, John M Meredith</dc:creator>
  <cp:lastModifiedBy>IPLOOK</cp:lastModifiedBy>
  <cp:lastPrinted>1900-12-31T16:00:00Z</cp:lastPrinted>
  <dcterms:modified xsi:type="dcterms:W3CDTF">2022-07-21T04:14:55Z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