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ED6204" w14:textId="75F219F2" w:rsidR="009B3FEA" w:rsidRPr="00D83C44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Theme="minorEastAsia" w:cs="Arial" w:hint="eastAsia"/>
          <w:bCs/>
          <w:sz w:val="24"/>
          <w:lang w:eastAsia="zh-CN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BC3DF5">
        <w:rPr>
          <w:rFonts w:eastAsia="Arial Unicode MS" w:cs="Arial"/>
          <w:bCs/>
          <w:sz w:val="24"/>
        </w:rPr>
        <w:t>1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S2-220</w:t>
      </w:r>
      <w:r w:rsidR="0062271A" w:rsidRPr="0062271A">
        <w:rPr>
          <w:rFonts w:cs="Arial"/>
          <w:sz w:val="24"/>
        </w:rPr>
        <w:t>4589</w:t>
      </w:r>
      <w:ins w:id="0" w:author="Yuan Tao2" w:date="2022-05-16T13:51:00Z">
        <w:r w:rsidR="00D83C44">
          <w:rPr>
            <w:rFonts w:eastAsiaTheme="minorEastAsia" w:cs="Arial" w:hint="eastAsia"/>
            <w:sz w:val="24"/>
            <w:lang w:eastAsia="zh-CN"/>
          </w:rPr>
          <w:t>r01</w:t>
        </w:r>
      </w:ins>
    </w:p>
    <w:p w14:paraId="72D5F427" w14:textId="77777777" w:rsidR="00602CFF" w:rsidRPr="00602CFF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F3155A">
        <w:rPr>
          <w:rFonts w:eastAsia="Arial Unicode MS" w:cs="Arial"/>
          <w:bCs/>
          <w:sz w:val="24"/>
        </w:rPr>
        <w:t>6-</w:t>
      </w:r>
      <w:r w:rsidR="00BC3DF5">
        <w:rPr>
          <w:rFonts w:eastAsia="Arial Unicode MS" w:cs="Arial"/>
          <w:bCs/>
          <w:sz w:val="24"/>
        </w:rPr>
        <w:t>20</w:t>
      </w:r>
      <w:r w:rsidR="00F3155A">
        <w:rPr>
          <w:rFonts w:eastAsia="Arial Unicode MS" w:cs="Arial"/>
          <w:bCs/>
          <w:sz w:val="24"/>
        </w:rPr>
        <w:t xml:space="preserve"> </w:t>
      </w:r>
      <w:r w:rsidR="00BC3DF5">
        <w:rPr>
          <w:rFonts w:eastAsia="Arial Unicode MS" w:cs="Arial"/>
          <w:bCs/>
          <w:sz w:val="24"/>
        </w:rPr>
        <w:t>May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20BECF28" w:rsidR="00602CFF" w:rsidRPr="00144A82" w:rsidRDefault="00602CFF" w:rsidP="00602CFF">
      <w:pPr>
        <w:ind w:left="2127" w:hanging="2127"/>
        <w:rPr>
          <w:rFonts w:ascii="Arial" w:eastAsiaTheme="minorEastAsia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382D" w:rsidRPr="006F382D">
        <w:rPr>
          <w:rFonts w:ascii="Arial" w:hAnsi="Arial" w:cs="Arial"/>
          <w:b/>
        </w:rPr>
        <w:t>Nokia, Nokia Shanghai Bell</w:t>
      </w:r>
      <w:r w:rsidR="003446C6">
        <w:rPr>
          <w:rFonts w:ascii="Arial" w:hAnsi="Arial" w:cs="Arial"/>
          <w:b/>
        </w:rPr>
        <w:t>, Ericsson</w:t>
      </w:r>
      <w:ins w:id="1" w:author="Yuan Tao2" w:date="2022-05-16T13:51:00Z">
        <w:r w:rsidR="00144A82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351049D8" w14:textId="614B68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82D">
        <w:rPr>
          <w:rFonts w:ascii="Arial" w:hAnsi="Arial" w:cs="Arial"/>
          <w:b/>
        </w:rPr>
        <w:t>Conclusions for KI#2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4C7F8D7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2" w:name="_Hlk99049711"/>
      <w:r w:rsidR="00CB69C5">
        <w:rPr>
          <w:rFonts w:ascii="Arial" w:hAnsi="Arial" w:cs="Arial"/>
          <w:i/>
        </w:rPr>
        <w:t xml:space="preserve">This paper </w:t>
      </w:r>
      <w:bookmarkEnd w:id="2"/>
      <w:r w:rsidR="006F382D">
        <w:rPr>
          <w:rFonts w:ascii="Arial" w:hAnsi="Arial" w:cs="Arial"/>
          <w:i/>
        </w:rPr>
        <w:t xml:space="preserve">proposes conclusions </w:t>
      </w:r>
      <w:r w:rsidR="001B0484">
        <w:rPr>
          <w:rFonts w:ascii="Arial" w:hAnsi="Arial" w:cs="Arial"/>
          <w:i/>
        </w:rPr>
        <w:t xml:space="preserve">and way forward </w:t>
      </w:r>
      <w:r w:rsidR="006F382D">
        <w:rPr>
          <w:rFonts w:ascii="Arial" w:hAnsi="Arial" w:cs="Arial"/>
          <w:i/>
        </w:rPr>
        <w:t>for KI#2 in TR 23.700-25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41A5F4F" w14:textId="7239816D" w:rsidR="002A3915" w:rsidRDefault="001B0484" w:rsidP="005419DD">
      <w:pPr>
        <w:rPr>
          <w:lang w:val="en-US" w:eastAsia="ko-KR"/>
        </w:rPr>
      </w:pPr>
      <w:r>
        <w:rPr>
          <w:lang w:val="en-US" w:eastAsia="ko-KR"/>
        </w:rPr>
        <w:t xml:space="preserve">After SA2#150E two solutions </w:t>
      </w:r>
      <w:r w:rsidR="002A3915">
        <w:rPr>
          <w:lang w:val="en-US" w:eastAsia="ko-KR"/>
        </w:rPr>
        <w:t xml:space="preserve">(solution #6 and #7) </w:t>
      </w:r>
      <w:r>
        <w:rPr>
          <w:lang w:val="en-US" w:eastAsia="ko-KR"/>
        </w:rPr>
        <w:t>were proposed and agreed to address KI#2 in TR 23.700-25. Both solutions share the same fundamental principles and in recent updates</w:t>
      </w:r>
      <w:r w:rsidR="002A3915">
        <w:rPr>
          <w:lang w:val="en-US" w:eastAsia="ko-KR"/>
        </w:rPr>
        <w:t xml:space="preserve"> for SA2#151E</w:t>
      </w:r>
      <w:r>
        <w:rPr>
          <w:lang w:val="en-US" w:eastAsia="ko-KR"/>
        </w:rPr>
        <w:t xml:space="preserve">, solution #7 is converging to a new merged </w:t>
      </w:r>
      <w:r w:rsidR="002A3915">
        <w:rPr>
          <w:lang w:val="en-US" w:eastAsia="ko-KR"/>
        </w:rPr>
        <w:t>version including inputs from solution #6. Therefore, it is our understanding that there is a common agreement on how to address KI#2 at this state of the study.</w:t>
      </w:r>
    </w:p>
    <w:p w14:paraId="232737F9" w14:textId="77777777" w:rsidR="002A3915" w:rsidRPr="00A40B2E" w:rsidRDefault="002A3915" w:rsidP="005419DD">
      <w:pPr>
        <w:rPr>
          <w:lang w:val="en-US" w:eastAsia="ko-KR"/>
        </w:rPr>
      </w:pPr>
    </w:p>
    <w:p w14:paraId="12C32397" w14:textId="77777777" w:rsidR="00F2700C" w:rsidRDefault="00F2700C" w:rsidP="00465C0D">
      <w:pPr>
        <w:pStyle w:val="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77777777" w:rsidR="006D24C0" w:rsidRDefault="00056C02" w:rsidP="00465C0D">
      <w:pPr>
        <w:jc w:val="left"/>
        <w:rPr>
          <w:lang w:eastAsia="ko-KR"/>
        </w:rPr>
      </w:pPr>
      <w:bookmarkStart w:id="3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700-25</w:t>
      </w:r>
      <w:r w:rsidR="00831985">
        <w:rPr>
          <w:lang w:eastAsia="ko-KR"/>
        </w:rPr>
        <w:t>:</w:t>
      </w:r>
    </w:p>
    <w:p w14:paraId="21D2E6C1" w14:textId="53B22037" w:rsidR="00C25F5B" w:rsidRPr="00370E34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  <w:r w:rsidR="005110A3">
        <w:rPr>
          <w:rFonts w:cs="Arial"/>
          <w:color w:val="FF0000"/>
          <w:sz w:val="36"/>
          <w:szCs w:val="48"/>
        </w:rPr>
        <w:t xml:space="preserve"> (all new text)</w:t>
      </w:r>
    </w:p>
    <w:p w14:paraId="1E98152B" w14:textId="77777777" w:rsidR="002A3915" w:rsidRPr="00D81D6E" w:rsidRDefault="002A3915" w:rsidP="002A3915">
      <w:pPr>
        <w:pStyle w:val="1"/>
      </w:pPr>
      <w:bookmarkStart w:id="4" w:name="_Toc16839390"/>
      <w:bookmarkStart w:id="5" w:name="_Toc22192658"/>
      <w:bookmarkStart w:id="6" w:name="_Toc23402396"/>
      <w:bookmarkStart w:id="7" w:name="_Toc23402426"/>
      <w:bookmarkStart w:id="8" w:name="_Toc26386443"/>
      <w:bookmarkStart w:id="9" w:name="_Toc26431249"/>
      <w:bookmarkStart w:id="10" w:name="_Toc30694673"/>
      <w:bookmarkStart w:id="11" w:name="_Toc43906738"/>
      <w:bookmarkStart w:id="12" w:name="_Toc43906853"/>
      <w:bookmarkStart w:id="13" w:name="_Toc44311979"/>
      <w:bookmarkStart w:id="14" w:name="_Toc50536658"/>
      <w:bookmarkStart w:id="15" w:name="_Toc54930437"/>
      <w:bookmarkStart w:id="16" w:name="_Toc54968242"/>
      <w:bookmarkStart w:id="17" w:name="_Toc57236564"/>
      <w:bookmarkStart w:id="18" w:name="_Toc57236727"/>
      <w:bookmarkStart w:id="19" w:name="_Toc57530368"/>
      <w:bookmarkStart w:id="20" w:name="_Toc57532569"/>
      <w:bookmarkStart w:id="21" w:name="_Toc101421783"/>
      <w:r w:rsidRPr="00D81D6E">
        <w:t>8</w:t>
      </w:r>
      <w:r w:rsidRPr="00D81D6E"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39BFA28" w14:textId="531AD146" w:rsidR="002A3915" w:rsidRDefault="002A3915" w:rsidP="002A3915">
      <w:pPr>
        <w:pStyle w:val="3"/>
        <w:rPr>
          <w:sz w:val="28"/>
          <w:szCs w:val="22"/>
        </w:rPr>
      </w:pPr>
      <w:bookmarkStart w:id="22" w:name="_Toc101421781"/>
      <w:r>
        <w:rPr>
          <w:sz w:val="28"/>
          <w:szCs w:val="22"/>
        </w:rPr>
        <w:t>8.x</w:t>
      </w:r>
      <w:r w:rsidRPr="002A3915">
        <w:rPr>
          <w:sz w:val="28"/>
          <w:szCs w:val="22"/>
        </w:rPr>
        <w:tab/>
      </w:r>
      <w:bookmarkEnd w:id="22"/>
      <w:r>
        <w:rPr>
          <w:sz w:val="28"/>
          <w:szCs w:val="22"/>
        </w:rPr>
        <w:t xml:space="preserve">Key Issue #2: </w:t>
      </w:r>
      <w:r w:rsidRPr="002A3915">
        <w:rPr>
          <w:sz w:val="28"/>
          <w:szCs w:val="22"/>
        </w:rPr>
        <w:t>Time synchronization service enhancements</w:t>
      </w:r>
    </w:p>
    <w:p w14:paraId="30FF768A" w14:textId="1B047FE7" w:rsidR="002A3915" w:rsidRDefault="00D96DF3" w:rsidP="002A3915">
      <w:r>
        <w:t>S</w:t>
      </w:r>
      <w:r w:rsidR="002A3915">
        <w:t>olution</w:t>
      </w:r>
      <w:r>
        <w:t xml:space="preserve"> #7 is taken as the basis for the normative work to address KI#2. The following bullet points summarize the principles for the way forward:</w:t>
      </w:r>
    </w:p>
    <w:p w14:paraId="16AB6FD3" w14:textId="06417BA9" w:rsidR="00D96DF3" w:rsidRDefault="00D96DF3" w:rsidP="00D96DF3">
      <w:pPr>
        <w:ind w:left="567" w:hanging="141"/>
      </w:pPr>
      <w:r>
        <w:t xml:space="preserve">- To request a Requested Coverage Area for time synchronization services, </w:t>
      </w:r>
      <w:r w:rsidRPr="00D96DF3">
        <w:t>AFs within the operator’s domain formulates a spatial validity condition using a list of Tracking Area or Cell identities, but AFs outside the operator’s domain use a geographical area (e.g., a civic address or shapes) instead</w:t>
      </w:r>
      <w:del w:id="23" w:author="Nokia" w:date="2022-05-06T09:59:00Z">
        <w:r w:rsidRPr="00D96DF3" w:rsidDel="005110A3">
          <w:delText xml:space="preserve"> </w:delText>
        </w:r>
      </w:del>
      <w:r w:rsidR="009B6B62">
        <w:t>,</w:t>
      </w:r>
      <w:ins w:id="24" w:author="Nokia" w:date="2022-05-06T09:59:00Z">
        <w:r w:rsidR="005110A3">
          <w:t xml:space="preserve"> </w:t>
        </w:r>
      </w:ins>
      <w:r w:rsidRPr="00D96DF3">
        <w:t>while NEF transforms this information into a list of Tracking Area or Cell identities.</w:t>
      </w:r>
    </w:p>
    <w:p w14:paraId="139DC5BF" w14:textId="7046BDEA" w:rsidR="00D96DF3" w:rsidRDefault="00D96DF3" w:rsidP="00D96DF3">
      <w:pPr>
        <w:ind w:left="567" w:hanging="141"/>
      </w:pPr>
      <w:r>
        <w:t xml:space="preserve">- The TSCTSF is responsible of enable/disable time synchronization services (ASTI or (g)PTP based) considering </w:t>
      </w:r>
      <w:r w:rsidR="008442BD">
        <w:t>the</w:t>
      </w:r>
      <w:r>
        <w:t xml:space="preserve"> spatial validity condition provided by the AF. To enable/disable time synchronization services, TSCTSF reuse</w:t>
      </w:r>
      <w:r w:rsidR="009B6B62">
        <w:t>s</w:t>
      </w:r>
      <w:r>
        <w:t xml:space="preserve"> Release-17 time synchronization methods.</w:t>
      </w:r>
    </w:p>
    <w:p w14:paraId="5AF0B773" w14:textId="7AFCAC10" w:rsidR="00D96DF3" w:rsidRDefault="00D96DF3" w:rsidP="00D96DF3">
      <w:pPr>
        <w:ind w:left="567" w:hanging="141"/>
      </w:pPr>
      <w:r>
        <w:t>-</w:t>
      </w:r>
      <w:r>
        <w:tab/>
        <w:t>The TSCTSF discover</w:t>
      </w:r>
      <w:r w:rsidR="009B6B62">
        <w:t>s</w:t>
      </w:r>
      <w:r>
        <w:t xml:space="preserve"> the AMF(s) serving the list of TA(s)/Cell(s) that comprise the spatial validity condition using the NRF.</w:t>
      </w:r>
    </w:p>
    <w:p w14:paraId="55AA76B9" w14:textId="2202FA17" w:rsidR="009B6B62" w:rsidRDefault="00D96DF3" w:rsidP="00D96DF3">
      <w:pPr>
        <w:ind w:left="567" w:hanging="141"/>
      </w:pPr>
      <w:r>
        <w:t>-</w:t>
      </w:r>
      <w:r>
        <w:tab/>
        <w:t>The TSCTSF subscribe</w:t>
      </w:r>
      <w:r w:rsidR="009B6B62">
        <w:t>s</w:t>
      </w:r>
      <w:r>
        <w:t xml:space="preserve"> to UE’s presence in Area of Interest</w:t>
      </w:r>
      <w:r w:rsidR="009B6B62">
        <w:t xml:space="preserve"> at the discovered AMF(s).</w:t>
      </w:r>
    </w:p>
    <w:p w14:paraId="6740F7D4" w14:textId="59A2C15F" w:rsidR="004A19EB" w:rsidRDefault="004A19EB" w:rsidP="00D96DF3">
      <w:pPr>
        <w:ind w:left="567" w:hanging="141"/>
      </w:pPr>
      <w:r>
        <w:t>-</w:t>
      </w:r>
      <w:r>
        <w:tab/>
        <w:t xml:space="preserve">The </w:t>
      </w:r>
      <w:r w:rsidR="00A723C5">
        <w:t xml:space="preserve">TSCTSF </w:t>
      </w:r>
      <w:r w:rsidR="00407251">
        <w:t xml:space="preserve">determines (based on notifications from </w:t>
      </w:r>
      <w:r w:rsidR="00A723C5">
        <w:t>the discovered AMF(s)</w:t>
      </w:r>
      <w:r w:rsidR="00407251">
        <w:t>)</w:t>
      </w:r>
      <w:r w:rsidR="00A723C5">
        <w:t xml:space="preserve"> whether the targeted UE(s) are inside the AF Requested Coverage Area.</w:t>
      </w:r>
    </w:p>
    <w:p w14:paraId="53E14076" w14:textId="43845A6C" w:rsidR="00A723C5" w:rsidRDefault="00A723C5" w:rsidP="00D96DF3">
      <w:pPr>
        <w:ind w:left="567" w:hanging="141"/>
        <w:rPr>
          <w:ins w:id="25" w:author="Yuan Tao1" w:date="2022-05-07T13:56:00Z"/>
          <w:rFonts w:eastAsia="宋体"/>
          <w:lang w:eastAsia="zh-CN"/>
        </w:rPr>
      </w:pPr>
      <w:r>
        <w:t>-</w:t>
      </w:r>
      <w:r>
        <w:tab/>
        <w:t>The TSCTSF activates or deactivates time synchronization services for UE(s) inside or outside the Requested Coverage Area, respectively.</w:t>
      </w:r>
    </w:p>
    <w:p w14:paraId="789B12C7" w14:textId="29B0414E" w:rsidR="00272C15" w:rsidRPr="00272C15" w:rsidDel="00144A82" w:rsidRDefault="00272C15" w:rsidP="00D96DF3">
      <w:pPr>
        <w:ind w:left="567" w:hanging="141"/>
        <w:rPr>
          <w:del w:id="26" w:author="Yuan Tao2" w:date="2022-05-16T13:51:00Z"/>
          <w:rFonts w:eastAsia="宋体"/>
          <w:lang w:eastAsia="zh-CN"/>
        </w:rPr>
      </w:pPr>
      <w:ins w:id="27" w:author="Yuan Tao1" w:date="2022-05-07T13:59:00Z">
        <w:r>
          <w:t>-</w:t>
        </w:r>
        <w:r>
          <w:tab/>
        </w:r>
      </w:ins>
      <w:ins w:id="28" w:author="Yuan Tao1" w:date="2022-05-07T13:56:00Z">
        <w:r>
          <w:rPr>
            <w:rFonts w:eastAsia="宋体" w:hint="eastAsia"/>
            <w:lang w:eastAsia="zh-CN"/>
          </w:rPr>
          <w:t>The TSCTSF de</w:t>
        </w:r>
      </w:ins>
      <w:ins w:id="29" w:author="Yuan Tao1" w:date="2022-05-07T13:57:00Z">
        <w:r>
          <w:rPr>
            <w:rFonts w:eastAsia="宋体" w:hint="eastAsia"/>
            <w:lang w:eastAsia="zh-CN"/>
          </w:rPr>
          <w:t xml:space="preserve">termines to </w:t>
        </w:r>
        <w:r>
          <w:rPr>
            <w:rFonts w:eastAsia="宋体"/>
          </w:rPr>
          <w:t xml:space="preserve">hold a while </w:t>
        </w:r>
        <w:r>
          <w:rPr>
            <w:rFonts w:eastAsia="宋体" w:hint="eastAsia"/>
            <w:lang w:eastAsia="zh-CN"/>
          </w:rPr>
          <w:t xml:space="preserve">or </w:t>
        </w:r>
      </w:ins>
      <w:ins w:id="30" w:author="Yuan Tao1" w:date="2022-05-07T13:58:00Z">
        <w:r>
          <w:rPr>
            <w:rFonts w:eastAsia="宋体"/>
          </w:rPr>
          <w:t xml:space="preserve">activate time synchronization service </w:t>
        </w:r>
      </w:ins>
      <w:ins w:id="31" w:author="Yuan Tao1" w:date="2022-05-07T13:59:00Z">
        <w:r>
          <w:rPr>
            <w:rFonts w:eastAsia="宋体" w:hint="eastAsia"/>
            <w:lang w:eastAsia="zh-CN"/>
          </w:rPr>
          <w:t xml:space="preserve">for UE(s) </w:t>
        </w:r>
      </w:ins>
      <w:ins w:id="32" w:author="Yuan Tao2" w:date="2022-05-16T13:48:00Z">
        <w:r w:rsidR="00EE4F8A">
          <w:rPr>
            <w:rFonts w:eastAsia="宋体" w:hint="eastAsia"/>
            <w:lang w:eastAsia="zh-CN"/>
          </w:rPr>
          <w:t xml:space="preserve">outside or </w:t>
        </w:r>
      </w:ins>
      <w:ins w:id="33" w:author="Yuan Tao1" w:date="2022-05-07T14:00:00Z">
        <w:r>
          <w:rPr>
            <w:rFonts w:eastAsia="宋体" w:hint="eastAsia"/>
            <w:lang w:eastAsia="zh-CN"/>
          </w:rPr>
          <w:t>move into</w:t>
        </w:r>
      </w:ins>
      <w:ins w:id="34" w:author="Yuan Tao1" w:date="2022-05-07T13:59:00Z">
        <w:r>
          <w:rPr>
            <w:rFonts w:eastAsia="宋体" w:hint="eastAsia"/>
            <w:lang w:eastAsia="zh-CN"/>
          </w:rPr>
          <w:t xml:space="preserve"> Area of Interest, </w:t>
        </w:r>
      </w:ins>
      <w:ins w:id="35" w:author="Yuan Tao1" w:date="2022-05-07T13:57:00Z">
        <w:r>
          <w:rPr>
            <w:rFonts w:eastAsia="宋体"/>
          </w:rPr>
          <w:t>according to Temporal Validity Condition</w:t>
        </w:r>
      </w:ins>
      <w:ins w:id="36" w:author="Yuan Tao1" w:date="2022-05-07T13:59:00Z">
        <w:r>
          <w:rPr>
            <w:rFonts w:eastAsia="宋体" w:hint="eastAsia"/>
            <w:lang w:eastAsia="zh-CN"/>
          </w:rPr>
          <w:t>.</w:t>
        </w:r>
      </w:ins>
      <w:bookmarkStart w:id="37" w:name="_GoBack"/>
      <w:bookmarkEnd w:id="37"/>
    </w:p>
    <w:p w14:paraId="3DCAED9A" w14:textId="065150F2" w:rsidR="00A723C5" w:rsidRPr="00272C15" w:rsidRDefault="00A723C5" w:rsidP="00144A82">
      <w:pPr>
        <w:ind w:left="567" w:hanging="141"/>
        <w:rPr>
          <w:rFonts w:eastAsia="宋体"/>
          <w:lang w:eastAsia="zh-CN"/>
        </w:rPr>
      </w:pPr>
    </w:p>
    <w:p w14:paraId="5C082A1A" w14:textId="246F1CA4" w:rsidR="00D96DF3" w:rsidRDefault="00D96DF3" w:rsidP="00D96DF3">
      <w:pPr>
        <w:ind w:left="567" w:hanging="141"/>
      </w:pPr>
      <w:r>
        <w:t xml:space="preserve"> </w:t>
      </w:r>
    </w:p>
    <w:p w14:paraId="765893E0" w14:textId="77777777" w:rsidR="00D96DF3" w:rsidRPr="002A3915" w:rsidRDefault="00D96DF3" w:rsidP="00D96DF3">
      <w:pPr>
        <w:ind w:left="567" w:hanging="141"/>
      </w:pPr>
    </w:p>
    <w:p w14:paraId="39419E93" w14:textId="77777777" w:rsidR="002A3915" w:rsidRDefault="002A3915" w:rsidP="00465C0D">
      <w:pPr>
        <w:jc w:val="left"/>
        <w:rPr>
          <w:lang w:eastAsia="ko-KR"/>
        </w:rPr>
      </w:pPr>
    </w:p>
    <w:p w14:paraId="21B88E87" w14:textId="77777777" w:rsidR="00C25F5B" w:rsidRDefault="00C25F5B" w:rsidP="00465C0D">
      <w:pPr>
        <w:jc w:val="left"/>
        <w:rPr>
          <w:lang w:eastAsia="ko-KR"/>
        </w:rPr>
      </w:pPr>
    </w:p>
    <w:bookmarkEnd w:id="3"/>
    <w:p w14:paraId="40409A2C" w14:textId="77777777" w:rsidR="00C25F5B" w:rsidRPr="008238BD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9676E9E" w14:textId="77777777" w:rsidR="00540868" w:rsidRPr="00413C45" w:rsidRDefault="00540868" w:rsidP="00413C45">
      <w:pPr>
        <w:rPr>
          <w:lang w:eastAsia="ko-KR"/>
        </w:rPr>
      </w:pPr>
    </w:p>
    <w:p w14:paraId="600B54B3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F3CFD" w14:textId="77777777" w:rsidR="00DF655C" w:rsidRDefault="00DF655C">
      <w:r>
        <w:separator/>
      </w:r>
    </w:p>
  </w:endnote>
  <w:endnote w:type="continuationSeparator" w:id="0">
    <w:p w14:paraId="38F241F2" w14:textId="77777777" w:rsidR="00DF655C" w:rsidRDefault="00DF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052DD" w14:textId="77777777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44A82">
      <w:t>1</w:t>
    </w:r>
    <w:r>
      <w:fldChar w:fldCharType="end"/>
    </w:r>
  </w:p>
  <w:p w14:paraId="0CA7D2C3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74022" w14:textId="77777777" w:rsidR="00DF655C" w:rsidRDefault="00DF655C">
      <w:r>
        <w:separator/>
      </w:r>
    </w:p>
  </w:footnote>
  <w:footnote w:type="continuationSeparator" w:id="0">
    <w:p w14:paraId="72A895DB" w14:textId="77777777" w:rsidR="00DF655C" w:rsidRDefault="00DF6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94"/>
    <w:rsid w:val="00000FBE"/>
    <w:rsid w:val="000014E0"/>
    <w:rsid w:val="0000152F"/>
    <w:rsid w:val="00001BD4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2335"/>
    <w:rsid w:val="00012897"/>
    <w:rsid w:val="00012C84"/>
    <w:rsid w:val="000133ED"/>
    <w:rsid w:val="000136B0"/>
    <w:rsid w:val="00014636"/>
    <w:rsid w:val="00015049"/>
    <w:rsid w:val="00015C8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A4C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276F"/>
    <w:rsid w:val="00122FFD"/>
    <w:rsid w:val="00123855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B59"/>
    <w:rsid w:val="00143DF3"/>
    <w:rsid w:val="00144818"/>
    <w:rsid w:val="00144A82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F4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66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C15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5DB"/>
    <w:rsid w:val="00317739"/>
    <w:rsid w:val="00320538"/>
    <w:rsid w:val="003217A6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4B6F"/>
    <w:rsid w:val="0033518F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251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1CED"/>
    <w:rsid w:val="00432364"/>
    <w:rsid w:val="00432691"/>
    <w:rsid w:val="004330C8"/>
    <w:rsid w:val="00433136"/>
    <w:rsid w:val="00433383"/>
    <w:rsid w:val="00433652"/>
    <w:rsid w:val="00434473"/>
    <w:rsid w:val="00434723"/>
    <w:rsid w:val="00434D42"/>
    <w:rsid w:val="00434D45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9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078"/>
    <w:rsid w:val="00536657"/>
    <w:rsid w:val="00537036"/>
    <w:rsid w:val="005375A0"/>
    <w:rsid w:val="00537629"/>
    <w:rsid w:val="0053793D"/>
    <w:rsid w:val="00540141"/>
    <w:rsid w:val="00540868"/>
    <w:rsid w:val="00540AB1"/>
    <w:rsid w:val="00540C52"/>
    <w:rsid w:val="0054152D"/>
    <w:rsid w:val="005419DD"/>
    <w:rsid w:val="00541B31"/>
    <w:rsid w:val="0054250A"/>
    <w:rsid w:val="00542608"/>
    <w:rsid w:val="00542A4C"/>
    <w:rsid w:val="00542A62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E82"/>
    <w:rsid w:val="00551047"/>
    <w:rsid w:val="005510C0"/>
    <w:rsid w:val="00551E7C"/>
    <w:rsid w:val="00551F37"/>
    <w:rsid w:val="00552E6F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A9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43B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2D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D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937"/>
    <w:rsid w:val="00775A78"/>
    <w:rsid w:val="00776842"/>
    <w:rsid w:val="0077698A"/>
    <w:rsid w:val="00776E39"/>
    <w:rsid w:val="00777064"/>
    <w:rsid w:val="007771C1"/>
    <w:rsid w:val="00777862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42D2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978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652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D39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311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65F7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1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289"/>
    <w:rsid w:val="00C7414F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B82"/>
    <w:rsid w:val="00D120FD"/>
    <w:rsid w:val="00D1226A"/>
    <w:rsid w:val="00D13264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7308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3C44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F05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55C"/>
    <w:rsid w:val="00DF6B54"/>
    <w:rsid w:val="00DF6EC5"/>
    <w:rsid w:val="00DF71BF"/>
    <w:rsid w:val="00DF79F2"/>
    <w:rsid w:val="00DF7CE9"/>
    <w:rsid w:val="00E002A6"/>
    <w:rsid w:val="00E0037C"/>
    <w:rsid w:val="00E00558"/>
    <w:rsid w:val="00E009A4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A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FC6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DF6E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har1">
    <w:name w:val="批注文字 Char"/>
    <w:link w:val="ac"/>
    <w:rsid w:val="009F2FA6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har1">
    <w:name w:val="批注文字 Char"/>
    <w:link w:val="ac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5AIRPNAIUNRU-2028481721-6471</_dlc_DocId>
    <_dlc_DocIdUrl xmlns="71c5aaf6-e6ce-465b-b873-5148d2a4c105">
      <Url>https://nokia.sharepoint.com/sites/c5g/e2earch/_layouts/15/DocIdRedir.aspx?ID=5AIRPNAIUNRU-2028481721-6471</Url>
      <Description>5AIRPNAIUNRU-2028481721-6471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C7289FE-EDB7-4442-BE11-57689D7ADA7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4B3D61E-FCBB-49C4-BFC7-E79B685FBC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3CBC3DF-2842-4D06-A09C-E761C40CD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D3F8B83-A2B8-4376-B7B2-B58C4B50B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Yuan Tao2</cp:lastModifiedBy>
  <cp:revision>7</cp:revision>
  <cp:lastPrinted>2017-11-09T00:38:00Z</cp:lastPrinted>
  <dcterms:created xsi:type="dcterms:W3CDTF">2022-05-07T05:51:00Z</dcterms:created>
  <dcterms:modified xsi:type="dcterms:W3CDTF">2022-05-16T05:52:00Z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0x010100B82721952339BD4AA67475AA1B500C36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