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16171" w:rsidRDefault="00E16171">
      <w:pPr>
        <w:widowControl w:val="0"/>
        <w:pBdr>
          <w:top w:val="nil"/>
          <w:left w:val="nil"/>
          <w:bottom w:val="nil"/>
          <w:right w:val="nil"/>
          <w:between w:val="nil"/>
        </w:pBdr>
        <w:spacing w:after="0" w:line="276" w:lineRule="auto"/>
      </w:pPr>
    </w:p>
    <w:p w14:paraId="00000002" w14:textId="77777777" w:rsidR="00E16171" w:rsidRDefault="00E16171">
      <w:pPr>
        <w:widowControl w:val="0"/>
        <w:pBdr>
          <w:top w:val="nil"/>
          <w:left w:val="nil"/>
          <w:bottom w:val="nil"/>
          <w:right w:val="nil"/>
          <w:between w:val="nil"/>
        </w:pBdr>
        <w:spacing w:after="0" w:line="276" w:lineRule="auto"/>
      </w:pPr>
    </w:p>
    <w:p w14:paraId="00000003" w14:textId="1D22DF43"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sz w:val="24"/>
          <w:szCs w:val="24"/>
        </w:rPr>
        <w:t>3GPP SA WG2 Meeting #151-e</w:t>
      </w:r>
      <w:r>
        <w:rPr>
          <w:rFonts w:ascii="Arial" w:eastAsia="Arial" w:hAnsi="Arial" w:cs="Arial"/>
          <w:b/>
          <w:sz w:val="24"/>
          <w:szCs w:val="24"/>
        </w:rPr>
        <w:tab/>
      </w:r>
      <w:r>
        <w:rPr>
          <w:rFonts w:ascii="Arial" w:eastAsia="Arial" w:hAnsi="Arial" w:cs="Arial"/>
          <w:b/>
          <w:sz w:val="24"/>
          <w:szCs w:val="24"/>
        </w:rPr>
        <w:tab/>
        <w:t>S2-2203676</w:t>
      </w:r>
      <w:r w:rsidR="00633514">
        <w:rPr>
          <w:rFonts w:ascii="Arial" w:eastAsia="Arial" w:hAnsi="Arial" w:cs="Arial"/>
          <w:b/>
          <w:sz w:val="24"/>
          <w:szCs w:val="24"/>
        </w:rPr>
        <w:t>r</w:t>
      </w:r>
      <w:r w:rsidR="00532F2F">
        <w:rPr>
          <w:rFonts w:ascii="Arial" w:eastAsia="Arial" w:hAnsi="Arial" w:cs="Arial"/>
          <w:b/>
          <w:sz w:val="24"/>
          <w:szCs w:val="24"/>
        </w:rPr>
        <w:t>0</w:t>
      </w:r>
      <w:ins w:id="0" w:author="Pranav Jha" w:date="2022-05-18T05:24:00Z">
        <w:r w:rsidR="00AF0E12">
          <w:rPr>
            <w:rFonts w:ascii="Arial" w:eastAsia="Arial" w:hAnsi="Arial" w:cs="Arial"/>
            <w:b/>
            <w:sz w:val="24"/>
            <w:szCs w:val="24"/>
          </w:rPr>
          <w:t>3</w:t>
        </w:r>
      </w:ins>
      <w:del w:id="1" w:author="Pranav Jha" w:date="2022-05-18T05:24:00Z">
        <w:r w:rsidR="00532F2F" w:rsidDel="00AF0E12">
          <w:rPr>
            <w:rFonts w:ascii="Arial" w:eastAsia="Arial" w:hAnsi="Arial" w:cs="Arial"/>
            <w:b/>
            <w:sz w:val="24"/>
            <w:szCs w:val="24"/>
          </w:rPr>
          <w:delText>2</w:delText>
        </w:r>
      </w:del>
    </w:p>
    <w:p w14:paraId="00000004" w14:textId="77777777"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sz w:val="24"/>
          <w:szCs w:val="24"/>
        </w:rPr>
        <w:t>May 16-20 2022, Electronic Meeting</w:t>
      </w:r>
    </w:p>
    <w:p w14:paraId="00000005" w14:textId="77777777" w:rsidR="00E16171" w:rsidRDefault="00526D0A">
      <w:pPr>
        <w:pBdr>
          <w:top w:val="nil"/>
          <w:left w:val="nil"/>
          <w:bottom w:val="nil"/>
          <w:right w:val="nil"/>
          <w:between w:val="nil"/>
        </w:pBdr>
        <w:tabs>
          <w:tab w:val="center" w:pos="4153"/>
          <w:tab w:val="right" w:pos="8306"/>
          <w:tab w:val="right" w:pos="9638"/>
        </w:tabs>
        <w:spacing w:after="0"/>
        <w:ind w:right="-57"/>
        <w:rPr>
          <w:rFonts w:ascii="Arial" w:eastAsia="Arial" w:hAnsi="Arial" w:cs="Arial"/>
          <w:b/>
        </w:rPr>
      </w:pPr>
      <w:r>
        <w:pict w14:anchorId="50256015">
          <v:rect id="_x0000_i1025" style="width:0;height:1.5pt" o:hralign="center" o:hrstd="t" o:hr="t" fillcolor="#a0a0a0" stroked="f"/>
        </w:pict>
      </w:r>
    </w:p>
    <w:p w14:paraId="00000006" w14:textId="77777777"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rPr>
        <w:tab/>
      </w:r>
    </w:p>
    <w:p w14:paraId="00000007" w14:textId="77777777" w:rsidR="00E16171" w:rsidRDefault="00E16171">
      <w:pPr>
        <w:rPr>
          <w:rFonts w:ascii="Arial" w:eastAsia="Arial" w:hAnsi="Arial" w:cs="Arial"/>
        </w:rPr>
      </w:pPr>
    </w:p>
    <w:p w14:paraId="00000008" w14:textId="77777777" w:rsidR="00E16171" w:rsidRDefault="00EA2223">
      <w:pPr>
        <w:ind w:left="2127" w:hanging="2127"/>
        <w:rPr>
          <w:rFonts w:ascii="Arial" w:eastAsia="Arial" w:hAnsi="Arial" w:cs="Arial"/>
          <w:b/>
        </w:rPr>
      </w:pPr>
      <w:r>
        <w:rPr>
          <w:rFonts w:ascii="Arial" w:eastAsia="Arial" w:hAnsi="Arial" w:cs="Arial"/>
          <w:b/>
        </w:rPr>
        <w:t>Source:</w:t>
      </w:r>
      <w:r>
        <w:rPr>
          <w:rFonts w:ascii="Arial" w:eastAsia="Arial" w:hAnsi="Arial" w:cs="Arial"/>
          <w:b/>
        </w:rPr>
        <w:tab/>
        <w:t>Indian Institute of Technology Bombay</w:t>
      </w:r>
    </w:p>
    <w:p w14:paraId="00000009" w14:textId="39551427" w:rsidR="00E16171" w:rsidRDefault="00EA2223">
      <w:pPr>
        <w:ind w:left="2127" w:hanging="2127"/>
        <w:rPr>
          <w:rFonts w:ascii="Arial" w:eastAsia="Arial" w:hAnsi="Arial" w:cs="Arial"/>
          <w:b/>
        </w:rPr>
      </w:pPr>
      <w:r>
        <w:rPr>
          <w:rFonts w:ascii="Arial" w:eastAsia="Arial" w:hAnsi="Arial" w:cs="Arial"/>
          <w:b/>
        </w:rPr>
        <w:t>Title:</w:t>
      </w:r>
      <w:r>
        <w:rPr>
          <w:rFonts w:ascii="Arial" w:eastAsia="Arial" w:hAnsi="Arial" w:cs="Arial"/>
          <w:b/>
        </w:rPr>
        <w:tab/>
        <w:t xml:space="preserve">TR 23.700-05: </w:t>
      </w:r>
      <w:r w:rsidR="00D213EE">
        <w:rPr>
          <w:rFonts w:ascii="Arial" w:eastAsia="Arial" w:hAnsi="Arial" w:cs="Arial"/>
          <w:b/>
        </w:rPr>
        <w:t xml:space="preserve">KI#2 and </w:t>
      </w:r>
      <w:r>
        <w:rPr>
          <w:rFonts w:ascii="Arial" w:eastAsia="Arial" w:hAnsi="Arial" w:cs="Arial"/>
          <w:b/>
        </w:rPr>
        <w:t xml:space="preserve">KI#3, new solution to support </w:t>
      </w:r>
      <w:r w:rsidR="00D213EE">
        <w:rPr>
          <w:rFonts w:ascii="Arial" w:eastAsia="Arial" w:hAnsi="Arial" w:cs="Arial"/>
          <w:b/>
        </w:rPr>
        <w:t>‘Efficient</w:t>
      </w:r>
      <w:r w:rsidR="00D213EE" w:rsidRPr="0035624E">
        <w:rPr>
          <w:rFonts w:ascii="Arial" w:eastAsia="Arial" w:hAnsi="Arial" w:cs="Arial"/>
          <w:b/>
        </w:rPr>
        <w:t xml:space="preserve"> mobility for UEs connecting to/disconnecting from mobile base station relay</w:t>
      </w:r>
      <w:r w:rsidR="00D213EE">
        <w:rPr>
          <w:rFonts w:ascii="Arial" w:eastAsia="Arial" w:hAnsi="Arial" w:cs="Arial"/>
          <w:b/>
        </w:rPr>
        <w:t xml:space="preserve">’ and </w:t>
      </w:r>
      <w:r>
        <w:rPr>
          <w:rFonts w:ascii="Arial" w:eastAsia="Arial" w:hAnsi="Arial" w:cs="Arial"/>
          <w:b/>
        </w:rPr>
        <w:t>‘Efficient mobility and service continuity when served by mobile base station relay’</w:t>
      </w:r>
    </w:p>
    <w:p w14:paraId="0000000A" w14:textId="77777777" w:rsidR="00E16171" w:rsidRDefault="00EA2223">
      <w:pPr>
        <w:ind w:left="2127" w:hanging="2127"/>
        <w:rPr>
          <w:rFonts w:ascii="Arial" w:eastAsia="Arial" w:hAnsi="Arial" w:cs="Arial"/>
          <w:b/>
        </w:rPr>
      </w:pPr>
      <w:r>
        <w:rPr>
          <w:rFonts w:ascii="Arial" w:eastAsia="Arial" w:hAnsi="Arial" w:cs="Arial"/>
          <w:b/>
        </w:rPr>
        <w:t>Document for:</w:t>
      </w:r>
      <w:r>
        <w:rPr>
          <w:rFonts w:ascii="Arial" w:eastAsia="Arial" w:hAnsi="Arial" w:cs="Arial"/>
          <w:b/>
        </w:rPr>
        <w:tab/>
        <w:t>Discussion/Approval</w:t>
      </w:r>
    </w:p>
    <w:p w14:paraId="0000000B" w14:textId="77777777" w:rsidR="00E16171" w:rsidRDefault="00EA2223">
      <w:pPr>
        <w:ind w:left="2127" w:hanging="2127"/>
        <w:rPr>
          <w:rFonts w:ascii="Arial" w:eastAsia="Arial" w:hAnsi="Arial" w:cs="Arial"/>
          <w:b/>
        </w:rPr>
      </w:pPr>
      <w:r>
        <w:rPr>
          <w:rFonts w:ascii="Arial" w:eastAsia="Arial" w:hAnsi="Arial" w:cs="Arial"/>
          <w:b/>
        </w:rPr>
        <w:t>Agenda Item:</w:t>
      </w:r>
      <w:r>
        <w:rPr>
          <w:rFonts w:ascii="Arial" w:eastAsia="Arial" w:hAnsi="Arial" w:cs="Arial"/>
          <w:b/>
        </w:rPr>
        <w:tab/>
        <w:t>9.9 - Study on Vehicle Mounted Relays (FS_VMR)</w:t>
      </w:r>
    </w:p>
    <w:p w14:paraId="0000000C" w14:textId="77777777" w:rsidR="00E16171" w:rsidRDefault="00EA2223">
      <w:pPr>
        <w:ind w:left="2127" w:hanging="2127"/>
        <w:rPr>
          <w:rFonts w:ascii="Arial" w:eastAsia="Arial" w:hAnsi="Arial" w:cs="Arial"/>
          <w:b/>
        </w:rPr>
      </w:pPr>
      <w:r>
        <w:rPr>
          <w:rFonts w:ascii="Arial" w:eastAsia="Arial" w:hAnsi="Arial" w:cs="Arial"/>
          <w:b/>
        </w:rPr>
        <w:t>Work Item / Release:</w:t>
      </w:r>
      <w:r>
        <w:rPr>
          <w:rFonts w:ascii="Arial" w:eastAsia="Arial" w:hAnsi="Arial" w:cs="Arial"/>
          <w:b/>
        </w:rPr>
        <w:tab/>
      </w:r>
      <w:r>
        <w:rPr>
          <w:rFonts w:ascii="Arial" w:eastAsia="Arial" w:hAnsi="Arial" w:cs="Arial"/>
          <w:b/>
          <w:sz w:val="18"/>
          <w:szCs w:val="18"/>
        </w:rPr>
        <w:t>FS_VMR/Release 18</w:t>
      </w:r>
    </w:p>
    <w:p w14:paraId="0000000D" w14:textId="7C75CD3E" w:rsidR="00E16171" w:rsidRDefault="00EA2223">
      <w:pPr>
        <w:rPr>
          <w:rFonts w:ascii="Arial" w:eastAsia="Arial" w:hAnsi="Arial" w:cs="Arial"/>
          <w:i/>
        </w:rPr>
      </w:pPr>
      <w:r>
        <w:rPr>
          <w:rFonts w:ascii="Arial" w:eastAsia="Arial" w:hAnsi="Arial" w:cs="Arial"/>
          <w:i/>
        </w:rPr>
        <w:t xml:space="preserve">Abstract of the contribution: This contribution proposes a solution to support </w:t>
      </w:r>
      <w:r w:rsidR="00AD027F">
        <w:rPr>
          <w:rFonts w:ascii="Arial" w:eastAsia="Arial" w:hAnsi="Arial" w:cs="Arial"/>
          <w:i/>
        </w:rPr>
        <w:t>mobility for UEs connecting to</w:t>
      </w:r>
      <w:r w:rsidR="00AA56C9">
        <w:rPr>
          <w:rFonts w:ascii="Arial" w:eastAsia="Arial" w:hAnsi="Arial" w:cs="Arial"/>
          <w:i/>
        </w:rPr>
        <w:t xml:space="preserve"> or disconnecting from</w:t>
      </w:r>
      <w:r w:rsidR="00AD027F">
        <w:rPr>
          <w:rFonts w:ascii="Arial" w:eastAsia="Arial" w:hAnsi="Arial" w:cs="Arial"/>
          <w:i/>
        </w:rPr>
        <w:t xml:space="preserve"> mobile base station relay</w:t>
      </w:r>
      <w:r w:rsidR="00AA56C9">
        <w:rPr>
          <w:rFonts w:ascii="Arial" w:eastAsia="Arial" w:hAnsi="Arial" w:cs="Arial"/>
          <w:i/>
        </w:rPr>
        <w:t>. It also supports</w:t>
      </w:r>
      <w:r w:rsidR="00AD027F">
        <w:rPr>
          <w:rFonts w:ascii="Arial" w:eastAsia="Arial" w:hAnsi="Arial" w:cs="Arial"/>
          <w:i/>
        </w:rPr>
        <w:t xml:space="preserve"> </w:t>
      </w:r>
      <w:r w:rsidR="00AA56C9">
        <w:rPr>
          <w:rFonts w:ascii="Arial" w:eastAsia="Arial" w:hAnsi="Arial" w:cs="Arial"/>
          <w:i/>
        </w:rPr>
        <w:t xml:space="preserve">mobility of mobile base station relays and </w:t>
      </w:r>
      <w:r>
        <w:rPr>
          <w:rFonts w:ascii="Arial" w:eastAsia="Arial" w:hAnsi="Arial" w:cs="Arial"/>
          <w:i/>
        </w:rPr>
        <w:t xml:space="preserve">service continuity </w:t>
      </w:r>
      <w:r w:rsidR="00AA56C9">
        <w:rPr>
          <w:rFonts w:ascii="Arial" w:eastAsia="Arial" w:hAnsi="Arial" w:cs="Arial"/>
          <w:i/>
        </w:rPr>
        <w:t xml:space="preserve">for UEs </w:t>
      </w:r>
      <w:r>
        <w:rPr>
          <w:rFonts w:ascii="Arial" w:eastAsia="Arial" w:hAnsi="Arial" w:cs="Arial"/>
          <w:i/>
        </w:rPr>
        <w:t xml:space="preserve">when served by mobile base station </w:t>
      </w:r>
      <w:proofErr w:type="gramStart"/>
      <w:r>
        <w:rPr>
          <w:rFonts w:ascii="Arial" w:eastAsia="Arial" w:hAnsi="Arial" w:cs="Arial"/>
          <w:i/>
        </w:rPr>
        <w:t>relays</w:t>
      </w:r>
      <w:r w:rsidR="00AA56C9">
        <w:rPr>
          <w:rFonts w:ascii="Arial" w:eastAsia="Arial" w:hAnsi="Arial" w:cs="Arial"/>
          <w:i/>
        </w:rPr>
        <w:t>’</w:t>
      </w:r>
      <w:proofErr w:type="gramEnd"/>
      <w:r>
        <w:rPr>
          <w:rFonts w:ascii="Arial" w:eastAsia="Arial" w:hAnsi="Arial" w:cs="Arial"/>
          <w:i/>
        </w:rPr>
        <w:t xml:space="preserve">.   </w:t>
      </w:r>
    </w:p>
    <w:p w14:paraId="0000000E" w14:textId="77777777" w:rsidR="00E16171" w:rsidRDefault="00EA2223">
      <w:pPr>
        <w:pStyle w:val="Heading1"/>
      </w:pPr>
      <w:r>
        <w:t>1</w:t>
      </w:r>
      <w:r>
        <w:tab/>
        <w:t>Proposal</w:t>
      </w:r>
    </w:p>
    <w:p w14:paraId="0000000F" w14:textId="77777777" w:rsidR="00E16171" w:rsidRDefault="00526D0A">
      <w:sdt>
        <w:sdtPr>
          <w:tag w:val="goog_rdk_0"/>
          <w:id w:val="-675188225"/>
        </w:sdtPr>
        <w:sdtEndPr/>
        <w:sdtContent/>
      </w:sdt>
      <w:r w:rsidR="00EA2223">
        <w:t>It is proposed to agree the following changes to TR 23.700-05</w:t>
      </w:r>
    </w:p>
    <w:p w14:paraId="00000010"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r>
        <w:rPr>
          <w:b/>
          <w:color w:val="FF0000"/>
        </w:rPr>
        <w:t>FIRST CHANGE</w:t>
      </w:r>
    </w:p>
    <w:p w14:paraId="00000011" w14:textId="77777777" w:rsidR="00E16171" w:rsidRDefault="00EA2223">
      <w:pPr>
        <w:pStyle w:val="Heading1"/>
      </w:pPr>
      <w:bookmarkStart w:id="2" w:name="_heading=h.gjdgxs" w:colFirst="0" w:colLast="0"/>
      <w:bookmarkEnd w:id="2"/>
      <w:r>
        <w:t>2</w:t>
      </w:r>
      <w:r>
        <w:tab/>
        <w:t>References</w:t>
      </w:r>
    </w:p>
    <w:p w14:paraId="00000012" w14:textId="77777777" w:rsidR="00E16171" w:rsidRDefault="00EA2223">
      <w:r>
        <w:t>The following documents contain provisions which, through reference in this text, constitute provisions of the present document.</w:t>
      </w:r>
    </w:p>
    <w:p w14:paraId="00000013" w14:textId="77777777" w:rsidR="00E16171" w:rsidRDefault="00EA2223">
      <w:pPr>
        <w:pBdr>
          <w:top w:val="nil"/>
          <w:left w:val="nil"/>
          <w:bottom w:val="nil"/>
          <w:right w:val="nil"/>
          <w:between w:val="nil"/>
        </w:pBdr>
        <w:ind w:left="568" w:hanging="284"/>
      </w:pPr>
      <w:r>
        <w:t>-</w:t>
      </w:r>
      <w:r>
        <w:tab/>
        <w:t>References are either specific (identified by date of publication, edition number, version number, etc.) or non-specific.</w:t>
      </w:r>
    </w:p>
    <w:p w14:paraId="00000014" w14:textId="77777777" w:rsidR="00E16171" w:rsidRDefault="00EA2223">
      <w:pPr>
        <w:pBdr>
          <w:top w:val="nil"/>
          <w:left w:val="nil"/>
          <w:bottom w:val="nil"/>
          <w:right w:val="nil"/>
          <w:between w:val="nil"/>
        </w:pBdr>
        <w:ind w:left="568" w:hanging="284"/>
      </w:pPr>
      <w:r>
        <w:t>-</w:t>
      </w:r>
      <w:r>
        <w:tab/>
        <w:t>For a specific reference, subsequent revisions do not apply.</w:t>
      </w:r>
    </w:p>
    <w:p w14:paraId="00000015" w14:textId="77777777" w:rsidR="00E16171" w:rsidRDefault="00EA2223">
      <w:pPr>
        <w:pBdr>
          <w:top w:val="nil"/>
          <w:left w:val="nil"/>
          <w:bottom w:val="nil"/>
          <w:right w:val="nil"/>
          <w:between w:val="nil"/>
        </w:pBd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000016" w14:textId="77777777" w:rsidR="00E16171" w:rsidRDefault="00EA2223">
      <w:pPr>
        <w:keepLines/>
        <w:pBdr>
          <w:top w:val="nil"/>
          <w:left w:val="nil"/>
          <w:bottom w:val="nil"/>
          <w:right w:val="nil"/>
          <w:between w:val="nil"/>
        </w:pBdr>
        <w:ind w:left="1702" w:hanging="1418"/>
      </w:pPr>
      <w:r>
        <w:t>[1]</w:t>
      </w:r>
      <w:r>
        <w:tab/>
        <w:t>3GPP TR 21.905: "Vocabulary for 3GPP Specifications".</w:t>
      </w:r>
    </w:p>
    <w:p w14:paraId="00000017" w14:textId="77777777" w:rsidR="00E16171" w:rsidRDefault="00EA2223">
      <w:pPr>
        <w:keepLines/>
        <w:pBdr>
          <w:top w:val="nil"/>
          <w:left w:val="nil"/>
          <w:bottom w:val="nil"/>
          <w:right w:val="nil"/>
          <w:between w:val="nil"/>
        </w:pBdr>
        <w:ind w:left="1702" w:hanging="1418"/>
      </w:pPr>
      <w:r>
        <w:t>[2]</w:t>
      </w:r>
      <w:r>
        <w:tab/>
        <w:t>3GPP TS 23.501: "System architecture for the 5G System (5GS); Stage 2".</w:t>
      </w:r>
    </w:p>
    <w:p w14:paraId="00000018" w14:textId="77777777" w:rsidR="00E16171" w:rsidRDefault="00EA2223">
      <w:pPr>
        <w:keepLines/>
        <w:pBdr>
          <w:top w:val="nil"/>
          <w:left w:val="nil"/>
          <w:bottom w:val="nil"/>
          <w:right w:val="nil"/>
          <w:between w:val="nil"/>
        </w:pBdr>
        <w:ind w:left="1702" w:hanging="1418"/>
      </w:pPr>
      <w:r>
        <w:t>[3]</w:t>
      </w:r>
      <w:r>
        <w:tab/>
        <w:t>3GPP TS 22.261: "Service requirements for the 5G system; Stage 1".</w:t>
      </w:r>
    </w:p>
    <w:p w14:paraId="00000019" w14:textId="77777777" w:rsidR="00E16171" w:rsidRDefault="00EA2223">
      <w:pPr>
        <w:keepLines/>
        <w:pBdr>
          <w:top w:val="nil"/>
          <w:left w:val="nil"/>
          <w:bottom w:val="nil"/>
          <w:right w:val="nil"/>
          <w:between w:val="nil"/>
        </w:pBdr>
        <w:ind w:left="1702" w:hanging="1418"/>
      </w:pPr>
      <w:r>
        <w:t>[4]</w:t>
      </w:r>
      <w:r>
        <w:tab/>
        <w:t>3GPP TS 23.502: "Procedures for the 5G System (5GS); Stage 2".</w:t>
      </w:r>
    </w:p>
    <w:p w14:paraId="0000001A" w14:textId="77777777" w:rsidR="00E16171" w:rsidRDefault="00EA2223">
      <w:pPr>
        <w:keepLines/>
        <w:pBdr>
          <w:top w:val="nil"/>
          <w:left w:val="nil"/>
          <w:bottom w:val="nil"/>
          <w:right w:val="nil"/>
          <w:between w:val="nil"/>
        </w:pBdr>
        <w:ind w:left="1702" w:hanging="1418"/>
      </w:pPr>
      <w:r>
        <w:t>[5]</w:t>
      </w:r>
      <w:r>
        <w:tab/>
        <w:t>3GPP TS 38.401: "NG-RAN; Architecture description".</w:t>
      </w:r>
    </w:p>
    <w:p w14:paraId="0000001B" w14:textId="77777777" w:rsidR="00E16171" w:rsidRDefault="00E16171">
      <w:pPr>
        <w:keepLines/>
        <w:pBdr>
          <w:top w:val="nil"/>
          <w:left w:val="nil"/>
          <w:bottom w:val="nil"/>
          <w:right w:val="nil"/>
          <w:between w:val="nil"/>
        </w:pBdr>
        <w:ind w:left="1702" w:hanging="1418"/>
      </w:pPr>
    </w:p>
    <w:p w14:paraId="0000001C" w14:textId="77777777" w:rsidR="00E16171" w:rsidRDefault="00EA2223">
      <w:pPr>
        <w:pStyle w:val="Heading2"/>
        <w:rPr>
          <w:sz w:val="36"/>
          <w:szCs w:val="36"/>
        </w:rPr>
      </w:pPr>
      <w:bookmarkStart w:id="3" w:name="_heading=h.30j0zll" w:colFirst="0" w:colLast="0"/>
      <w:bookmarkEnd w:id="3"/>
      <w:r>
        <w:lastRenderedPageBreak/>
        <w:t xml:space="preserve"> </w:t>
      </w:r>
      <w:r>
        <w:rPr>
          <w:sz w:val="36"/>
          <w:szCs w:val="36"/>
        </w:rPr>
        <w:t>3         Definitions of terms and abbreviations</w:t>
      </w:r>
    </w:p>
    <w:p w14:paraId="0000001D" w14:textId="77777777" w:rsidR="00E16171" w:rsidRDefault="00EA2223">
      <w:pPr>
        <w:pStyle w:val="Heading2"/>
        <w:spacing w:before="360" w:after="80"/>
      </w:pPr>
      <w:bookmarkStart w:id="4" w:name="_heading=h.1e6lnikoy22c" w:colFirst="0" w:colLast="0"/>
      <w:bookmarkEnd w:id="4"/>
      <w:r>
        <w:t>3.1         Terms</w:t>
      </w:r>
    </w:p>
    <w:p w14:paraId="0000001E" w14:textId="77777777" w:rsidR="00E16171" w:rsidRDefault="00EA2223">
      <w:r>
        <w:t xml:space="preserve">For the purposes of the present document, the terms given in TR 21.905 [1] and the following apply. </w:t>
      </w:r>
    </w:p>
    <w:p w14:paraId="0000001F" w14:textId="7F940A00" w:rsidR="00E16171" w:rsidRDefault="00152A35">
      <w:pPr>
        <w:rPr>
          <w:b/>
        </w:rPr>
      </w:pPr>
      <w:bookmarkStart w:id="5" w:name="_Hlk102747930"/>
      <w:r>
        <w:rPr>
          <w:b/>
        </w:rPr>
        <w:t>IAB-donor</w:t>
      </w:r>
      <w:r w:rsidR="00EA2223">
        <w:rPr>
          <w:b/>
        </w:rPr>
        <w:t xml:space="preserve">: </w:t>
      </w:r>
      <w:r w:rsidR="00EA2223">
        <w:t>It comprises a standard gNB-CU with an additional N6 interface to facilitate connectivity with a UPF. It supports all standard gNB-CU interfaces like F1 towards gNB-DU, Xn towards other gNBs and NG interfaces towards the core network.</w:t>
      </w:r>
    </w:p>
    <w:p w14:paraId="00000021"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bookmarkStart w:id="6" w:name="_heading=h.71761dc7a8yh" w:colFirst="0" w:colLast="0"/>
      <w:bookmarkEnd w:id="5"/>
      <w:bookmarkEnd w:id="6"/>
      <w:r>
        <w:rPr>
          <w:b/>
          <w:color w:val="FF0000"/>
        </w:rPr>
        <w:t>NEXT CHANGE</w:t>
      </w:r>
    </w:p>
    <w:p w14:paraId="00000022" w14:textId="77777777" w:rsidR="00E16171" w:rsidRDefault="00EA2223">
      <w:pPr>
        <w:pStyle w:val="Heading2"/>
      </w:pPr>
      <w:r>
        <w:t>6.0</w:t>
      </w:r>
      <w:r>
        <w:tab/>
        <w:t>Mapping of solutions to key issues</w:t>
      </w:r>
    </w:p>
    <w:p w14:paraId="00000023" w14:textId="77777777" w:rsidR="00E16171" w:rsidRDefault="00EA2223">
      <w:pPr>
        <w:keepLines/>
        <w:pBdr>
          <w:top w:val="nil"/>
          <w:left w:val="nil"/>
          <w:bottom w:val="nil"/>
          <w:right w:val="nil"/>
          <w:between w:val="nil"/>
        </w:pBdr>
        <w:ind w:left="1135" w:hanging="851"/>
        <w:rPr>
          <w:color w:val="FF0000"/>
        </w:rPr>
      </w:pPr>
      <w:r>
        <w:rPr>
          <w:color w:val="FF0000"/>
        </w:rPr>
        <w:t>Editor's note:</w:t>
      </w:r>
      <w:r>
        <w:rPr>
          <w:color w:val="FF0000"/>
        </w:rPr>
        <w:tab/>
        <w:t>This clause describes the mapping between solutions and key issues.</w:t>
      </w:r>
    </w:p>
    <w:tbl>
      <w:tblPr>
        <w:tblStyle w:val="a0"/>
        <w:tblW w:w="5205" w:type="dxa"/>
        <w:tblInd w:w="16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735"/>
        <w:gridCol w:w="720"/>
        <w:gridCol w:w="630"/>
        <w:gridCol w:w="720"/>
        <w:gridCol w:w="630"/>
        <w:gridCol w:w="630"/>
      </w:tblGrid>
      <w:tr w:rsidR="00E16171" w14:paraId="63E7F53B" w14:textId="77777777">
        <w:tc>
          <w:tcPr>
            <w:tcW w:w="1140" w:type="dxa"/>
            <w:tcBorders>
              <w:top w:val="single" w:sz="4" w:space="0" w:color="000000"/>
              <w:left w:val="single" w:sz="4" w:space="0" w:color="000000"/>
              <w:bottom w:val="single" w:sz="4" w:space="0" w:color="000000"/>
              <w:right w:val="single" w:sz="4" w:space="0" w:color="000000"/>
            </w:tcBorders>
          </w:tcPr>
          <w:p w14:paraId="0000002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4065" w:type="dxa"/>
            <w:gridSpan w:val="6"/>
            <w:tcBorders>
              <w:top w:val="single" w:sz="4" w:space="0" w:color="000000"/>
              <w:left w:val="single" w:sz="4" w:space="0" w:color="000000"/>
              <w:bottom w:val="single" w:sz="4" w:space="0" w:color="000000"/>
              <w:right w:val="single" w:sz="4" w:space="0" w:color="000000"/>
            </w:tcBorders>
          </w:tcPr>
          <w:p w14:paraId="00000025"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Key Issues</w:t>
            </w:r>
          </w:p>
        </w:tc>
      </w:tr>
      <w:tr w:rsidR="00E16171" w14:paraId="54B7BD70" w14:textId="77777777">
        <w:tc>
          <w:tcPr>
            <w:tcW w:w="1140" w:type="dxa"/>
            <w:tcBorders>
              <w:top w:val="single" w:sz="4" w:space="0" w:color="000000"/>
              <w:left w:val="single" w:sz="4" w:space="0" w:color="000000"/>
              <w:bottom w:val="single" w:sz="4" w:space="0" w:color="000000"/>
              <w:right w:val="single" w:sz="4" w:space="0" w:color="000000"/>
            </w:tcBorders>
          </w:tcPr>
          <w:p w14:paraId="0000002B"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Solutions</w:t>
            </w:r>
          </w:p>
        </w:tc>
        <w:tc>
          <w:tcPr>
            <w:tcW w:w="735" w:type="dxa"/>
            <w:tcBorders>
              <w:top w:val="single" w:sz="4" w:space="0" w:color="000000"/>
              <w:left w:val="single" w:sz="4" w:space="0" w:color="000000"/>
              <w:bottom w:val="single" w:sz="4" w:space="0" w:color="000000"/>
              <w:right w:val="single" w:sz="4" w:space="0" w:color="000000"/>
            </w:tcBorders>
          </w:tcPr>
          <w:p w14:paraId="0000002C"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1</w:t>
            </w:r>
          </w:p>
        </w:tc>
        <w:tc>
          <w:tcPr>
            <w:tcW w:w="720" w:type="dxa"/>
            <w:tcBorders>
              <w:top w:val="single" w:sz="4" w:space="0" w:color="000000"/>
              <w:left w:val="single" w:sz="4" w:space="0" w:color="000000"/>
              <w:bottom w:val="single" w:sz="4" w:space="0" w:color="000000"/>
              <w:right w:val="single" w:sz="4" w:space="0" w:color="000000"/>
            </w:tcBorders>
          </w:tcPr>
          <w:p w14:paraId="0000002D"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2</w:t>
            </w:r>
          </w:p>
        </w:tc>
        <w:tc>
          <w:tcPr>
            <w:tcW w:w="630" w:type="dxa"/>
            <w:tcBorders>
              <w:top w:val="single" w:sz="4" w:space="0" w:color="000000"/>
              <w:left w:val="single" w:sz="4" w:space="0" w:color="000000"/>
              <w:bottom w:val="single" w:sz="4" w:space="0" w:color="000000"/>
              <w:right w:val="single" w:sz="4" w:space="0" w:color="000000"/>
            </w:tcBorders>
          </w:tcPr>
          <w:p w14:paraId="0000002E"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3</w:t>
            </w:r>
          </w:p>
        </w:tc>
        <w:tc>
          <w:tcPr>
            <w:tcW w:w="720" w:type="dxa"/>
            <w:tcBorders>
              <w:top w:val="single" w:sz="4" w:space="0" w:color="000000"/>
              <w:left w:val="single" w:sz="4" w:space="0" w:color="000000"/>
              <w:bottom w:val="single" w:sz="4" w:space="0" w:color="000000"/>
              <w:right w:val="single" w:sz="4" w:space="0" w:color="000000"/>
            </w:tcBorders>
          </w:tcPr>
          <w:p w14:paraId="0000002F"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4</w:t>
            </w:r>
          </w:p>
        </w:tc>
        <w:tc>
          <w:tcPr>
            <w:tcW w:w="630" w:type="dxa"/>
            <w:tcBorders>
              <w:top w:val="single" w:sz="4" w:space="0" w:color="000000"/>
              <w:left w:val="single" w:sz="4" w:space="0" w:color="000000"/>
              <w:bottom w:val="single" w:sz="4" w:space="0" w:color="000000"/>
              <w:right w:val="single" w:sz="4" w:space="0" w:color="000000"/>
            </w:tcBorders>
          </w:tcPr>
          <w:p w14:paraId="00000030"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5</w:t>
            </w:r>
          </w:p>
        </w:tc>
        <w:tc>
          <w:tcPr>
            <w:tcW w:w="630" w:type="dxa"/>
            <w:tcBorders>
              <w:top w:val="single" w:sz="4" w:space="0" w:color="000000"/>
              <w:left w:val="single" w:sz="4" w:space="0" w:color="000000"/>
              <w:bottom w:val="single" w:sz="4" w:space="0" w:color="000000"/>
              <w:right w:val="single" w:sz="4" w:space="0" w:color="000000"/>
            </w:tcBorders>
          </w:tcPr>
          <w:p w14:paraId="00000031"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6</w:t>
            </w:r>
          </w:p>
        </w:tc>
      </w:tr>
      <w:tr w:rsidR="00E16171" w14:paraId="27EB45D5" w14:textId="77777777">
        <w:tc>
          <w:tcPr>
            <w:tcW w:w="1140" w:type="dxa"/>
            <w:tcBorders>
              <w:top w:val="single" w:sz="4" w:space="0" w:color="000000"/>
              <w:left w:val="single" w:sz="4" w:space="0" w:color="000000"/>
              <w:bottom w:val="single" w:sz="4" w:space="0" w:color="000000"/>
              <w:right w:val="single" w:sz="4" w:space="0" w:color="000000"/>
            </w:tcBorders>
          </w:tcPr>
          <w:p w14:paraId="00000032"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X</w:t>
            </w:r>
          </w:p>
        </w:tc>
        <w:tc>
          <w:tcPr>
            <w:tcW w:w="735" w:type="dxa"/>
            <w:tcBorders>
              <w:top w:val="single" w:sz="4" w:space="0" w:color="000000"/>
              <w:left w:val="single" w:sz="4" w:space="0" w:color="000000"/>
              <w:bottom w:val="single" w:sz="4" w:space="0" w:color="000000"/>
              <w:right w:val="single" w:sz="4" w:space="0" w:color="000000"/>
            </w:tcBorders>
          </w:tcPr>
          <w:p w14:paraId="0000003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4" w14:textId="5CDA1B58" w:rsidR="00E16171" w:rsidRDefault="004964CA">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630" w:type="dxa"/>
            <w:tcBorders>
              <w:top w:val="single" w:sz="4" w:space="0" w:color="000000"/>
              <w:left w:val="single" w:sz="4" w:space="0" w:color="000000"/>
              <w:bottom w:val="single" w:sz="4" w:space="0" w:color="000000"/>
              <w:right w:val="single" w:sz="4" w:space="0" w:color="000000"/>
            </w:tcBorders>
          </w:tcPr>
          <w:p w14:paraId="00000035" w14:textId="77777777" w:rsidR="00E16171" w:rsidRDefault="00EA2223">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720" w:type="dxa"/>
            <w:tcBorders>
              <w:top w:val="single" w:sz="4" w:space="0" w:color="000000"/>
              <w:left w:val="single" w:sz="4" w:space="0" w:color="000000"/>
              <w:bottom w:val="single" w:sz="4" w:space="0" w:color="000000"/>
              <w:right w:val="single" w:sz="4" w:space="0" w:color="000000"/>
            </w:tcBorders>
          </w:tcPr>
          <w:p w14:paraId="00000036"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7"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8"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07E2D58C" w14:textId="77777777">
        <w:tc>
          <w:tcPr>
            <w:tcW w:w="1140" w:type="dxa"/>
            <w:tcBorders>
              <w:top w:val="single" w:sz="4" w:space="0" w:color="000000"/>
              <w:left w:val="single" w:sz="4" w:space="0" w:color="000000"/>
              <w:bottom w:val="single" w:sz="4" w:space="0" w:color="000000"/>
              <w:right w:val="single" w:sz="4" w:space="0" w:color="000000"/>
            </w:tcBorders>
          </w:tcPr>
          <w:p w14:paraId="00000039"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3A"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B"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C"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D"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E"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F"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2427152E" w14:textId="77777777">
        <w:tc>
          <w:tcPr>
            <w:tcW w:w="1140" w:type="dxa"/>
            <w:tcBorders>
              <w:top w:val="single" w:sz="4" w:space="0" w:color="000000"/>
              <w:left w:val="single" w:sz="4" w:space="0" w:color="000000"/>
              <w:bottom w:val="single" w:sz="4" w:space="0" w:color="000000"/>
              <w:right w:val="single" w:sz="4" w:space="0" w:color="000000"/>
            </w:tcBorders>
          </w:tcPr>
          <w:p w14:paraId="00000040"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1"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2"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5"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6"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0A645DD5" w14:textId="77777777">
        <w:tc>
          <w:tcPr>
            <w:tcW w:w="1140" w:type="dxa"/>
            <w:tcBorders>
              <w:top w:val="single" w:sz="4" w:space="0" w:color="000000"/>
              <w:left w:val="single" w:sz="4" w:space="0" w:color="000000"/>
              <w:bottom w:val="single" w:sz="4" w:space="0" w:color="000000"/>
              <w:right w:val="single" w:sz="4" w:space="0" w:color="000000"/>
            </w:tcBorders>
          </w:tcPr>
          <w:p w14:paraId="00000047"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8"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9"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A"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B"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C"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D"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477058DE" w14:textId="77777777">
        <w:tc>
          <w:tcPr>
            <w:tcW w:w="1140" w:type="dxa"/>
            <w:tcBorders>
              <w:top w:val="single" w:sz="4" w:space="0" w:color="000000"/>
              <w:left w:val="single" w:sz="4" w:space="0" w:color="000000"/>
              <w:bottom w:val="single" w:sz="4" w:space="0" w:color="000000"/>
              <w:right w:val="single" w:sz="4" w:space="0" w:color="000000"/>
            </w:tcBorders>
          </w:tcPr>
          <w:p w14:paraId="0000004E"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F"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50"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1"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52"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bl>
    <w:p w14:paraId="00000055" w14:textId="77777777" w:rsidR="00E16171" w:rsidRDefault="00E16171"/>
    <w:p w14:paraId="00000056" w14:textId="77777777" w:rsidR="00E16171" w:rsidRDefault="00E16171">
      <w:pPr>
        <w:pBdr>
          <w:top w:val="nil"/>
          <w:left w:val="nil"/>
          <w:bottom w:val="nil"/>
          <w:right w:val="nil"/>
          <w:between w:val="nil"/>
        </w:pBdr>
        <w:spacing w:after="0"/>
      </w:pPr>
    </w:p>
    <w:p w14:paraId="00000057"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bookmarkStart w:id="7" w:name="_heading=h.1fob9te" w:colFirst="0" w:colLast="0"/>
      <w:bookmarkEnd w:id="7"/>
      <w:r>
        <w:rPr>
          <w:b/>
          <w:color w:val="FF0000"/>
        </w:rPr>
        <w:t>NEXT CHANGE</w:t>
      </w:r>
    </w:p>
    <w:p w14:paraId="00000058" w14:textId="14E25C1E" w:rsidR="00E16171" w:rsidRDefault="00EA2223">
      <w:pPr>
        <w:pStyle w:val="Heading2"/>
      </w:pPr>
      <w:r>
        <w:t>6.X</w:t>
      </w:r>
      <w:r>
        <w:tab/>
        <w:t>Solution #X:</w:t>
      </w:r>
      <w:r w:rsidR="009F3CC5">
        <w:t xml:space="preserve"> </w:t>
      </w:r>
      <w:r>
        <w:t xml:space="preserve">Efficient mobility </w:t>
      </w:r>
      <w:r w:rsidR="00D213EE">
        <w:t xml:space="preserve">support using PDU </w:t>
      </w:r>
      <w:r w:rsidR="00786AE8">
        <w:t>c</w:t>
      </w:r>
      <w:r w:rsidR="00D213EE">
        <w:t>onnectivity service between mobile base station relay and IAB-donor</w:t>
      </w:r>
    </w:p>
    <w:p w14:paraId="00000059" w14:textId="77777777" w:rsidR="00E16171" w:rsidRDefault="00EA2223">
      <w:pPr>
        <w:pStyle w:val="Heading3"/>
      </w:pPr>
      <w:r>
        <w:t>6.X.1</w:t>
      </w:r>
      <w:r>
        <w:tab/>
        <w:t>General</w:t>
      </w:r>
    </w:p>
    <w:p w14:paraId="0000005A" w14:textId="65246341" w:rsidR="00E16171" w:rsidRDefault="00EA2223">
      <w:pPr>
        <w:keepLines/>
        <w:pBdr>
          <w:top w:val="nil"/>
          <w:left w:val="nil"/>
          <w:bottom w:val="nil"/>
          <w:right w:val="nil"/>
          <w:between w:val="nil"/>
        </w:pBdr>
      </w:pPr>
      <w:r>
        <w:t xml:space="preserve">This solution addresses </w:t>
      </w:r>
      <w:r w:rsidR="00D213EE">
        <w:t xml:space="preserve">Key Issue#2 and </w:t>
      </w:r>
      <w:r>
        <w:t>Key Issue#3 as defined in clause</w:t>
      </w:r>
      <w:r w:rsidR="00D213EE">
        <w:t>s 5.2 and</w:t>
      </w:r>
      <w:r>
        <w:t xml:space="preserve"> 5.3</w:t>
      </w:r>
      <w:r w:rsidR="00D213EE">
        <w:t xml:space="preserve"> respectively</w:t>
      </w:r>
      <w:r>
        <w:t>.</w:t>
      </w:r>
    </w:p>
    <w:p w14:paraId="0000005B" w14:textId="77777777" w:rsidR="00E16171" w:rsidRDefault="00EA2223">
      <w:pPr>
        <w:pStyle w:val="Heading3"/>
      </w:pPr>
      <w:bookmarkStart w:id="8" w:name="_Hlk102735347"/>
      <w:r>
        <w:t>6.X.2</w:t>
      </w:r>
      <w:r>
        <w:tab/>
        <w:t>Functional description</w:t>
      </w:r>
    </w:p>
    <w:p w14:paraId="77DFAA52" w14:textId="01E0040A" w:rsidR="000B1BE2" w:rsidRDefault="000B1BE2" w:rsidP="000B1BE2">
      <w:pPr>
        <w:pStyle w:val="Heading4"/>
      </w:pPr>
      <w:r>
        <w:t>6.X.2.1</w:t>
      </w:r>
      <w:r>
        <w:tab/>
        <w:t>Solution Summary</w:t>
      </w:r>
    </w:p>
    <w:p w14:paraId="0000005C" w14:textId="6FF438DF" w:rsidR="00E16171" w:rsidRDefault="00EA2223">
      <w:r>
        <w:t>The</w:t>
      </w:r>
      <w:r w:rsidR="000B1BE2">
        <w:t xml:space="preserve"> key</w:t>
      </w:r>
      <w:r>
        <w:t xml:space="preserve"> points of the proposed solution are discussed below:</w:t>
      </w:r>
    </w:p>
    <w:p w14:paraId="0000005D" w14:textId="2E932B22" w:rsidR="00E16171" w:rsidRDefault="00EA2223">
      <w:pPr>
        <w:numPr>
          <w:ilvl w:val="0"/>
          <w:numId w:val="6"/>
        </w:numPr>
        <w:pBdr>
          <w:top w:val="nil"/>
          <w:left w:val="nil"/>
          <w:bottom w:val="nil"/>
          <w:right w:val="nil"/>
          <w:between w:val="nil"/>
        </w:pBdr>
      </w:pPr>
      <w:r>
        <w:t>As shown in figure 6.X.2</w:t>
      </w:r>
      <w:r w:rsidR="0038444A">
        <w:t>.1</w:t>
      </w:r>
      <w:r>
        <w:t xml:space="preserve">-1, the </w:t>
      </w:r>
      <w:r w:rsidR="00493504">
        <w:t>Mobile Base Station Relay (</w:t>
      </w:r>
      <w:r>
        <w:t>MBSR</w:t>
      </w:r>
      <w:r w:rsidR="00493504">
        <w:t>)</w:t>
      </w:r>
      <w:r>
        <w:t xml:space="preserve"> comprises a gNB-DU and an IAB-MT. </w:t>
      </w:r>
      <w:r w:rsidR="00374F73">
        <w:t xml:space="preserve">While </w:t>
      </w:r>
      <w:r>
        <w:t>MBSR's gNB-DU provides connectivity to UEs over the access link (Uu interface)</w:t>
      </w:r>
      <w:r w:rsidR="00374F73">
        <w:t>, its (</w:t>
      </w:r>
      <w:r>
        <w:t>MBSR's</w:t>
      </w:r>
      <w:r w:rsidR="00374F73">
        <w:t>)</w:t>
      </w:r>
      <w:r>
        <w:t xml:space="preserve"> IAB-MT connects as a UE to other gNBs over the Uu interface. The radio link between the IAB-MT and the gNB</w:t>
      </w:r>
      <w:r w:rsidR="00EA3C57">
        <w:t xml:space="preserve"> </w:t>
      </w:r>
      <w:r>
        <w:t>acts as the backhaul link for UEs connecting to the MBSR</w:t>
      </w:r>
      <w:r w:rsidR="00374F73">
        <w:t xml:space="preserve">’s gNB-DU </w:t>
      </w:r>
      <w:r>
        <w:t>over the access link.</w:t>
      </w:r>
    </w:p>
    <w:p w14:paraId="0000005E" w14:textId="212FADC3" w:rsidR="00E16171" w:rsidRDefault="00EA2223">
      <w:pPr>
        <w:numPr>
          <w:ilvl w:val="0"/>
          <w:numId w:val="6"/>
        </w:numPr>
        <w:pBdr>
          <w:top w:val="nil"/>
          <w:left w:val="nil"/>
          <w:bottom w:val="nil"/>
          <w:right w:val="nil"/>
          <w:between w:val="nil"/>
        </w:pBdr>
      </w:pPr>
      <w:r>
        <w:t>MBSR is deployed in the radio access network</w:t>
      </w:r>
      <w:r w:rsidR="002C7C46">
        <w:t xml:space="preserve"> and is an access network function</w:t>
      </w:r>
      <w:r>
        <w:t xml:space="preserve">. </w:t>
      </w:r>
      <w:r w:rsidR="00152A35">
        <w:t>IAB-donor</w:t>
      </w:r>
      <w:r w:rsidR="002C7C46">
        <w:t xml:space="preserve"> </w:t>
      </w:r>
      <w:r>
        <w:t>is also an access network function by virtue of having a gNB-CU functionality</w:t>
      </w:r>
      <w:r w:rsidR="00374F73">
        <w:t xml:space="preserve"> to support gNB-DUs of MBSRs. IAB-donor </w:t>
      </w:r>
      <w:r>
        <w:t>supports all standard gNB-CU interfaces, namely F1 (to gNB-DU), Xn (to other gNBs), and N2/N3 interfaces (to Core Network (CN) Control Plane (CP)</w:t>
      </w:r>
      <w:r w:rsidR="00B372F5">
        <w:t>/</w:t>
      </w:r>
      <w:r>
        <w:t>User Plane</w:t>
      </w:r>
      <w:r w:rsidR="00374F73">
        <w:t xml:space="preserve"> </w:t>
      </w:r>
      <w:r>
        <w:t>(UP)</w:t>
      </w:r>
      <w:r w:rsidR="00B372F5">
        <w:t xml:space="preserve"> respectively</w:t>
      </w:r>
      <w:r>
        <w:t xml:space="preserve">). The </w:t>
      </w:r>
      <w:r w:rsidR="00152A35">
        <w:t>IAB-donor</w:t>
      </w:r>
      <w:r>
        <w:t xml:space="preserve"> itself does not have support for any radio interface</w:t>
      </w:r>
      <w:r w:rsidR="002C7C46">
        <w:t xml:space="preserve">, i.e., it is devoid of </w:t>
      </w:r>
      <w:r w:rsidR="00374F73">
        <w:t xml:space="preserve">the </w:t>
      </w:r>
      <w:r w:rsidR="002C7C46">
        <w:t>IAB-DU functionality</w:t>
      </w:r>
      <w:r>
        <w:t>.</w:t>
      </w:r>
      <w:r w:rsidR="002C7C46">
        <w:t xml:space="preserve"> </w:t>
      </w:r>
      <w:r w:rsidR="00B372F5">
        <w:t xml:space="preserve">The </w:t>
      </w:r>
      <w:r w:rsidR="00152A35">
        <w:t>IAB-donor</w:t>
      </w:r>
      <w:r w:rsidR="002C7C46">
        <w:t xml:space="preserve"> is a data network function also by virtue of </w:t>
      </w:r>
      <w:r w:rsidR="00EA3C57">
        <w:t xml:space="preserve">being </w:t>
      </w:r>
      <w:r w:rsidR="002C7C46">
        <w:t>connect</w:t>
      </w:r>
      <w:r w:rsidR="00EA3C57">
        <w:t>ed</w:t>
      </w:r>
      <w:r w:rsidR="002C7C46">
        <w:t xml:space="preserve"> to a UPF over N6 interface.</w:t>
      </w:r>
    </w:p>
    <w:p w14:paraId="0000005F" w14:textId="3D29D700" w:rsidR="00E16171" w:rsidRDefault="00EA2223">
      <w:pPr>
        <w:numPr>
          <w:ilvl w:val="0"/>
          <w:numId w:val="6"/>
        </w:numPr>
        <w:pBdr>
          <w:top w:val="nil"/>
          <w:left w:val="nil"/>
          <w:bottom w:val="nil"/>
          <w:right w:val="nil"/>
          <w:between w:val="nil"/>
        </w:pBdr>
      </w:pPr>
      <w:r>
        <w:lastRenderedPageBreak/>
        <w:t xml:space="preserve">The PDU </w:t>
      </w:r>
      <w:r w:rsidR="003935C7">
        <w:t>c</w:t>
      </w:r>
      <w:r>
        <w:t xml:space="preserve">onnectivity service </w:t>
      </w:r>
      <w:r w:rsidR="00F155F5">
        <w:t xml:space="preserve">provided by the 5G system </w:t>
      </w:r>
      <w:r>
        <w:t xml:space="preserve">is utilized to connect the MBSR with the corresponding </w:t>
      </w:r>
      <w:r w:rsidR="00152A35">
        <w:t>IAB-donor</w:t>
      </w:r>
      <w:r>
        <w:t xml:space="preserve">, i.e., to </w:t>
      </w:r>
      <w:r w:rsidR="00374F73">
        <w:t xml:space="preserve">support the F1 interface between </w:t>
      </w:r>
      <w:r>
        <w:t xml:space="preserve">the gNB-DU of the MBSR </w:t>
      </w:r>
      <w:r w:rsidR="00374F73">
        <w:t xml:space="preserve">and </w:t>
      </w:r>
      <w:r>
        <w:t xml:space="preserve">the gNB-CU of the </w:t>
      </w:r>
      <w:r w:rsidR="00152A35">
        <w:t>IAB-donor</w:t>
      </w:r>
      <w:r>
        <w:t>.</w:t>
      </w:r>
    </w:p>
    <w:p w14:paraId="00000060" w14:textId="6787456C" w:rsidR="00E16171" w:rsidRDefault="00EA2223">
      <w:pPr>
        <w:numPr>
          <w:ilvl w:val="0"/>
          <w:numId w:val="6"/>
        </w:numPr>
      </w:pPr>
      <w:r>
        <w:t>As shown in figure 6.X.2</w:t>
      </w:r>
      <w:r w:rsidR="0038444A">
        <w:t>.1</w:t>
      </w:r>
      <w:r>
        <w:t xml:space="preserve">-2, MBSR's IAB-MT establishes radio (RRC) connectivity with a gNB in the </w:t>
      </w:r>
      <w:r w:rsidR="00481343">
        <w:t xml:space="preserve">5G </w:t>
      </w:r>
      <w:r w:rsidR="00C4775A">
        <w:t>RAN</w:t>
      </w:r>
      <w:r>
        <w:t>. MBSR's IAB-MT further registers</w:t>
      </w:r>
      <w:r w:rsidR="00F155F5">
        <w:t xml:space="preserve"> (NAS registration)</w:t>
      </w:r>
      <w:r>
        <w:t xml:space="preserve"> itself with the 5GC and requests the 5GC for the establishment of one or more "IP (v4/v6) type" PDU </w:t>
      </w:r>
      <w:r w:rsidR="00F155F5">
        <w:t>s</w:t>
      </w:r>
      <w:r>
        <w:t xml:space="preserve">essions to </w:t>
      </w:r>
      <w:r w:rsidR="00C4775A">
        <w:t xml:space="preserve">communicate </w:t>
      </w:r>
      <w:r>
        <w:t xml:space="preserve">to its </w:t>
      </w:r>
      <w:r w:rsidR="00152A35">
        <w:t>IAB-donor</w:t>
      </w:r>
      <w:r>
        <w:t xml:space="preserve">. The PDU </w:t>
      </w:r>
      <w:r w:rsidR="00F155F5">
        <w:t>s</w:t>
      </w:r>
      <w:r>
        <w:t>ession</w:t>
      </w:r>
      <w:r w:rsidR="00C4775A">
        <w:t>(s)</w:t>
      </w:r>
      <w:r>
        <w:t xml:space="preserve"> to support PDU (IP) </w:t>
      </w:r>
      <w:r w:rsidR="00481343">
        <w:t>c</w:t>
      </w:r>
      <w:r>
        <w:t xml:space="preserve">onnectivity between the MBSR (IAB-MT) and the </w:t>
      </w:r>
      <w:r w:rsidR="00152A35">
        <w:t>IAB-donor</w:t>
      </w:r>
      <w:r>
        <w:t xml:space="preserve"> (gNB-CU) is established through the gNB and the UPF1 by the 5GC. </w:t>
      </w:r>
      <w:r w:rsidR="00F155F5">
        <w:t xml:space="preserve">Once these PDU session(s) are established, </w:t>
      </w:r>
      <w:r w:rsidR="00903AA6">
        <w:t>MBSR's gNB-DU establishes an F1 interface with the IAB-donor's gNB-CU via the</w:t>
      </w:r>
      <w:r w:rsidR="00F155F5">
        <w:t>m</w:t>
      </w:r>
      <w:r>
        <w:t>.</w:t>
      </w:r>
    </w:p>
    <w:p w14:paraId="00000061" w14:textId="67D47FA4" w:rsidR="00E16171" w:rsidRDefault="00493504">
      <w:pPr>
        <w:spacing w:after="0" w:line="276" w:lineRule="auto"/>
        <w:jc w:val="center"/>
      </w:pPr>
      <w:r>
        <w:rPr>
          <w:noProof/>
          <w:lang w:eastAsia="en-GB"/>
        </w:rPr>
        <w:drawing>
          <wp:inline distT="0" distB="0" distL="0" distR="0" wp14:anchorId="14611AB9" wp14:editId="75283831">
            <wp:extent cx="5210810" cy="2531335"/>
            <wp:effectExtent l="0" t="0" r="889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22-05-06 at 11.59.51 AM.png"/>
                    <pic:cNvPicPr/>
                  </pic:nvPicPr>
                  <pic:blipFill>
                    <a:blip r:embed="rId8">
                      <a:extLst>
                        <a:ext uri="{28A0092B-C50C-407E-A947-70E740481C1C}">
                          <a14:useLocalDpi xmlns:a14="http://schemas.microsoft.com/office/drawing/2010/main" val="0"/>
                        </a:ext>
                      </a:extLst>
                    </a:blip>
                    <a:stretch>
                      <a:fillRect/>
                    </a:stretch>
                  </pic:blipFill>
                  <pic:spPr>
                    <a:xfrm>
                      <a:off x="0" y="0"/>
                      <a:ext cx="5228449" cy="2539904"/>
                    </a:xfrm>
                    <a:prstGeom prst="rect">
                      <a:avLst/>
                    </a:prstGeom>
                  </pic:spPr>
                </pic:pic>
              </a:graphicData>
            </a:graphic>
          </wp:inline>
        </w:drawing>
      </w:r>
    </w:p>
    <w:p w14:paraId="00000062" w14:textId="11FA4E1F" w:rsidR="00E16171" w:rsidRDefault="00EA2223" w:rsidP="00826A6C">
      <w:pPr>
        <w:spacing w:after="120" w:line="276" w:lineRule="auto"/>
        <w:jc w:val="center"/>
      </w:pPr>
      <w:r>
        <w:rPr>
          <w:rFonts w:ascii="Arial" w:eastAsia="Arial" w:hAnsi="Arial" w:cs="Arial"/>
          <w:b/>
        </w:rPr>
        <w:t>Figure 6.X.2</w:t>
      </w:r>
      <w:r w:rsidR="0038444A">
        <w:rPr>
          <w:rFonts w:ascii="Arial" w:eastAsia="Arial" w:hAnsi="Arial" w:cs="Arial"/>
          <w:b/>
        </w:rPr>
        <w:t>.1</w:t>
      </w:r>
      <w:r>
        <w:rPr>
          <w:rFonts w:ascii="Arial" w:eastAsia="Arial" w:hAnsi="Arial" w:cs="Arial"/>
          <w:b/>
        </w:rPr>
        <w:t>-1</w:t>
      </w:r>
      <w:r>
        <w:rPr>
          <w:b/>
        </w:rPr>
        <w:t xml:space="preserve">. </w:t>
      </w:r>
      <w:r>
        <w:rPr>
          <w:rFonts w:ascii="Arial" w:eastAsia="Arial" w:hAnsi="Arial" w:cs="Arial"/>
          <w:b/>
        </w:rPr>
        <w:t xml:space="preserve">Proposed </w:t>
      </w:r>
      <w:r w:rsidR="00916DE3">
        <w:rPr>
          <w:rFonts w:ascii="Arial" w:eastAsia="Arial" w:hAnsi="Arial" w:cs="Arial"/>
          <w:b/>
        </w:rPr>
        <w:t xml:space="preserve">MBSR </w:t>
      </w:r>
      <w:r>
        <w:rPr>
          <w:rFonts w:ascii="Arial" w:eastAsia="Arial" w:hAnsi="Arial" w:cs="Arial"/>
          <w:b/>
        </w:rPr>
        <w:t>solution</w:t>
      </w:r>
    </w:p>
    <w:p w14:paraId="00000064" w14:textId="4B7F2982" w:rsidR="00E16171" w:rsidRDefault="00EA2223">
      <w:pPr>
        <w:numPr>
          <w:ilvl w:val="0"/>
          <w:numId w:val="6"/>
        </w:numPr>
        <w:pBdr>
          <w:top w:val="nil"/>
          <w:left w:val="nil"/>
          <w:bottom w:val="nil"/>
          <w:right w:val="nil"/>
          <w:between w:val="nil"/>
        </w:pBdr>
      </w:pPr>
      <w:r>
        <w:t>Once the F1 interface between the gNB-DU (MBSR) and gNB-CU (</w:t>
      </w:r>
      <w:r w:rsidR="00152A35">
        <w:t>IAB-donor</w:t>
      </w:r>
      <w:r>
        <w:t>) is established, they work in conjunction to provide the complete gNB functionality to UEs connecting to the MBSR over radio (Uu) interface.</w:t>
      </w:r>
    </w:p>
    <w:p w14:paraId="00000065" w14:textId="046E0E7C" w:rsidR="00E16171" w:rsidRDefault="007858FC">
      <w:pPr>
        <w:numPr>
          <w:ilvl w:val="0"/>
          <w:numId w:val="6"/>
        </w:numPr>
        <w:pBdr>
          <w:top w:val="nil"/>
          <w:left w:val="nil"/>
          <w:bottom w:val="nil"/>
          <w:right w:val="nil"/>
          <w:between w:val="nil"/>
        </w:pBdr>
      </w:pPr>
      <w:r>
        <w:t>C</w:t>
      </w:r>
      <w:r w:rsidR="00EA2223">
        <w:t xml:space="preserve">ontrol plane signalling and user plane </w:t>
      </w:r>
      <w:r w:rsidR="000835FD">
        <w:t>data of</w:t>
      </w:r>
      <w:r>
        <w:t xml:space="preserve"> such UEs (connected to MBSR) </w:t>
      </w:r>
      <w:r w:rsidR="00EA2223">
        <w:t xml:space="preserve">are transported via the F1-C/F1-U interfaces between the gNB-DU of the MBSR and the gNB-CU of the </w:t>
      </w:r>
      <w:r w:rsidR="00152A35">
        <w:t>IAB-donor</w:t>
      </w:r>
      <w:r w:rsidR="00EA2223">
        <w:t>. This F1-C/F1-U traffic is encapsulat</w:t>
      </w:r>
      <w:r w:rsidR="00903AA6">
        <w:t>ed</w:t>
      </w:r>
      <w:r w:rsidR="00EA2223">
        <w:t xml:space="preserve"> within one or more PDU </w:t>
      </w:r>
      <w:r w:rsidR="00F15AD6">
        <w:t>s</w:t>
      </w:r>
      <w:r w:rsidR="00EA2223">
        <w:t xml:space="preserve">essions between the MBSR and </w:t>
      </w:r>
      <w:r w:rsidR="00152A35">
        <w:t>IAB-donor</w:t>
      </w:r>
      <w:r w:rsidR="00EA2223">
        <w:t xml:space="preserve"> (as described in point 3). The </w:t>
      </w:r>
      <w:r w:rsidR="00152A35">
        <w:t>IAB-donor</w:t>
      </w:r>
      <w:r w:rsidR="00EA2223">
        <w:t xml:space="preserve"> </w:t>
      </w:r>
      <w:r w:rsidR="00903AA6">
        <w:t xml:space="preserve">acts as the gNB-CU for </w:t>
      </w:r>
      <w:r>
        <w:t xml:space="preserve">such </w:t>
      </w:r>
      <w:r w:rsidR="00903AA6">
        <w:t>UE</w:t>
      </w:r>
      <w:r>
        <w:t>s and</w:t>
      </w:r>
      <w:r w:rsidR="00903AA6">
        <w:t xml:space="preserve"> </w:t>
      </w:r>
      <w:r w:rsidR="00C7331E">
        <w:t xml:space="preserve">further </w:t>
      </w:r>
      <w:r w:rsidR="00EA2223">
        <w:t>exchanges UE</w:t>
      </w:r>
      <w:r w:rsidR="00C7331E">
        <w:t xml:space="preserve"> specific</w:t>
      </w:r>
      <w:r w:rsidR="00EA2223">
        <w:t xml:space="preserve"> control plane signalling with the AMF over the N2 interface and user plane </w:t>
      </w:r>
      <w:r w:rsidR="00903AA6">
        <w:t xml:space="preserve">data </w:t>
      </w:r>
      <w:r w:rsidR="00EA2223">
        <w:t>with the UPF over the N3 interface.</w:t>
      </w:r>
    </w:p>
    <w:p w14:paraId="00000066" w14:textId="487F7A3F" w:rsidR="00E16171" w:rsidRDefault="00EA2223">
      <w:pPr>
        <w:numPr>
          <w:ilvl w:val="0"/>
          <w:numId w:val="6"/>
        </w:numPr>
      </w:pPr>
      <w:r>
        <w:t xml:space="preserve">MBSR </w:t>
      </w:r>
      <w:r w:rsidR="00C7331E">
        <w:t xml:space="preserve">is able to maintain the </w:t>
      </w:r>
      <w:r w:rsidR="00786AE8">
        <w:t>PDU con</w:t>
      </w:r>
      <w:r w:rsidR="00C7331E">
        <w:t xml:space="preserve">nectivity </w:t>
      </w:r>
      <w:r>
        <w:t xml:space="preserve">with its </w:t>
      </w:r>
      <w:r w:rsidR="00152A35">
        <w:t>IAB-donor</w:t>
      </w:r>
      <w:r>
        <w:t xml:space="preserve"> even when it is mobile, i.e., it is always connected to the same </w:t>
      </w:r>
      <w:r w:rsidR="00152A35">
        <w:t>IAB-donor</w:t>
      </w:r>
      <w:r>
        <w:t>. This simplifies all handover scenarios as described in the following subsections.</w:t>
      </w:r>
    </w:p>
    <w:p w14:paraId="00000067" w14:textId="68DD2C46" w:rsidR="00E16171" w:rsidRDefault="00493504">
      <w:pPr>
        <w:spacing w:after="0" w:line="276" w:lineRule="auto"/>
        <w:jc w:val="center"/>
        <w:rPr>
          <w:rFonts w:ascii="Calibri" w:eastAsia="Calibri" w:hAnsi="Calibri" w:cs="Calibri"/>
          <w:b/>
        </w:rPr>
      </w:pPr>
      <w:r>
        <w:rPr>
          <w:rFonts w:ascii="Calibri" w:eastAsia="Calibri" w:hAnsi="Calibri" w:cs="Calibri"/>
          <w:b/>
          <w:noProof/>
          <w:lang w:eastAsia="en-GB"/>
        </w:rPr>
        <w:drawing>
          <wp:inline distT="0" distB="0" distL="0" distR="0" wp14:anchorId="349933E8" wp14:editId="62892A66">
            <wp:extent cx="5313288" cy="17823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22-05-06 at 12.01.57 PM.png"/>
                    <pic:cNvPicPr/>
                  </pic:nvPicPr>
                  <pic:blipFill>
                    <a:blip r:embed="rId9">
                      <a:extLst>
                        <a:ext uri="{28A0092B-C50C-407E-A947-70E740481C1C}">
                          <a14:useLocalDpi xmlns:a14="http://schemas.microsoft.com/office/drawing/2010/main" val="0"/>
                        </a:ext>
                      </a:extLst>
                    </a:blip>
                    <a:stretch>
                      <a:fillRect/>
                    </a:stretch>
                  </pic:blipFill>
                  <pic:spPr>
                    <a:xfrm>
                      <a:off x="0" y="0"/>
                      <a:ext cx="5364611" cy="1799522"/>
                    </a:xfrm>
                    <a:prstGeom prst="rect">
                      <a:avLst/>
                    </a:prstGeom>
                  </pic:spPr>
                </pic:pic>
              </a:graphicData>
            </a:graphic>
          </wp:inline>
        </w:drawing>
      </w:r>
    </w:p>
    <w:p w14:paraId="00000068" w14:textId="4A93BF72" w:rsidR="00E16171" w:rsidRDefault="00EA2223">
      <w:pPr>
        <w:spacing w:after="0" w:line="276" w:lineRule="auto"/>
        <w:jc w:val="center"/>
      </w:pPr>
      <w:r>
        <w:rPr>
          <w:rFonts w:ascii="Arial" w:eastAsia="Arial" w:hAnsi="Arial" w:cs="Arial"/>
          <w:b/>
        </w:rPr>
        <w:t>Figure 6.X.2</w:t>
      </w:r>
      <w:r w:rsidR="0038444A">
        <w:rPr>
          <w:rFonts w:ascii="Arial" w:eastAsia="Arial" w:hAnsi="Arial" w:cs="Arial"/>
          <w:b/>
        </w:rPr>
        <w:t>.1</w:t>
      </w:r>
      <w:r>
        <w:rPr>
          <w:rFonts w:ascii="Arial" w:eastAsia="Arial" w:hAnsi="Arial" w:cs="Arial"/>
          <w:b/>
        </w:rPr>
        <w:t>-2</w:t>
      </w:r>
      <w:r>
        <w:rPr>
          <w:b/>
        </w:rPr>
        <w:t xml:space="preserve">. </w:t>
      </w:r>
      <w:r>
        <w:rPr>
          <w:rFonts w:ascii="Arial" w:eastAsia="Arial" w:hAnsi="Arial" w:cs="Arial"/>
          <w:b/>
        </w:rPr>
        <w:t xml:space="preserve">Proposed </w:t>
      </w:r>
      <w:r w:rsidR="00451954">
        <w:rPr>
          <w:rFonts w:ascii="Arial" w:eastAsia="Arial" w:hAnsi="Arial" w:cs="Arial"/>
          <w:b/>
        </w:rPr>
        <w:t xml:space="preserve">MBSR </w:t>
      </w:r>
      <w:r>
        <w:rPr>
          <w:rFonts w:ascii="Arial" w:eastAsia="Arial" w:hAnsi="Arial" w:cs="Arial"/>
          <w:b/>
        </w:rPr>
        <w:t xml:space="preserve">solution with network </w:t>
      </w:r>
      <w:r w:rsidR="009E7EE1">
        <w:rPr>
          <w:rFonts w:ascii="Arial" w:eastAsia="Arial" w:hAnsi="Arial" w:cs="Arial"/>
          <w:b/>
        </w:rPr>
        <w:t xml:space="preserve">functions </w:t>
      </w:r>
      <w:r>
        <w:rPr>
          <w:rFonts w:ascii="Arial" w:eastAsia="Arial" w:hAnsi="Arial" w:cs="Arial"/>
          <w:b/>
        </w:rPr>
        <w:t>and interfaces</w:t>
      </w:r>
    </w:p>
    <w:bookmarkEnd w:id="8"/>
    <w:p w14:paraId="5A27C229" w14:textId="11C8F643" w:rsidR="005B61FA" w:rsidRDefault="005B61FA" w:rsidP="005B61FA">
      <w:pPr>
        <w:numPr>
          <w:ilvl w:val="0"/>
          <w:numId w:val="6"/>
        </w:numPr>
      </w:pPr>
      <w:r w:rsidRPr="009F3CC5">
        <w:lastRenderedPageBreak/>
        <w:t>In the figure 6.X.2</w:t>
      </w:r>
      <w:r>
        <w:t>.1-2</w:t>
      </w:r>
      <w:r w:rsidRPr="009F3CC5">
        <w:t xml:space="preserve">, it is shown that the UEs </w:t>
      </w:r>
      <w:r>
        <w:t xml:space="preserve">connected to 5G network via </w:t>
      </w:r>
      <w:r w:rsidRPr="009F3CC5">
        <w:t>MBSR can have PDU sessions established with the DN via MBSR's gNB-DU</w:t>
      </w:r>
      <w:r>
        <w:t xml:space="preserve">, </w:t>
      </w:r>
      <w:r w:rsidRPr="009F3CC5">
        <w:t>IAB-donor</w:t>
      </w:r>
      <w:r>
        <w:t xml:space="preserve">’s </w:t>
      </w:r>
      <w:r w:rsidRPr="009F3CC5">
        <w:t>gNB-CU</w:t>
      </w:r>
      <w:r>
        <w:t xml:space="preserve"> and</w:t>
      </w:r>
      <w:r w:rsidRPr="009F3CC5">
        <w:t xml:space="preserve"> UPF2. Depending on the DNN that a UE wants to connect to, PDU sessions for the UE can also be established through other UPFs (even including UPF1). </w:t>
      </w:r>
      <w:r w:rsidRPr="00496506">
        <w:t>Additional UPFs have not been shown in the figure 6.X.2.</w:t>
      </w:r>
      <w:r>
        <w:t>1-2</w:t>
      </w:r>
      <w:r w:rsidRPr="00496506">
        <w:t xml:space="preserve"> for the sake of simplicity.</w:t>
      </w:r>
    </w:p>
    <w:p w14:paraId="691CBDDE" w14:textId="77777777" w:rsidR="005B61FA" w:rsidRDefault="005B61FA" w:rsidP="00826A6C">
      <w:pPr>
        <w:ind w:left="720"/>
      </w:pPr>
    </w:p>
    <w:p w14:paraId="6E1E6DF4" w14:textId="77777777" w:rsidR="0038444A" w:rsidRDefault="0038444A" w:rsidP="00496506">
      <w:pPr>
        <w:pStyle w:val="Heading4"/>
      </w:pPr>
      <w:r>
        <w:t>6.X.2.2 Key Issue #2: Efficient mobility for UEs connecting to/disconnecting from mobile base station relay</w:t>
      </w:r>
      <w:r w:rsidR="00EA2223">
        <w:t xml:space="preserve">            </w:t>
      </w:r>
    </w:p>
    <w:p w14:paraId="2EF1CE44" w14:textId="4EED2BC1" w:rsidR="0038444A" w:rsidRDefault="0038444A" w:rsidP="00496506">
      <w:pPr>
        <w:pStyle w:val="Heading5"/>
      </w:pPr>
      <w:r>
        <w:t>6.X.2.2.1 How to support efficient mobility for a UE or a group of UEs between mobile base station relay and macro base stations:</w:t>
      </w:r>
    </w:p>
    <w:p w14:paraId="17549793" w14:textId="748473EC" w:rsidR="0038444A" w:rsidRDefault="00C13A10" w:rsidP="00496506">
      <w:pPr>
        <w:spacing w:after="120" w:line="276" w:lineRule="auto"/>
        <w:rPr>
          <w:color w:val="0E101A"/>
        </w:rPr>
      </w:pPr>
      <w:r>
        <w:rPr>
          <w:color w:val="0E101A"/>
        </w:rPr>
        <w:t>W</w:t>
      </w:r>
      <w:r w:rsidR="0038444A">
        <w:rPr>
          <w:color w:val="0E101A"/>
        </w:rPr>
        <w:t>orking of the proposed solution</w:t>
      </w:r>
      <w:r w:rsidR="00103C56">
        <w:rPr>
          <w:color w:val="0E101A"/>
        </w:rPr>
        <w:t xml:space="preserve"> to </w:t>
      </w:r>
      <w:r w:rsidR="00103C56">
        <w:t xml:space="preserve">support efficient mobility for a UE </w:t>
      </w:r>
      <w:r w:rsidR="00E24D23">
        <w:t xml:space="preserve">from an </w:t>
      </w:r>
      <w:r w:rsidR="00103C56">
        <w:t xml:space="preserve">MBSR </w:t>
      </w:r>
      <w:r w:rsidR="00E24D23">
        <w:t xml:space="preserve">to </w:t>
      </w:r>
      <w:r w:rsidR="00103C56">
        <w:t>a macro base station (gNB)</w:t>
      </w:r>
      <w:r w:rsidR="0038444A">
        <w:rPr>
          <w:color w:val="0E101A"/>
        </w:rPr>
        <w:t xml:space="preserve"> is </w:t>
      </w:r>
      <w:r w:rsidR="00C13DEA">
        <w:rPr>
          <w:color w:val="0E101A"/>
        </w:rPr>
        <w:t>described in this section</w:t>
      </w:r>
      <w:r w:rsidR="0038444A">
        <w:rPr>
          <w:color w:val="0E101A"/>
        </w:rPr>
        <w:t>.</w:t>
      </w:r>
    </w:p>
    <w:p w14:paraId="51E4D56D" w14:textId="5CF72C0F" w:rsidR="00601C9E" w:rsidRDefault="0038444A" w:rsidP="00496506">
      <w:pPr>
        <w:spacing w:after="120" w:line="276" w:lineRule="auto"/>
      </w:pPr>
      <w:r>
        <w:t xml:space="preserve">Note: In this scenario, initially a UE or </w:t>
      </w:r>
      <w:r w:rsidR="00541020">
        <w:t xml:space="preserve">a </w:t>
      </w:r>
      <w:r>
        <w:t>group of UEs are in the proximity of the MBSR</w:t>
      </w:r>
      <w:r w:rsidR="00541020">
        <w:t xml:space="preserve">, </w:t>
      </w:r>
      <w:r>
        <w:t xml:space="preserve">say when the vehicle (mounted with MBSR) is waiting at a traffic signal. </w:t>
      </w:r>
      <w:r w:rsidR="009B2838">
        <w:t xml:space="preserve">A </w:t>
      </w:r>
      <w:r>
        <w:t>UE</w:t>
      </w:r>
      <w:r w:rsidR="00541020">
        <w:t xml:space="preserve"> (or </w:t>
      </w:r>
      <w:r w:rsidR="009B2838">
        <w:t xml:space="preserve">a </w:t>
      </w:r>
      <w:r w:rsidR="00541020">
        <w:t>group of UEs)</w:t>
      </w:r>
      <w:r>
        <w:t xml:space="preserve"> gets connected to the MBSR due </w:t>
      </w:r>
      <w:r w:rsidR="008E2E1A">
        <w:t>to its proximity to MBSR</w:t>
      </w:r>
      <w:r>
        <w:t xml:space="preserve">. For </w:t>
      </w:r>
      <w:r w:rsidR="00541020">
        <w:t xml:space="preserve">the </w:t>
      </w:r>
      <w:r>
        <w:t xml:space="preserve">connected UE, </w:t>
      </w:r>
      <w:r w:rsidR="00872658">
        <w:t xml:space="preserve">the </w:t>
      </w:r>
      <w:r w:rsidR="00541020">
        <w:t xml:space="preserve">MBSR provides the </w:t>
      </w:r>
      <w:r>
        <w:t xml:space="preserve">gNB-DU </w:t>
      </w:r>
      <w:r w:rsidR="00541020">
        <w:t xml:space="preserve">functionality </w:t>
      </w:r>
      <w:r>
        <w:t xml:space="preserve">and </w:t>
      </w:r>
      <w:r w:rsidR="00872658">
        <w:t xml:space="preserve">the </w:t>
      </w:r>
      <w:r w:rsidR="00541020">
        <w:t xml:space="preserve">IAB-donor provides the </w:t>
      </w:r>
      <w:r>
        <w:t xml:space="preserve">gNB-CU </w:t>
      </w:r>
      <w:r w:rsidR="00541020">
        <w:t>functionality</w:t>
      </w:r>
      <w:r>
        <w:t>. Once the MBSR moves away</w:t>
      </w:r>
      <w:r w:rsidR="008E2E1A">
        <w:t xml:space="preserve"> from the UE</w:t>
      </w:r>
      <w:r>
        <w:t>, the UE gets handed over to a nearby gNB.</w:t>
      </w:r>
    </w:p>
    <w:p w14:paraId="2629A75B" w14:textId="319896C0" w:rsidR="009B2838" w:rsidRDefault="00930007" w:rsidP="00496506">
      <w:pPr>
        <w:numPr>
          <w:ilvl w:val="0"/>
          <w:numId w:val="10"/>
        </w:numPr>
        <w:spacing w:before="60" w:after="120" w:line="276" w:lineRule="auto"/>
        <w:jc w:val="both"/>
        <w:rPr>
          <w:color w:val="0E101A"/>
        </w:rPr>
      </w:pPr>
      <w:r>
        <w:rPr>
          <w:color w:val="0E101A"/>
        </w:rPr>
        <w:t xml:space="preserve">The MBSR is connected to </w:t>
      </w:r>
      <w:r w:rsidR="00B75865">
        <w:rPr>
          <w:color w:val="0E101A"/>
        </w:rPr>
        <w:t xml:space="preserve">its corresponding </w:t>
      </w:r>
      <w:r>
        <w:rPr>
          <w:color w:val="0E101A"/>
        </w:rPr>
        <w:t xml:space="preserve">IAB-donor through </w:t>
      </w:r>
      <w:r w:rsidR="00786AE8">
        <w:rPr>
          <w:color w:val="0E101A"/>
        </w:rPr>
        <w:t>PDU con</w:t>
      </w:r>
      <w:r>
        <w:rPr>
          <w:color w:val="0E101A"/>
        </w:rPr>
        <w:t xml:space="preserve">nectivity facilitated by the 5G network. </w:t>
      </w:r>
      <w:r w:rsidR="00786AE8">
        <w:rPr>
          <w:color w:val="0E101A"/>
        </w:rPr>
        <w:t>PDU con</w:t>
      </w:r>
      <w:r w:rsidR="00433303">
        <w:rPr>
          <w:color w:val="0E101A"/>
        </w:rPr>
        <w:t xml:space="preserve">nectivity </w:t>
      </w:r>
      <w:r w:rsidR="00EB22D5">
        <w:rPr>
          <w:color w:val="0E101A"/>
        </w:rPr>
        <w:t xml:space="preserve">between </w:t>
      </w:r>
      <w:r w:rsidR="00433303">
        <w:rPr>
          <w:color w:val="0E101A"/>
        </w:rPr>
        <w:t>t</w:t>
      </w:r>
      <w:r>
        <w:rPr>
          <w:color w:val="0E101A"/>
        </w:rPr>
        <w:t xml:space="preserve">he MBSR (IAB-MT) </w:t>
      </w:r>
      <w:r w:rsidR="00433303">
        <w:rPr>
          <w:color w:val="0E101A"/>
        </w:rPr>
        <w:t xml:space="preserve">and </w:t>
      </w:r>
      <w:r w:rsidR="00EB22D5">
        <w:rPr>
          <w:color w:val="0E101A"/>
        </w:rPr>
        <w:t xml:space="preserve">the </w:t>
      </w:r>
      <w:r w:rsidR="00433303">
        <w:rPr>
          <w:color w:val="0E101A"/>
        </w:rPr>
        <w:t xml:space="preserve">IAB-donor (gNB-CU) </w:t>
      </w:r>
      <w:r>
        <w:rPr>
          <w:color w:val="0E101A"/>
        </w:rPr>
        <w:t xml:space="preserve">is </w:t>
      </w:r>
      <w:r w:rsidR="00433303">
        <w:rPr>
          <w:color w:val="0E101A"/>
        </w:rPr>
        <w:t xml:space="preserve">supported via </w:t>
      </w:r>
      <w:r>
        <w:rPr>
          <w:color w:val="0E101A"/>
        </w:rPr>
        <w:t>gNB2</w:t>
      </w:r>
      <w:r w:rsidR="00433303">
        <w:rPr>
          <w:color w:val="0E101A"/>
        </w:rPr>
        <w:t xml:space="preserve"> and UPF1</w:t>
      </w:r>
      <w:r>
        <w:rPr>
          <w:color w:val="0E101A"/>
        </w:rPr>
        <w:t>.</w:t>
      </w:r>
    </w:p>
    <w:p w14:paraId="26308F88" w14:textId="32DE0DB7" w:rsidR="00EB22D5" w:rsidRPr="00496506" w:rsidRDefault="00EB22D5" w:rsidP="00496506">
      <w:pPr>
        <w:numPr>
          <w:ilvl w:val="0"/>
          <w:numId w:val="10"/>
        </w:numPr>
        <w:spacing w:before="60" w:after="120" w:line="276" w:lineRule="auto"/>
        <w:jc w:val="both"/>
        <w:rPr>
          <w:color w:val="0E101A"/>
        </w:rPr>
      </w:pPr>
      <w:r w:rsidRPr="00930007">
        <w:t>F</w:t>
      </w:r>
      <w:r>
        <w:t>or the given scenario, initially the UE is in the proximity of the MBSR and connects to the MBSR (gNB-DU) + IAB-donor (gNB-CU) in the same way as a UE conventionally connects to a gNB (gNB-DU and gNB-CU)</w:t>
      </w:r>
      <w:r w:rsidR="00F16135">
        <w:t xml:space="preserve">. </w:t>
      </w:r>
      <w:r w:rsidR="00B357BF">
        <w:t>R</w:t>
      </w:r>
      <w:r w:rsidR="00F16135">
        <w:t>efer to ‘UE Initial Access’ procedure - clause 8.1 of TS 38.401</w:t>
      </w:r>
      <w:r>
        <w:t xml:space="preserve">. </w:t>
      </w:r>
    </w:p>
    <w:p w14:paraId="2B119B3B" w14:textId="6905E9F1" w:rsidR="0038444A" w:rsidRPr="00496506" w:rsidRDefault="009232D1" w:rsidP="00496506">
      <w:pPr>
        <w:numPr>
          <w:ilvl w:val="0"/>
          <w:numId w:val="10"/>
        </w:numPr>
        <w:spacing w:before="60" w:after="120" w:line="276" w:lineRule="auto"/>
        <w:jc w:val="both"/>
        <w:rPr>
          <w:i/>
          <w:color w:val="0E101A"/>
        </w:rPr>
      </w:pPr>
      <w:r>
        <w:rPr>
          <w:color w:val="0E101A"/>
        </w:rPr>
        <w:t>T</w:t>
      </w:r>
      <w:r w:rsidR="0038444A">
        <w:rPr>
          <w:color w:val="0E101A"/>
        </w:rPr>
        <w:t xml:space="preserve">he signalling and data of </w:t>
      </w:r>
      <w:r w:rsidR="00A5068B">
        <w:rPr>
          <w:color w:val="0E101A"/>
        </w:rPr>
        <w:t xml:space="preserve">the </w:t>
      </w:r>
      <w:r w:rsidR="0038444A">
        <w:rPr>
          <w:color w:val="0E101A"/>
        </w:rPr>
        <w:t>UE</w:t>
      </w:r>
      <w:r w:rsidR="00EB22D5">
        <w:rPr>
          <w:color w:val="0E101A"/>
        </w:rPr>
        <w:t xml:space="preserve"> </w:t>
      </w:r>
      <w:r w:rsidR="0038444A">
        <w:rPr>
          <w:color w:val="0E101A"/>
        </w:rPr>
        <w:t>are sent by the MBSR</w:t>
      </w:r>
      <w:r w:rsidR="00BA6881">
        <w:rPr>
          <w:color w:val="0E101A"/>
        </w:rPr>
        <w:t xml:space="preserve"> (gNB-DU)</w:t>
      </w:r>
      <w:r w:rsidR="0038444A">
        <w:rPr>
          <w:color w:val="0E101A"/>
        </w:rPr>
        <w:t xml:space="preserve"> over F1 interface to IAB-donor (gNB-CU). The F1 traffic is encapsulated within the PDU </w:t>
      </w:r>
      <w:r w:rsidR="005211BF">
        <w:rPr>
          <w:color w:val="0E101A"/>
        </w:rPr>
        <w:t>s</w:t>
      </w:r>
      <w:r w:rsidR="0038444A">
        <w:rPr>
          <w:color w:val="0E101A"/>
        </w:rPr>
        <w:t>ession</w:t>
      </w:r>
      <w:r w:rsidR="005211BF">
        <w:rPr>
          <w:color w:val="0E101A"/>
        </w:rPr>
        <w:t>(s</w:t>
      </w:r>
      <w:r w:rsidR="0038444A">
        <w:rPr>
          <w:color w:val="0E101A"/>
        </w:rPr>
        <w:t>) established between MBSR's IAB-MT and the IAB-donor i.e., via IAB-MT (MBSR), gNB2, and UPF1</w:t>
      </w:r>
      <w:r w:rsidR="0038444A" w:rsidRPr="00496506">
        <w:rPr>
          <w:color w:val="0E101A"/>
        </w:rPr>
        <w:t>.</w:t>
      </w:r>
    </w:p>
    <w:p w14:paraId="1D07EB8E" w14:textId="7B47A0B7" w:rsidR="0038444A" w:rsidRDefault="0038444A" w:rsidP="00496506">
      <w:pPr>
        <w:numPr>
          <w:ilvl w:val="0"/>
          <w:numId w:val="10"/>
        </w:numPr>
        <w:spacing w:before="60" w:after="120" w:line="276" w:lineRule="auto"/>
        <w:jc w:val="both"/>
        <w:rPr>
          <w:color w:val="0E101A"/>
        </w:rPr>
      </w:pPr>
      <w:r>
        <w:rPr>
          <w:color w:val="0E101A"/>
        </w:rPr>
        <w:t>When the MBSR moves away from the UE, signal strength received at the UE from the MBSR reduce</w:t>
      </w:r>
      <w:r w:rsidR="00F26CB9">
        <w:rPr>
          <w:color w:val="0E101A"/>
        </w:rPr>
        <w:t>s</w:t>
      </w:r>
      <w:r>
        <w:rPr>
          <w:color w:val="0E101A"/>
        </w:rPr>
        <w:t xml:space="preserve">. </w:t>
      </w:r>
    </w:p>
    <w:p w14:paraId="7DF2005B" w14:textId="76CCBEA8" w:rsidR="0038444A" w:rsidRDefault="0038444A" w:rsidP="00496506">
      <w:pPr>
        <w:numPr>
          <w:ilvl w:val="0"/>
          <w:numId w:val="10"/>
        </w:numPr>
        <w:spacing w:before="60" w:after="120" w:line="276" w:lineRule="auto"/>
        <w:rPr>
          <w:color w:val="0E101A"/>
        </w:rPr>
      </w:pPr>
      <w:r>
        <w:rPr>
          <w:color w:val="0E101A"/>
        </w:rPr>
        <w:t>UE detects better signal strength from a neighbouring gNB (say gNB1)</w:t>
      </w:r>
      <w:r w:rsidR="00EB22D5">
        <w:rPr>
          <w:color w:val="0E101A"/>
        </w:rPr>
        <w:t xml:space="preserve"> and</w:t>
      </w:r>
      <w:r>
        <w:rPr>
          <w:color w:val="0E101A"/>
        </w:rPr>
        <w:t xml:space="preserve"> a handover of UE from </w:t>
      </w:r>
      <w:r>
        <w:t>MBSR</w:t>
      </w:r>
      <w:r w:rsidR="000468C3">
        <w:t xml:space="preserve"> (gNB-DU</w:t>
      </w:r>
      <w:r>
        <w:t>) + IAB-donor</w:t>
      </w:r>
      <w:r w:rsidR="000468C3">
        <w:t xml:space="preserve"> (gNB-CU</w:t>
      </w:r>
      <w:r>
        <w:t>)</w:t>
      </w:r>
      <w:r>
        <w:rPr>
          <w:color w:val="0E101A"/>
        </w:rPr>
        <w:t xml:space="preserve"> to gNB1</w:t>
      </w:r>
      <w:r w:rsidR="00EB22D5">
        <w:rPr>
          <w:color w:val="0E101A"/>
        </w:rPr>
        <w:t xml:space="preserve"> is triggered.</w:t>
      </w:r>
      <w:r>
        <w:rPr>
          <w:b/>
          <w:color w:val="0E101A"/>
        </w:rPr>
        <w:t xml:space="preserve"> </w:t>
      </w:r>
      <w:r w:rsidR="00EB22D5" w:rsidRPr="00496506">
        <w:rPr>
          <w:bCs/>
          <w:color w:val="0E101A"/>
        </w:rPr>
        <w:t>It</w:t>
      </w:r>
      <w:r w:rsidR="00EB22D5">
        <w:rPr>
          <w:b/>
          <w:color w:val="0E101A"/>
        </w:rPr>
        <w:t xml:space="preserve"> </w:t>
      </w:r>
      <w:r>
        <w:rPr>
          <w:color w:val="0E101A"/>
        </w:rPr>
        <w:t xml:space="preserve">is a conventional inter-gNB handover. The UE is handed over from </w:t>
      </w:r>
      <w:r w:rsidR="00F26CB9">
        <w:rPr>
          <w:color w:val="0E101A"/>
        </w:rPr>
        <w:t>MBSR</w:t>
      </w:r>
      <w:r w:rsidR="00B66979">
        <w:rPr>
          <w:color w:val="0E101A"/>
        </w:rPr>
        <w:t xml:space="preserve"> + IAB-donor</w:t>
      </w:r>
      <w:r>
        <w:rPr>
          <w:color w:val="0E101A"/>
        </w:rPr>
        <w:t xml:space="preserve"> to gNB1 through the Xn interface</w:t>
      </w:r>
      <w:r w:rsidR="000468C3">
        <w:rPr>
          <w:color w:val="0E101A"/>
        </w:rPr>
        <w:t xml:space="preserve"> </w:t>
      </w:r>
      <w:r w:rsidR="00601C9E">
        <w:rPr>
          <w:color w:val="0E101A"/>
        </w:rPr>
        <w:t>(</w:t>
      </w:r>
      <w:r w:rsidR="000468C3">
        <w:rPr>
          <w:color w:val="0E101A"/>
        </w:rPr>
        <w:t>between the IAB-donor and gNB1</w:t>
      </w:r>
      <w:r w:rsidR="00601C9E">
        <w:rPr>
          <w:color w:val="0E101A"/>
        </w:rPr>
        <w:t>)</w:t>
      </w:r>
      <w:r w:rsidR="000468C3">
        <w:rPr>
          <w:color w:val="0E101A"/>
        </w:rPr>
        <w:t xml:space="preserve"> following the procedure </w:t>
      </w:r>
      <w:r w:rsidR="00D67A8E">
        <w:rPr>
          <w:color w:val="0E101A"/>
        </w:rPr>
        <w:t xml:space="preserve">as </w:t>
      </w:r>
      <w:r w:rsidR="002066ED">
        <w:rPr>
          <w:color w:val="0E101A"/>
        </w:rPr>
        <w:t xml:space="preserve">described </w:t>
      </w:r>
      <w:r w:rsidR="000468C3">
        <w:t>in TS 23.502 - clause 4.9.1.2.2</w:t>
      </w:r>
      <w:r>
        <w:rPr>
          <w:color w:val="0E101A"/>
        </w:rPr>
        <w:t xml:space="preserve">. </w:t>
      </w:r>
    </w:p>
    <w:p w14:paraId="03CCACFA" w14:textId="0F1D3F8B" w:rsidR="0038444A" w:rsidRDefault="00DD07E9" w:rsidP="00496506">
      <w:pPr>
        <w:jc w:val="center"/>
      </w:pPr>
      <w:r>
        <w:rPr>
          <w:noProof/>
        </w:rPr>
        <w:drawing>
          <wp:inline distT="0" distB="0" distL="0" distR="0" wp14:anchorId="2339ACB0" wp14:editId="53A3B7F3">
            <wp:extent cx="6120130" cy="2329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2329815"/>
                    </a:xfrm>
                    <a:prstGeom prst="rect">
                      <a:avLst/>
                    </a:prstGeom>
                    <a:noFill/>
                    <a:ln>
                      <a:noFill/>
                    </a:ln>
                  </pic:spPr>
                </pic:pic>
              </a:graphicData>
            </a:graphic>
          </wp:inline>
        </w:drawing>
      </w:r>
    </w:p>
    <w:p w14:paraId="5E149C1B" w14:textId="186C4597" w:rsidR="0038444A" w:rsidRDefault="0038444A" w:rsidP="0038444A">
      <w:pPr>
        <w:spacing w:after="0" w:line="276" w:lineRule="auto"/>
        <w:jc w:val="center"/>
        <w:rPr>
          <w:rFonts w:ascii="Arial" w:eastAsia="Arial" w:hAnsi="Arial" w:cs="Arial"/>
          <w:b/>
        </w:rPr>
      </w:pPr>
      <w:r>
        <w:rPr>
          <w:rFonts w:ascii="Arial" w:eastAsia="Arial" w:hAnsi="Arial" w:cs="Arial"/>
          <w:b/>
        </w:rPr>
        <w:t>Figure 6.X.2.2.1</w:t>
      </w:r>
      <w:r>
        <w:rPr>
          <w:b/>
        </w:rPr>
        <w:t>.</w:t>
      </w:r>
      <w:r>
        <w:rPr>
          <w:rFonts w:ascii="Arial" w:eastAsia="Arial" w:hAnsi="Arial" w:cs="Arial"/>
          <w:b/>
        </w:rPr>
        <w:t xml:space="preserve"> Working of the proposed solution for MBSR when UE is connected to MBSR and handed over to gNB due the mobility of MBSR.</w:t>
      </w:r>
    </w:p>
    <w:p w14:paraId="25656BC3" w14:textId="27BB2825" w:rsidR="00F55890" w:rsidRDefault="00F55890" w:rsidP="00F55890">
      <w:pPr>
        <w:spacing w:after="0" w:line="276" w:lineRule="auto"/>
        <w:rPr>
          <w:color w:val="0E101A"/>
        </w:rPr>
      </w:pPr>
      <w:r>
        <w:rPr>
          <w:color w:val="0E101A"/>
        </w:rPr>
        <w:lastRenderedPageBreak/>
        <w:t xml:space="preserve">Note: </w:t>
      </w:r>
      <w:r w:rsidR="0031720A">
        <w:rPr>
          <w:color w:val="0E101A"/>
        </w:rPr>
        <w:t>The handover is shown in Figure-</w:t>
      </w:r>
      <w:proofErr w:type="gramStart"/>
      <w:r w:rsidR="0031720A">
        <w:rPr>
          <w:color w:val="0E101A"/>
        </w:rPr>
        <w:t>6.X.</w:t>
      </w:r>
      <w:proofErr w:type="gramEnd"/>
      <w:r w:rsidR="0031720A">
        <w:rPr>
          <w:color w:val="0E101A"/>
        </w:rPr>
        <w:t xml:space="preserve">2.2.1. </w:t>
      </w:r>
      <w:r>
        <w:rPr>
          <w:color w:val="0E101A"/>
        </w:rPr>
        <w:t xml:space="preserve">This handover does not add any additional signalling due to the deployment of the MBSR and it </w:t>
      </w:r>
      <w:r w:rsidR="00607548">
        <w:rPr>
          <w:color w:val="0E101A"/>
        </w:rPr>
        <w:t xml:space="preserve">can be seen as </w:t>
      </w:r>
      <w:r>
        <w:rPr>
          <w:color w:val="0E101A"/>
        </w:rPr>
        <w:t xml:space="preserve">a conventional UE handover between </w:t>
      </w:r>
      <w:r w:rsidR="002066ED">
        <w:rPr>
          <w:color w:val="0E101A"/>
        </w:rPr>
        <w:t xml:space="preserve">two </w:t>
      </w:r>
      <w:r>
        <w:rPr>
          <w:color w:val="0E101A"/>
        </w:rPr>
        <w:t>gNBs.</w:t>
      </w:r>
    </w:p>
    <w:p w14:paraId="337FB720" w14:textId="77777777" w:rsidR="009B2838" w:rsidRPr="0035624E" w:rsidRDefault="009B2838" w:rsidP="00F55890">
      <w:pPr>
        <w:spacing w:after="0" w:line="276" w:lineRule="auto"/>
        <w:rPr>
          <w:color w:val="0E101A"/>
        </w:rPr>
      </w:pPr>
    </w:p>
    <w:p w14:paraId="646C5C62" w14:textId="0E979F53" w:rsidR="0038444A" w:rsidRDefault="0038444A" w:rsidP="00496506">
      <w:pPr>
        <w:pStyle w:val="Heading5"/>
      </w:pPr>
      <w:r>
        <w:t>6.X.2.2.2 How to support efficient mobility for a UE or a group of UEs between mobile base station relays:</w:t>
      </w:r>
    </w:p>
    <w:p w14:paraId="2C20FF68" w14:textId="6DF64512" w:rsidR="0038444A" w:rsidRDefault="0038444A" w:rsidP="00496506">
      <w:pPr>
        <w:spacing w:before="120" w:after="0" w:line="276" w:lineRule="auto"/>
        <w:rPr>
          <w:color w:val="0E101A"/>
        </w:rPr>
      </w:pPr>
      <w:r>
        <w:rPr>
          <w:color w:val="0E101A"/>
        </w:rPr>
        <w:t xml:space="preserve">Working of the proposed solution </w:t>
      </w:r>
      <w:r w:rsidR="00103C56">
        <w:rPr>
          <w:color w:val="0E101A"/>
        </w:rPr>
        <w:t xml:space="preserve">for efficient </w:t>
      </w:r>
      <w:r w:rsidR="00103C56">
        <w:t>mobility for a UE or a group of UEs between mobile base station relays</w:t>
      </w:r>
      <w:r>
        <w:rPr>
          <w:color w:val="0E101A"/>
        </w:rPr>
        <w:t xml:space="preserve"> is </w:t>
      </w:r>
      <w:r w:rsidR="00C13DEA">
        <w:rPr>
          <w:color w:val="0E101A"/>
        </w:rPr>
        <w:t>described in this section</w:t>
      </w:r>
      <w:r>
        <w:rPr>
          <w:color w:val="0E101A"/>
        </w:rPr>
        <w:t>.</w:t>
      </w:r>
    </w:p>
    <w:p w14:paraId="6FCDB30D" w14:textId="65106DBE" w:rsidR="0038444A" w:rsidRDefault="0038444A" w:rsidP="00496506">
      <w:pPr>
        <w:spacing w:before="120" w:after="0" w:line="276" w:lineRule="auto"/>
      </w:pPr>
      <w:r>
        <w:t xml:space="preserve">Note: In this scenario, initially a UE or </w:t>
      </w:r>
      <w:r w:rsidR="00D67A8E">
        <w:t xml:space="preserve">a </w:t>
      </w:r>
      <w:r>
        <w:t>group of UEs are in the proximity of MBSR1 and due to mobility</w:t>
      </w:r>
      <w:r w:rsidR="00C15A3F">
        <w:t xml:space="preserve"> of the MBSR</w:t>
      </w:r>
      <w:r>
        <w:t xml:space="preserve">, </w:t>
      </w:r>
      <w:r w:rsidR="00E53D5B">
        <w:t xml:space="preserve">the </w:t>
      </w:r>
      <w:r>
        <w:t>UE start</w:t>
      </w:r>
      <w:r w:rsidR="00E53D5B">
        <w:t>s</w:t>
      </w:r>
      <w:r>
        <w:t xml:space="preserve"> receiving better signal strength from another MBSR</w:t>
      </w:r>
      <w:r w:rsidR="00D67A8E">
        <w:t xml:space="preserve">, </w:t>
      </w:r>
      <w:r>
        <w:t>say MBSR2</w:t>
      </w:r>
      <w:r w:rsidR="002066ED">
        <w:t xml:space="preserve"> and </w:t>
      </w:r>
      <w:r w:rsidR="00B17608">
        <w:t xml:space="preserve">is </w:t>
      </w:r>
      <w:r w:rsidR="002066ED">
        <w:t>handed over to MBSR2</w:t>
      </w:r>
      <w:r>
        <w:t>.</w:t>
      </w:r>
    </w:p>
    <w:p w14:paraId="5A2D0B1A" w14:textId="5EEF0906" w:rsidR="0038444A" w:rsidRDefault="0038444A" w:rsidP="00496506">
      <w:pPr>
        <w:numPr>
          <w:ilvl w:val="0"/>
          <w:numId w:val="11"/>
        </w:numPr>
        <w:spacing w:before="120" w:after="0" w:line="276" w:lineRule="auto"/>
        <w:rPr>
          <w:color w:val="0E101A"/>
        </w:rPr>
      </w:pPr>
      <w:r>
        <w:rPr>
          <w:color w:val="0E101A"/>
        </w:rPr>
        <w:t>MBSR1 and MBSR2 are connected to the same IAB-donor (gNB-CU) through PDU (IP) connectivity facilitated by the 5G network. Here MBSR1</w:t>
      </w:r>
      <w:r w:rsidR="00C15A3F">
        <w:rPr>
          <w:color w:val="0E101A"/>
        </w:rPr>
        <w:t xml:space="preserve"> (IAB-MT)</w:t>
      </w:r>
      <w:r>
        <w:rPr>
          <w:color w:val="0E101A"/>
        </w:rPr>
        <w:t xml:space="preserve"> is connected to gNB1 as a UE and MBSR2</w:t>
      </w:r>
      <w:r w:rsidR="00C15A3F">
        <w:rPr>
          <w:color w:val="0E101A"/>
        </w:rPr>
        <w:t xml:space="preserve"> (IAB-MT)</w:t>
      </w:r>
      <w:r>
        <w:rPr>
          <w:color w:val="0E101A"/>
        </w:rPr>
        <w:t xml:space="preserve"> is connected to gNB2 as a UE.</w:t>
      </w:r>
    </w:p>
    <w:p w14:paraId="323A0EB7" w14:textId="6ADA9683" w:rsidR="0038444A" w:rsidRDefault="0038444A" w:rsidP="00496506">
      <w:pPr>
        <w:spacing w:before="120" w:after="0" w:line="276" w:lineRule="auto"/>
        <w:rPr>
          <w:color w:val="0E101A"/>
        </w:rPr>
      </w:pPr>
      <w:r>
        <w:rPr>
          <w:color w:val="0E101A"/>
        </w:rPr>
        <w:t xml:space="preserve">Note: Both the MBSRs </w:t>
      </w:r>
      <w:r w:rsidR="00D67A8E">
        <w:rPr>
          <w:color w:val="0E101A"/>
        </w:rPr>
        <w:t xml:space="preserve">can </w:t>
      </w:r>
      <w:r>
        <w:rPr>
          <w:color w:val="0E101A"/>
        </w:rPr>
        <w:t>also be connected to the same gNB. Since IAB-donor (gNB-CU) is the same for both MBSRs, it does not matter if the MBRSs are connected to the 5G network via the same gNB or different gNBs. Irrespective of the gNB(s) being used for connectivity of MBSR to the rest of the network and especially the IAB-donor, the inter</w:t>
      </w:r>
      <w:r w:rsidR="00D67A8E">
        <w:rPr>
          <w:color w:val="0E101A"/>
        </w:rPr>
        <w:t>-</w:t>
      </w:r>
      <w:r>
        <w:rPr>
          <w:color w:val="0E101A"/>
        </w:rPr>
        <w:t>MBSR handover procedure remains the same.</w:t>
      </w:r>
      <w:r w:rsidR="00C15A3F">
        <w:rPr>
          <w:color w:val="0E101A"/>
        </w:rPr>
        <w:t xml:space="preserve"> </w:t>
      </w:r>
    </w:p>
    <w:p w14:paraId="3009B2F9" w14:textId="7B4D58C9" w:rsidR="0038444A" w:rsidRDefault="0038444A" w:rsidP="00496506">
      <w:pPr>
        <w:numPr>
          <w:ilvl w:val="0"/>
          <w:numId w:val="11"/>
        </w:numPr>
        <w:spacing w:before="120" w:after="0" w:line="276" w:lineRule="auto"/>
        <w:rPr>
          <w:color w:val="0E101A"/>
        </w:rPr>
      </w:pPr>
      <w:r>
        <w:rPr>
          <w:color w:val="0E101A"/>
        </w:rPr>
        <w:t xml:space="preserve">Initially, </w:t>
      </w:r>
      <w:r w:rsidR="00D67A8E">
        <w:rPr>
          <w:color w:val="0E101A"/>
        </w:rPr>
        <w:t xml:space="preserve">the </w:t>
      </w:r>
      <w:r>
        <w:rPr>
          <w:color w:val="0E101A"/>
        </w:rPr>
        <w:t>UE</w:t>
      </w:r>
      <w:r w:rsidR="00D67A8E">
        <w:rPr>
          <w:color w:val="0E101A"/>
        </w:rPr>
        <w:t>(s)</w:t>
      </w:r>
      <w:r>
        <w:rPr>
          <w:color w:val="0E101A"/>
        </w:rPr>
        <w:t xml:space="preserve"> is connected to the 5G network via MBSR1.</w:t>
      </w:r>
    </w:p>
    <w:p w14:paraId="19FF1707" w14:textId="77777777" w:rsidR="0038444A" w:rsidRDefault="0038444A" w:rsidP="00496506">
      <w:pPr>
        <w:numPr>
          <w:ilvl w:val="0"/>
          <w:numId w:val="11"/>
        </w:numPr>
        <w:spacing w:before="120" w:after="0" w:line="276" w:lineRule="auto"/>
        <w:rPr>
          <w:color w:val="0E101A"/>
        </w:rPr>
      </w:pPr>
      <w:r>
        <w:rPr>
          <w:color w:val="0E101A"/>
        </w:rPr>
        <w:t>When UE moves away from MBSR1 and receives better signal strength from MBSR2 (as compared to MBSR1), UE is handed over from</w:t>
      </w:r>
      <w:r>
        <w:t xml:space="preserve"> MBSR1 to MBSR2. </w:t>
      </w:r>
    </w:p>
    <w:p w14:paraId="6D3732E1" w14:textId="25E7D89F" w:rsidR="0038444A" w:rsidRDefault="0038444A" w:rsidP="002066ED">
      <w:pPr>
        <w:numPr>
          <w:ilvl w:val="0"/>
          <w:numId w:val="11"/>
        </w:numPr>
        <w:spacing w:before="120" w:after="0" w:line="276" w:lineRule="auto"/>
        <w:rPr>
          <w:color w:val="0E101A"/>
        </w:rPr>
      </w:pPr>
      <w:r>
        <w:rPr>
          <w:color w:val="0E101A"/>
        </w:rPr>
        <w:t>After the handover, UE is connected to the 5G network via MBSR2.</w:t>
      </w:r>
    </w:p>
    <w:p w14:paraId="3E64FCA2" w14:textId="23228026" w:rsidR="00E20C98" w:rsidRPr="00D269C6" w:rsidRDefault="00D269C6" w:rsidP="00496506">
      <w:pPr>
        <w:pStyle w:val="ListParagraph"/>
        <w:spacing w:before="120" w:after="0" w:line="276" w:lineRule="auto"/>
        <w:ind w:left="0"/>
        <w:rPr>
          <w:color w:val="0E101A"/>
        </w:rPr>
      </w:pPr>
      <w:r w:rsidRPr="00D269C6">
        <w:rPr>
          <w:color w:val="0E101A"/>
        </w:rPr>
        <w:t>Note: This handover is from MBSR1 (source) to MBSR2 (target)</w:t>
      </w:r>
      <w:r w:rsidR="00B17608">
        <w:rPr>
          <w:color w:val="0E101A"/>
        </w:rPr>
        <w:t xml:space="preserve"> when both MBSRs are connected to the same IAB-donor</w:t>
      </w:r>
      <w:r w:rsidRPr="00D269C6">
        <w:rPr>
          <w:color w:val="0E101A"/>
        </w:rPr>
        <w:t xml:space="preserve">. It is an intra-gNB-CU and inter-gNB-DU handover </w:t>
      </w:r>
      <w:r w:rsidR="00B17608">
        <w:rPr>
          <w:color w:val="0E101A"/>
        </w:rPr>
        <w:t xml:space="preserve">and follows the procedure described in </w:t>
      </w:r>
      <w:r>
        <w:t xml:space="preserve">TS 38.401 - clause 8.2.1.2. It is possible that the </w:t>
      </w:r>
      <w:r w:rsidRPr="00D269C6">
        <w:rPr>
          <w:color w:val="0E101A"/>
        </w:rPr>
        <w:t xml:space="preserve">MBSRs </w:t>
      </w:r>
      <w:r>
        <w:rPr>
          <w:color w:val="0E101A"/>
        </w:rPr>
        <w:t xml:space="preserve">are </w:t>
      </w:r>
      <w:r w:rsidRPr="00D269C6">
        <w:rPr>
          <w:color w:val="0E101A"/>
        </w:rPr>
        <w:t xml:space="preserve">connected to different IAB-donors and </w:t>
      </w:r>
      <w:r w:rsidR="00B17608">
        <w:rPr>
          <w:color w:val="0E101A"/>
        </w:rPr>
        <w:t xml:space="preserve">in that scenario, the </w:t>
      </w:r>
      <w:r w:rsidRPr="00D269C6">
        <w:rPr>
          <w:color w:val="0E101A"/>
        </w:rPr>
        <w:t xml:space="preserve">handover can be treated as an inter-gNB handover following the procedure described </w:t>
      </w:r>
      <w:r>
        <w:t>in TS 23.502 - clause 4.9.1.2.2</w:t>
      </w:r>
      <w:r w:rsidRPr="00D269C6">
        <w:rPr>
          <w:color w:val="0E101A"/>
        </w:rPr>
        <w:t>.</w:t>
      </w:r>
      <w:r w:rsidR="007A4DF1">
        <w:rPr>
          <w:color w:val="0E101A"/>
        </w:rPr>
        <w:t xml:space="preserve"> The </w:t>
      </w:r>
      <w:r w:rsidR="00CF3D62">
        <w:rPr>
          <w:color w:val="0E101A"/>
        </w:rPr>
        <w:t xml:space="preserve">working of the </w:t>
      </w:r>
      <w:r w:rsidR="007A4DF1">
        <w:rPr>
          <w:color w:val="0E101A"/>
        </w:rPr>
        <w:t>handover has been shown in Figure 6.X.2.2.2 below.</w:t>
      </w:r>
    </w:p>
    <w:p w14:paraId="384EAF67" w14:textId="56F02C2C" w:rsidR="0038444A" w:rsidRDefault="00DD07E9" w:rsidP="0038444A">
      <w:r w:rsidRPr="00DD07E9">
        <w:t xml:space="preserve"> </w:t>
      </w:r>
      <w:r>
        <w:rPr>
          <w:noProof/>
        </w:rPr>
        <w:drawing>
          <wp:inline distT="0" distB="0" distL="0" distR="0" wp14:anchorId="37D69873" wp14:editId="31214AC8">
            <wp:extent cx="6120130" cy="2128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128520"/>
                    </a:xfrm>
                    <a:prstGeom prst="rect">
                      <a:avLst/>
                    </a:prstGeom>
                    <a:noFill/>
                    <a:ln>
                      <a:noFill/>
                    </a:ln>
                  </pic:spPr>
                </pic:pic>
              </a:graphicData>
            </a:graphic>
          </wp:inline>
        </w:drawing>
      </w:r>
    </w:p>
    <w:p w14:paraId="3DABD2AB" w14:textId="27FD0138" w:rsidR="0038444A" w:rsidRDefault="00F55890" w:rsidP="0038444A">
      <w:pPr>
        <w:spacing w:after="0" w:line="276" w:lineRule="auto"/>
        <w:jc w:val="center"/>
        <w:rPr>
          <w:rFonts w:ascii="Arial" w:eastAsia="Arial" w:hAnsi="Arial" w:cs="Arial"/>
          <w:b/>
        </w:rPr>
      </w:pPr>
      <w:r>
        <w:rPr>
          <w:rFonts w:ascii="Arial" w:eastAsia="Arial" w:hAnsi="Arial" w:cs="Arial"/>
          <w:b/>
        </w:rPr>
        <w:t>Figure 6.X.2.2.2</w:t>
      </w:r>
      <w:r w:rsidR="0038444A">
        <w:rPr>
          <w:b/>
        </w:rPr>
        <w:t>.</w:t>
      </w:r>
      <w:r w:rsidR="0038444A">
        <w:rPr>
          <w:rFonts w:ascii="Arial" w:eastAsia="Arial" w:hAnsi="Arial" w:cs="Arial"/>
          <w:b/>
        </w:rPr>
        <w:t xml:space="preserve"> Working of the proposed solution for mobility for a UE between MBSRs</w:t>
      </w:r>
    </w:p>
    <w:p w14:paraId="36EAAFF0" w14:textId="77777777" w:rsidR="0038444A" w:rsidRPr="00496506" w:rsidRDefault="0038444A" w:rsidP="00496506"/>
    <w:p w14:paraId="0000006A" w14:textId="77777777" w:rsidR="00E16171" w:rsidRDefault="00E16171">
      <w:pPr>
        <w:spacing w:after="0" w:line="276" w:lineRule="auto"/>
        <w:rPr>
          <w:b/>
        </w:rPr>
      </w:pPr>
    </w:p>
    <w:p w14:paraId="7B9F18BD" w14:textId="77777777" w:rsidR="002C2154" w:rsidRDefault="002C2154">
      <w:pPr>
        <w:overflowPunct/>
        <w:autoSpaceDE/>
        <w:autoSpaceDN/>
        <w:adjustRightInd/>
        <w:textAlignment w:val="auto"/>
        <w:rPr>
          <w:rFonts w:ascii="Arial" w:hAnsi="Arial"/>
          <w:color w:val="auto"/>
          <w:sz w:val="24"/>
        </w:rPr>
      </w:pPr>
      <w:r>
        <w:br w:type="page"/>
      </w:r>
    </w:p>
    <w:p w14:paraId="69C7F5E9" w14:textId="3F5A05D8" w:rsidR="0038444A" w:rsidRDefault="0038444A" w:rsidP="00496506">
      <w:pPr>
        <w:pStyle w:val="Heading4"/>
        <w:rPr>
          <w:b/>
        </w:rPr>
      </w:pPr>
      <w:r w:rsidRPr="00496506">
        <w:lastRenderedPageBreak/>
        <w:t>6.X.2.3</w:t>
      </w:r>
      <w:r>
        <w:rPr>
          <w:b/>
        </w:rPr>
        <w:t xml:space="preserve"> </w:t>
      </w:r>
      <w:r>
        <w:t>Key Issue #3: Efficient mobility and service continuity when served by mobile base station relay</w:t>
      </w:r>
    </w:p>
    <w:p w14:paraId="0000006B" w14:textId="0F85202A" w:rsidR="00E16171" w:rsidRDefault="0038444A" w:rsidP="00496506">
      <w:pPr>
        <w:pStyle w:val="Heading5"/>
        <w:rPr>
          <w:rFonts w:eastAsia="Arial"/>
        </w:rPr>
      </w:pPr>
      <w:r>
        <w:rPr>
          <w:rFonts w:eastAsia="Arial"/>
        </w:rPr>
        <w:t xml:space="preserve">6.X.2.3.1 </w:t>
      </w:r>
      <w:r w:rsidR="00EA2223">
        <w:rPr>
          <w:rFonts w:eastAsia="Arial"/>
        </w:rPr>
        <w:t>Scenario A (Mobility within the same IAB-donor gNB):</w:t>
      </w:r>
    </w:p>
    <w:p w14:paraId="0000006D" w14:textId="72F341DF" w:rsidR="00E16171" w:rsidRDefault="0024610E" w:rsidP="00D6591E">
      <w:pPr>
        <w:spacing w:after="0" w:line="276" w:lineRule="auto"/>
        <w:jc w:val="both"/>
        <w:rPr>
          <w:color w:val="0E101A"/>
        </w:rPr>
      </w:pPr>
      <w:r>
        <w:t>T</w:t>
      </w:r>
      <w:r w:rsidR="00C13DEA">
        <w:t xml:space="preserve">his section </w:t>
      </w:r>
      <w:r w:rsidR="00EA2223">
        <w:t>shows the working of the proposed solution</w:t>
      </w:r>
      <w:r w:rsidR="00C819C9">
        <w:t xml:space="preserve"> when “</w:t>
      </w:r>
      <w:r w:rsidR="00C819C9" w:rsidRPr="00C819C9">
        <w:t>UEs are continuously served by a mobile base station relay</w:t>
      </w:r>
      <w:r w:rsidR="008F58A7">
        <w:t>,</w:t>
      </w:r>
      <w:r w:rsidR="00C819C9" w:rsidRPr="00C819C9">
        <w:t xml:space="preserve"> </w:t>
      </w:r>
      <w:r w:rsidR="008F58A7">
        <w:t>(</w:t>
      </w:r>
      <w:r w:rsidR="00C819C9" w:rsidRPr="00C819C9">
        <w:t>e.g.</w:t>
      </w:r>
      <w:r w:rsidR="008F58A7">
        <w:t>,</w:t>
      </w:r>
      <w:r w:rsidR="00C819C9" w:rsidRPr="00C819C9">
        <w:t xml:space="preserve"> inside the vehicle and/or in its vicinity)</w:t>
      </w:r>
      <w:r w:rsidR="00C819C9">
        <w:t>,</w:t>
      </w:r>
      <w:r w:rsidR="00C819C9" w:rsidRPr="00C819C9">
        <w:t xml:space="preserve"> this mobile base station relay within the vehicle is moving around within a limited geographical area while keeping connecting with the same IAB-donor gNB.</w:t>
      </w:r>
      <w:r w:rsidR="00C819C9">
        <w:t>”</w:t>
      </w:r>
      <w:r w:rsidR="00C819C9" w:rsidRPr="00C819C9">
        <w:t xml:space="preserve"> In this case, the UE keeps the connection with the same mobile base station relay, and there is no change of the IAB-donor gNB</w:t>
      </w:r>
      <w:r w:rsidR="00C819C9">
        <w:t>.</w:t>
      </w:r>
    </w:p>
    <w:p w14:paraId="26270EEC" w14:textId="77777777" w:rsidR="002C2154" w:rsidRDefault="002C2154" w:rsidP="00D6591E">
      <w:pPr>
        <w:spacing w:after="0" w:line="276" w:lineRule="auto"/>
        <w:jc w:val="both"/>
        <w:rPr>
          <w:color w:val="0E101A"/>
        </w:rPr>
      </w:pPr>
    </w:p>
    <w:p w14:paraId="0000006E" w14:textId="09C30515" w:rsidR="00E16171" w:rsidRDefault="00C819C9" w:rsidP="00496506">
      <w:pPr>
        <w:numPr>
          <w:ilvl w:val="0"/>
          <w:numId w:val="7"/>
        </w:numPr>
        <w:spacing w:after="0" w:line="276" w:lineRule="auto"/>
        <w:ind w:left="284" w:hanging="284"/>
        <w:jc w:val="both"/>
        <w:rPr>
          <w:color w:val="0E101A"/>
        </w:rPr>
      </w:pPr>
      <w:r>
        <w:rPr>
          <w:color w:val="0E101A"/>
        </w:rPr>
        <w:t xml:space="preserve">One or more </w:t>
      </w:r>
      <w:r w:rsidR="00EA2223">
        <w:t>UEs are connected to MBSR</w:t>
      </w:r>
      <w:r w:rsidR="002E63A9">
        <w:t xml:space="preserve"> (</w:t>
      </w:r>
      <w:proofErr w:type="gramStart"/>
      <w:r w:rsidR="002E63A9">
        <w:t>e.g.</w:t>
      </w:r>
      <w:proofErr w:type="gramEnd"/>
      <w:r w:rsidR="002E63A9">
        <w:t xml:space="preserve"> UEs are in the vehicle)</w:t>
      </w:r>
      <w:r w:rsidR="00EA2223">
        <w:t>, which in turn is connected to gNB1 as a UE.</w:t>
      </w:r>
    </w:p>
    <w:p w14:paraId="0000006F" w14:textId="77777777" w:rsidR="00E16171" w:rsidRDefault="00E16171">
      <w:pPr>
        <w:spacing w:after="0" w:line="276" w:lineRule="auto"/>
        <w:ind w:left="720"/>
        <w:jc w:val="both"/>
      </w:pPr>
    </w:p>
    <w:p w14:paraId="00000070" w14:textId="52730584" w:rsidR="00E16171" w:rsidRDefault="00FA2488">
      <w:pPr>
        <w:spacing w:after="0" w:line="276" w:lineRule="auto"/>
        <w:jc w:val="center"/>
        <w:rPr>
          <w:rFonts w:ascii="Calibri" w:eastAsia="Calibri" w:hAnsi="Calibri" w:cs="Calibri"/>
          <w:i/>
          <w:sz w:val="22"/>
          <w:szCs w:val="22"/>
        </w:rPr>
      </w:pPr>
      <w:r>
        <w:rPr>
          <w:rFonts w:ascii="Calibri" w:eastAsia="Calibri" w:hAnsi="Calibri" w:cs="Calibri"/>
          <w:i/>
          <w:noProof/>
          <w:sz w:val="22"/>
          <w:szCs w:val="22"/>
          <w:lang w:eastAsia="en-GB"/>
        </w:rPr>
        <w:drawing>
          <wp:inline distT="0" distB="0" distL="0" distR="0" wp14:anchorId="54B17C07" wp14:editId="62EBA5F0">
            <wp:extent cx="5847007" cy="212271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MR-3gpp-v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64946" cy="2129223"/>
                    </a:xfrm>
                    <a:prstGeom prst="rect">
                      <a:avLst/>
                    </a:prstGeom>
                  </pic:spPr>
                </pic:pic>
              </a:graphicData>
            </a:graphic>
          </wp:inline>
        </w:drawing>
      </w:r>
    </w:p>
    <w:p w14:paraId="00000071" w14:textId="19A6A024" w:rsidR="00E16171" w:rsidRDefault="00EA2223">
      <w:pPr>
        <w:spacing w:after="0" w:line="276" w:lineRule="auto"/>
        <w:jc w:val="center"/>
        <w:rPr>
          <w:rFonts w:ascii="Calibri" w:eastAsia="Calibri" w:hAnsi="Calibri" w:cs="Calibri"/>
          <w:i/>
          <w:sz w:val="22"/>
          <w:szCs w:val="22"/>
        </w:rPr>
      </w:pPr>
      <w:r>
        <w:rPr>
          <w:rFonts w:ascii="Arial" w:eastAsia="Arial" w:hAnsi="Arial" w:cs="Arial"/>
          <w:b/>
        </w:rPr>
        <w:t xml:space="preserve">Figure </w:t>
      </w:r>
      <w:bookmarkStart w:id="9" w:name="_Hlk102746765"/>
      <w:r>
        <w:rPr>
          <w:rFonts w:ascii="Arial" w:eastAsia="Arial" w:hAnsi="Arial" w:cs="Arial"/>
          <w:b/>
        </w:rPr>
        <w:t>6.X.2</w:t>
      </w:r>
      <w:r w:rsidR="0038444A">
        <w:rPr>
          <w:rFonts w:ascii="Arial" w:eastAsia="Arial" w:hAnsi="Arial" w:cs="Arial"/>
          <w:b/>
        </w:rPr>
        <w:t>.</w:t>
      </w:r>
      <w:r w:rsidR="00454A43">
        <w:rPr>
          <w:rFonts w:ascii="Arial" w:eastAsia="Arial" w:hAnsi="Arial" w:cs="Arial"/>
          <w:b/>
        </w:rPr>
        <w:t>3</w:t>
      </w:r>
      <w:bookmarkEnd w:id="9"/>
      <w:r w:rsidR="0038444A">
        <w:rPr>
          <w:rFonts w:ascii="Arial" w:eastAsia="Arial" w:hAnsi="Arial" w:cs="Arial"/>
          <w:b/>
        </w:rPr>
        <w:t>.1</w:t>
      </w:r>
      <w:r>
        <w:rPr>
          <w:rFonts w:ascii="Arial" w:eastAsia="Arial" w:hAnsi="Arial" w:cs="Arial"/>
          <w:b/>
        </w:rPr>
        <w:t>.</w:t>
      </w:r>
      <w:r>
        <w:rPr>
          <w:rFonts w:ascii="Calibri" w:eastAsia="Calibri" w:hAnsi="Calibri" w:cs="Calibri"/>
          <w:b/>
        </w:rPr>
        <w:t xml:space="preserve"> </w:t>
      </w:r>
      <w:r>
        <w:rPr>
          <w:rFonts w:ascii="Arial" w:eastAsia="Arial" w:hAnsi="Arial" w:cs="Arial"/>
          <w:b/>
        </w:rPr>
        <w:t xml:space="preserve">Working of the proposed solution for </w:t>
      </w:r>
      <w:r w:rsidR="00493504">
        <w:rPr>
          <w:rFonts w:ascii="Arial" w:eastAsia="Arial" w:hAnsi="Arial" w:cs="Arial"/>
          <w:b/>
        </w:rPr>
        <w:t>MBSR</w:t>
      </w:r>
      <w:r>
        <w:rPr>
          <w:rFonts w:ascii="Arial" w:eastAsia="Arial" w:hAnsi="Arial" w:cs="Arial"/>
          <w:b/>
        </w:rPr>
        <w:t xml:space="preserve">. Multiple UEs </w:t>
      </w:r>
      <w:r w:rsidR="007858FC">
        <w:rPr>
          <w:rFonts w:ascii="Arial" w:eastAsia="Arial" w:hAnsi="Arial" w:cs="Arial"/>
          <w:b/>
        </w:rPr>
        <w:t xml:space="preserve">in the vehicle </w:t>
      </w:r>
      <w:r>
        <w:rPr>
          <w:rFonts w:ascii="Arial" w:eastAsia="Arial" w:hAnsi="Arial" w:cs="Arial"/>
          <w:b/>
        </w:rPr>
        <w:t xml:space="preserve">are connected to </w:t>
      </w:r>
      <w:r w:rsidR="00493504">
        <w:rPr>
          <w:rFonts w:ascii="Arial" w:eastAsia="Arial" w:hAnsi="Arial" w:cs="Arial"/>
          <w:b/>
        </w:rPr>
        <w:t>MBSR</w:t>
      </w:r>
      <w:r>
        <w:rPr>
          <w:rFonts w:ascii="Arial" w:eastAsia="Arial" w:hAnsi="Arial" w:cs="Arial"/>
          <w:b/>
        </w:rPr>
        <w:t xml:space="preserve"> and are moving with the vehicle.</w:t>
      </w:r>
    </w:p>
    <w:p w14:paraId="00000072" w14:textId="77777777" w:rsidR="00E16171" w:rsidRDefault="00E16171">
      <w:pPr>
        <w:spacing w:after="0" w:line="276" w:lineRule="auto"/>
        <w:jc w:val="center"/>
        <w:rPr>
          <w:rFonts w:ascii="Calibri" w:eastAsia="Calibri" w:hAnsi="Calibri" w:cs="Calibri"/>
          <w:i/>
          <w:sz w:val="22"/>
          <w:szCs w:val="22"/>
        </w:rPr>
      </w:pPr>
    </w:p>
    <w:p w14:paraId="00000073" w14:textId="71B86DF1" w:rsidR="00E16171" w:rsidRPr="00496506" w:rsidRDefault="00EA2223" w:rsidP="00496506">
      <w:pPr>
        <w:numPr>
          <w:ilvl w:val="0"/>
          <w:numId w:val="7"/>
        </w:numPr>
        <w:spacing w:after="0" w:line="276" w:lineRule="auto"/>
        <w:ind w:left="284" w:hanging="284"/>
        <w:jc w:val="both"/>
      </w:pPr>
      <w:r w:rsidRPr="009F3CC5">
        <w:t xml:space="preserve">For all these UEs </w:t>
      </w:r>
      <w:r w:rsidR="003D5DB0">
        <w:t xml:space="preserve">connected to the </w:t>
      </w:r>
      <w:r w:rsidRPr="009F3CC5">
        <w:t>MBSR, IAB-donor</w:t>
      </w:r>
      <w:r w:rsidR="007858FC" w:rsidRPr="009F3CC5">
        <w:t xml:space="preserve"> provides the gNB-CU functionality</w:t>
      </w:r>
      <w:r w:rsidRPr="009F3CC5">
        <w:t xml:space="preserve">. </w:t>
      </w:r>
    </w:p>
    <w:p w14:paraId="00000074" w14:textId="7687E1C9" w:rsidR="00E16171" w:rsidRPr="009F3CC5" w:rsidRDefault="0005556D" w:rsidP="00496506">
      <w:pPr>
        <w:numPr>
          <w:ilvl w:val="0"/>
          <w:numId w:val="7"/>
        </w:numPr>
        <w:spacing w:after="0" w:line="276" w:lineRule="auto"/>
        <w:ind w:left="284" w:hanging="284"/>
        <w:jc w:val="both"/>
      </w:pPr>
      <w:r w:rsidRPr="009F3CC5">
        <w:t>As mentioned earlier, i</w:t>
      </w:r>
      <w:r w:rsidR="00EA2223" w:rsidRPr="009F3CC5">
        <w:t>nitiall</w:t>
      </w:r>
      <w:r w:rsidRPr="009F3CC5">
        <w:t>y</w:t>
      </w:r>
      <w:r w:rsidR="00EA2223" w:rsidRPr="009F3CC5">
        <w:t xml:space="preserve"> IAB-MT of MBSR is connected to gNB1 over the radio</w:t>
      </w:r>
      <w:r w:rsidR="000C45C5" w:rsidRPr="009F3CC5">
        <w:t xml:space="preserve"> </w:t>
      </w:r>
      <w:r w:rsidR="00EA2223" w:rsidRPr="009F3CC5">
        <w:t>(Uu) interface</w:t>
      </w:r>
      <w:r w:rsidR="00723859" w:rsidRPr="009F3CC5">
        <w:t xml:space="preserve"> and </w:t>
      </w:r>
      <w:r w:rsidRPr="009F3CC5">
        <w:t xml:space="preserve">its </w:t>
      </w:r>
      <w:r w:rsidR="00723859" w:rsidRPr="009F3CC5">
        <w:t xml:space="preserve">PDU session(s) </w:t>
      </w:r>
      <w:r w:rsidRPr="009F3CC5">
        <w:t xml:space="preserve">to IAB-donor are established via </w:t>
      </w:r>
      <w:r w:rsidR="00723859" w:rsidRPr="009F3CC5">
        <w:t>gNB1 and the UPF1</w:t>
      </w:r>
      <w:r w:rsidR="00EA2223" w:rsidRPr="009F3CC5">
        <w:t>.</w:t>
      </w:r>
    </w:p>
    <w:p w14:paraId="00000075" w14:textId="228AB86B" w:rsidR="00E16171" w:rsidRPr="009F3CC5" w:rsidRDefault="00EA2223" w:rsidP="00496506">
      <w:pPr>
        <w:numPr>
          <w:ilvl w:val="0"/>
          <w:numId w:val="7"/>
        </w:numPr>
        <w:spacing w:after="0" w:line="276" w:lineRule="auto"/>
        <w:ind w:left="284" w:hanging="284"/>
        <w:jc w:val="both"/>
      </w:pPr>
      <w:r w:rsidRPr="009F3CC5">
        <w:t xml:space="preserve">When the MBSR moves and gets closer to gNB2, it is handed over to gNB2 by gNB1. This is similar to a conventional UE handover between gNB1 and gNB2 [Reference: Clause 4.9.1.2.2 of TS 23.502], considering the IAB-MT function </w:t>
      </w:r>
      <w:r w:rsidR="0005556D" w:rsidRPr="009F3CC5">
        <w:t xml:space="preserve">of MBSR </w:t>
      </w:r>
      <w:r w:rsidRPr="009F3CC5">
        <w:t>as a UE.</w:t>
      </w:r>
    </w:p>
    <w:p w14:paraId="00000076" w14:textId="0F0C2FE0" w:rsidR="00E16171" w:rsidRPr="009F3CC5" w:rsidRDefault="00EA2223" w:rsidP="00496506">
      <w:pPr>
        <w:numPr>
          <w:ilvl w:val="0"/>
          <w:numId w:val="7"/>
        </w:numPr>
        <w:spacing w:after="0" w:line="276" w:lineRule="auto"/>
        <w:ind w:left="284" w:hanging="284"/>
        <w:jc w:val="both"/>
      </w:pPr>
      <w:r w:rsidRPr="009F3CC5">
        <w:t>After the handover of the MBSR</w:t>
      </w:r>
      <w:r w:rsidR="0005556D" w:rsidRPr="009F3CC5">
        <w:t xml:space="preserve"> (IAB-MT)</w:t>
      </w:r>
      <w:r w:rsidRPr="009F3CC5">
        <w:t xml:space="preserve"> is complete, the corresponding IAB-MT’s PDU (IP) connectivity service is re</w:t>
      </w:r>
      <w:r w:rsidR="00CE6034" w:rsidRPr="009F3CC5">
        <w:t>-</w:t>
      </w:r>
      <w:r w:rsidRPr="009F3CC5">
        <w:t xml:space="preserve">established via gNB2 &amp; UPF1 </w:t>
      </w:r>
      <w:r w:rsidR="0005556D" w:rsidRPr="009F3CC5">
        <w:t xml:space="preserve">in order </w:t>
      </w:r>
      <w:r w:rsidRPr="009F3CC5">
        <w:t xml:space="preserve">to reach IAB-donor. As the IAB-donor is placed beyond the UPF, MBSR’s mobility does not impact its PDU (IP) connectivity with the </w:t>
      </w:r>
      <w:r w:rsidR="00152A35" w:rsidRPr="009F3CC5">
        <w:t>IAB-donor</w:t>
      </w:r>
      <w:r w:rsidR="000C45C5" w:rsidRPr="009F3CC5">
        <w:t xml:space="preserve"> and MBSR </w:t>
      </w:r>
      <w:r w:rsidR="00CE6034" w:rsidRPr="009F3CC5">
        <w:t xml:space="preserve">always remains </w:t>
      </w:r>
      <w:r w:rsidR="000C45C5" w:rsidRPr="009F3CC5">
        <w:t>connected to the same IAB-donor</w:t>
      </w:r>
      <w:r w:rsidR="00723859" w:rsidRPr="009F3CC5">
        <w:t xml:space="preserve"> for </w:t>
      </w:r>
      <w:r w:rsidR="0005556D" w:rsidRPr="009F3CC5">
        <w:t xml:space="preserve">support of </w:t>
      </w:r>
      <w:r w:rsidR="00723859" w:rsidRPr="009F3CC5">
        <w:t>gNB-CU functionality</w:t>
      </w:r>
      <w:r w:rsidRPr="009F3CC5">
        <w:t>.</w:t>
      </w:r>
    </w:p>
    <w:p w14:paraId="00000077" w14:textId="29DBB112" w:rsidR="00E16171" w:rsidRPr="009F3CC5" w:rsidRDefault="002E63A9" w:rsidP="00496506">
      <w:pPr>
        <w:numPr>
          <w:ilvl w:val="0"/>
          <w:numId w:val="7"/>
        </w:numPr>
        <w:spacing w:after="0" w:line="276" w:lineRule="auto"/>
        <w:ind w:left="284" w:hanging="284"/>
        <w:jc w:val="both"/>
      </w:pPr>
      <w:r>
        <w:t xml:space="preserve">As long as the UEs remain connected to </w:t>
      </w:r>
      <w:r w:rsidR="00EA2223" w:rsidRPr="009F3CC5">
        <w:t xml:space="preserve">the MBSR </w:t>
      </w:r>
      <w:r>
        <w:t>(which itself might be moving)</w:t>
      </w:r>
      <w:r w:rsidR="00EA2223" w:rsidRPr="009F3CC5">
        <w:t xml:space="preserve">, it </w:t>
      </w:r>
      <w:r w:rsidR="00D42284" w:rsidRPr="009F3CC5">
        <w:t xml:space="preserve">is </w:t>
      </w:r>
      <w:r w:rsidR="00EA2223" w:rsidRPr="009F3CC5">
        <w:t xml:space="preserve">a no mobility scenario for the UEs as they (UEs) </w:t>
      </w:r>
      <w:r w:rsidR="0005556D" w:rsidRPr="009F3CC5">
        <w:t xml:space="preserve">remain </w:t>
      </w:r>
      <w:r w:rsidR="00EA2223" w:rsidRPr="009F3CC5">
        <w:t xml:space="preserve">connected to the same gNB-DU (MBSR) and </w:t>
      </w:r>
      <w:r>
        <w:t xml:space="preserve">also </w:t>
      </w:r>
      <w:r w:rsidR="00CE6034" w:rsidRPr="009F3CC5">
        <w:t xml:space="preserve">the </w:t>
      </w:r>
      <w:r w:rsidR="00EA2223" w:rsidRPr="009F3CC5">
        <w:t xml:space="preserve">same gNB-CU (IAB-donor) despite the mobility of the MBSR. </w:t>
      </w:r>
      <w:r w:rsidR="00D42284" w:rsidRPr="009F3CC5">
        <w:t>Therefore, t</w:t>
      </w:r>
      <w:r w:rsidR="00EA2223" w:rsidRPr="009F3CC5">
        <w:t>here is n</w:t>
      </w:r>
      <w:r w:rsidR="00985899">
        <w:t>either</w:t>
      </w:r>
      <w:r w:rsidR="00EA2223" w:rsidRPr="009F3CC5">
        <w:t xml:space="preserve"> </w:t>
      </w:r>
      <w:r w:rsidR="00985899">
        <w:t xml:space="preserve">any handover nor </w:t>
      </w:r>
      <w:r w:rsidR="00EA2223" w:rsidRPr="009F3CC5">
        <w:t>handover signalling for the</w:t>
      </w:r>
      <w:r w:rsidR="0005556D" w:rsidRPr="009F3CC5">
        <w:t>se</w:t>
      </w:r>
      <w:r w:rsidR="00EA2223" w:rsidRPr="009F3CC5">
        <w:t xml:space="preserve"> UEs</w:t>
      </w:r>
      <w:r w:rsidR="0005556D" w:rsidRPr="009F3CC5">
        <w:t>.</w:t>
      </w:r>
    </w:p>
    <w:p w14:paraId="00000078" w14:textId="6E768DCD" w:rsidR="00E16171" w:rsidRPr="00496506" w:rsidRDefault="002C0164" w:rsidP="00826A6C">
      <w:pPr>
        <w:spacing w:after="0" w:line="276" w:lineRule="auto"/>
        <w:jc w:val="both"/>
      </w:pPr>
      <w:bookmarkStart w:id="10" w:name="_Hlk103261839"/>
      <w:r>
        <w:t>Note: Working of the procedure has been shown i</w:t>
      </w:r>
      <w:r w:rsidR="00EA2223" w:rsidRPr="009F3CC5">
        <w:t xml:space="preserve">n the </w:t>
      </w:r>
      <w:r w:rsidR="00556BEB" w:rsidRPr="009F3CC5">
        <w:t>f</w:t>
      </w:r>
      <w:r w:rsidR="00EA2223" w:rsidRPr="009F3CC5">
        <w:t>igure</w:t>
      </w:r>
      <w:r w:rsidR="00556BEB" w:rsidRPr="009F3CC5">
        <w:t xml:space="preserve"> 6.X.2</w:t>
      </w:r>
      <w:r w:rsidR="00B3532C">
        <w:t>.3.1</w:t>
      </w:r>
    </w:p>
    <w:bookmarkEnd w:id="10"/>
    <w:p w14:paraId="27D5AE1A" w14:textId="19619D8E" w:rsidR="00CF5C1B" w:rsidRDefault="00CF5C1B">
      <w:pPr>
        <w:overflowPunct/>
        <w:autoSpaceDE/>
        <w:autoSpaceDN/>
        <w:adjustRightInd/>
        <w:textAlignment w:val="auto"/>
        <w:rPr>
          <w:rFonts w:ascii="Arial" w:eastAsia="Arial" w:hAnsi="Arial"/>
          <w:color w:val="auto"/>
          <w:sz w:val="22"/>
        </w:rPr>
      </w:pPr>
    </w:p>
    <w:p w14:paraId="0000007B" w14:textId="0C4235B5" w:rsidR="00E16171" w:rsidRDefault="0038444A" w:rsidP="00496506">
      <w:pPr>
        <w:pStyle w:val="Heading5"/>
        <w:rPr>
          <w:rFonts w:ascii="Calibri" w:eastAsia="Calibri" w:hAnsi="Calibri" w:cs="Calibri"/>
          <w:i/>
          <w:szCs w:val="22"/>
        </w:rPr>
      </w:pPr>
      <w:r>
        <w:rPr>
          <w:rFonts w:eastAsia="Arial"/>
        </w:rPr>
        <w:t xml:space="preserve">6.X.2.3.2 </w:t>
      </w:r>
      <w:r w:rsidR="00EA2223">
        <w:rPr>
          <w:rFonts w:eastAsia="Arial"/>
        </w:rPr>
        <w:t>Scenario B (Mobility between different IAB-donor gNBs):</w:t>
      </w:r>
    </w:p>
    <w:p w14:paraId="3176E9B4" w14:textId="73E716C3" w:rsidR="00E517AC" w:rsidRDefault="00EA2223" w:rsidP="00496506">
      <w:pPr>
        <w:spacing w:after="0" w:line="276" w:lineRule="auto"/>
        <w:jc w:val="both"/>
      </w:pPr>
      <w:r>
        <w:t xml:space="preserve">In the proposed solution, the scenario of mobility </w:t>
      </w:r>
      <w:r w:rsidR="00D42284">
        <w:t xml:space="preserve">of MBSR </w:t>
      </w:r>
      <w:r>
        <w:t xml:space="preserve">between different IAB-donor gNBs doesn’t </w:t>
      </w:r>
      <w:r w:rsidR="003E3E0B">
        <w:t>occur</w:t>
      </w:r>
      <w:r>
        <w:t xml:space="preserve">. Since IAB-donor (gNB-CU) nodes are placed beyond the UPF with IP connectivity </w:t>
      </w:r>
      <w:r w:rsidR="003E3E0B">
        <w:t xml:space="preserve">between MBSR and IAB-donor </w:t>
      </w:r>
      <w:r>
        <w:t>facilitated by the 5G network</w:t>
      </w:r>
      <w:r w:rsidR="003E3E0B">
        <w:t xml:space="preserve"> </w:t>
      </w:r>
      <w:r w:rsidR="00E517AC">
        <w:t xml:space="preserve">itself </w:t>
      </w:r>
      <w:r w:rsidR="003E3E0B">
        <w:t>(via PDU Session</w:t>
      </w:r>
      <w:r w:rsidR="00D42284">
        <w:t>s</w:t>
      </w:r>
      <w:r w:rsidR="003E3E0B">
        <w:t>)</w:t>
      </w:r>
      <w:r>
        <w:t xml:space="preserve">, </w:t>
      </w:r>
      <w:r w:rsidRPr="009F3CC5">
        <w:t>they</w:t>
      </w:r>
      <w:r w:rsidR="003E3E0B" w:rsidRPr="009F3CC5">
        <w:t xml:space="preserve"> (IAB-donor</w:t>
      </w:r>
      <w:r w:rsidR="00556BEB" w:rsidRPr="009F3CC5">
        <w:t>s</w:t>
      </w:r>
      <w:r w:rsidR="003E3E0B" w:rsidRPr="009F3CC5">
        <w:t>)</w:t>
      </w:r>
      <w:r>
        <w:t xml:space="preserve"> are </w:t>
      </w:r>
      <w:r w:rsidR="00D42284">
        <w:t xml:space="preserve">always </w:t>
      </w:r>
      <w:r>
        <w:t xml:space="preserve">reachable </w:t>
      </w:r>
      <w:r w:rsidR="00D42284">
        <w:t xml:space="preserve">by an </w:t>
      </w:r>
      <w:r>
        <w:t>MBSR</w:t>
      </w:r>
      <w:r w:rsidR="00E517AC">
        <w:t xml:space="preserve"> despite MBSR’s mobility</w:t>
      </w:r>
      <w:r>
        <w:t>. Once the MBSR to IAB-donor F1 interface is established</w:t>
      </w:r>
      <w:r w:rsidR="00E517AC">
        <w:t xml:space="preserve"> over the PDU sessions</w:t>
      </w:r>
      <w:r>
        <w:t xml:space="preserve">, </w:t>
      </w:r>
      <w:r w:rsidR="00E517AC">
        <w:t xml:space="preserve">the F1 interface between them always remains available </w:t>
      </w:r>
      <w:r w:rsidR="003E3E0B">
        <w:t xml:space="preserve">even though the MBSR </w:t>
      </w:r>
      <w:r w:rsidR="00F1157F">
        <w:t xml:space="preserve">itself </w:t>
      </w:r>
      <w:r w:rsidR="003E3E0B">
        <w:t xml:space="preserve">may be </w:t>
      </w:r>
      <w:r w:rsidR="00F1157F">
        <w:t xml:space="preserve">moving </w:t>
      </w:r>
      <w:r w:rsidR="003E3E0B">
        <w:t>through the 5G network</w:t>
      </w:r>
      <w:r w:rsidR="00D42284">
        <w:t>.</w:t>
      </w:r>
    </w:p>
    <w:p w14:paraId="0000007F" w14:textId="77777777" w:rsidR="00E16171" w:rsidRDefault="00E16171">
      <w:pPr>
        <w:spacing w:after="0" w:line="276" w:lineRule="auto"/>
        <w:jc w:val="both"/>
        <w:rPr>
          <w:strike/>
        </w:rPr>
      </w:pPr>
    </w:p>
    <w:p w14:paraId="00000080" w14:textId="036119C0" w:rsidR="00E16171" w:rsidRDefault="00EA2223">
      <w:pPr>
        <w:pStyle w:val="Heading3"/>
      </w:pPr>
      <w:r>
        <w:t>6.X.3</w:t>
      </w:r>
      <w:r>
        <w:tab/>
      </w:r>
      <w:r w:rsidR="000C76BE">
        <w:t>Procedures</w:t>
      </w:r>
    </w:p>
    <w:p w14:paraId="00000081" w14:textId="1D752844" w:rsidR="00E16171" w:rsidRDefault="00EA2223">
      <w:pPr>
        <w:pStyle w:val="Heading4"/>
      </w:pPr>
      <w:r>
        <w:t>6.X.3.1</w:t>
      </w:r>
      <w:r>
        <w:tab/>
      </w:r>
      <w:r w:rsidR="00FA2488">
        <w:t xml:space="preserve">MBSR </w:t>
      </w:r>
      <w:r>
        <w:t xml:space="preserve">integration with </w:t>
      </w:r>
      <w:r w:rsidR="00152A35">
        <w:t>IAB-donor</w:t>
      </w:r>
      <w:r>
        <w:t xml:space="preserve"> (</w:t>
      </w:r>
      <w:r w:rsidR="00C50472">
        <w:t>KI#2 and</w:t>
      </w:r>
      <w:r w:rsidR="0038444A">
        <w:t xml:space="preserve"> KI#3</w:t>
      </w:r>
      <w:r>
        <w:t>)</w:t>
      </w:r>
    </w:p>
    <w:p w14:paraId="00000082" w14:textId="568FC665" w:rsidR="00E16171" w:rsidRDefault="00EA2223">
      <w:r>
        <w:t>This signalling flow</w:t>
      </w:r>
      <w:r w:rsidR="0009269A">
        <w:t xml:space="preserve"> (figure </w:t>
      </w:r>
      <w:r w:rsidR="00AF2411">
        <w:t>6.X.3.1)</w:t>
      </w:r>
      <w:r>
        <w:t xml:space="preserve"> details </w:t>
      </w:r>
      <w:r w:rsidR="00422B56">
        <w:t xml:space="preserve">the integration of MBSR with the IAB-donor including the </w:t>
      </w:r>
      <w:r>
        <w:t>F1 setup procedure between</w:t>
      </w:r>
      <w:r w:rsidR="00442B40">
        <w:t xml:space="preserve"> them</w:t>
      </w:r>
      <w:r>
        <w:t>.</w:t>
      </w:r>
      <w:r w:rsidR="000C76BE">
        <w:t xml:space="preserve"> This procedure applies to all the scenarios of Key Issue #2 and Key Issue #3</w:t>
      </w:r>
      <w:r w:rsidR="00442B40">
        <w:t>.</w:t>
      </w:r>
    </w:p>
    <w:p w14:paraId="3114EF2E" w14:textId="64BAE775" w:rsidR="005B61FA" w:rsidRDefault="005B61FA">
      <w:pPr>
        <w:keepNext/>
        <w:keepLines/>
        <w:pBdr>
          <w:top w:val="nil"/>
          <w:left w:val="nil"/>
          <w:bottom w:val="nil"/>
          <w:right w:val="nil"/>
          <w:between w:val="nil"/>
        </w:pBdr>
        <w:spacing w:before="60"/>
        <w:jc w:val="center"/>
        <w:rPr>
          <w:rFonts w:ascii="Arial" w:eastAsia="Arial" w:hAnsi="Arial" w:cs="Arial"/>
          <w:b/>
        </w:rPr>
      </w:pPr>
      <w:bookmarkStart w:id="11" w:name="_heading=h.3znysh7" w:colFirst="0" w:colLast="0"/>
      <w:bookmarkEnd w:id="11"/>
      <w:r>
        <w:rPr>
          <w:noProof/>
        </w:rPr>
        <w:drawing>
          <wp:inline distT="0" distB="0" distL="0" distR="0" wp14:anchorId="0C38EEB5" wp14:editId="643CB6F9">
            <wp:extent cx="6120130" cy="33597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3359785"/>
                    </a:xfrm>
                    <a:prstGeom prst="rect">
                      <a:avLst/>
                    </a:prstGeom>
                    <a:noFill/>
                    <a:ln>
                      <a:noFill/>
                    </a:ln>
                  </pic:spPr>
                </pic:pic>
              </a:graphicData>
            </a:graphic>
          </wp:inline>
        </w:drawing>
      </w:r>
    </w:p>
    <w:p w14:paraId="00000084" w14:textId="1E7AD6A7"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 xml:space="preserve">Figure 6.X.3.1: Signalling flow of </w:t>
      </w:r>
      <w:r w:rsidR="00FA2488">
        <w:rPr>
          <w:rFonts w:ascii="Arial" w:eastAsia="Arial" w:hAnsi="Arial" w:cs="Arial"/>
          <w:b/>
        </w:rPr>
        <w:t>MBSR</w:t>
      </w:r>
      <w:r>
        <w:rPr>
          <w:rFonts w:ascii="Arial" w:eastAsia="Arial" w:hAnsi="Arial" w:cs="Arial"/>
          <w:b/>
        </w:rPr>
        <w:t xml:space="preserve"> integration with </w:t>
      </w:r>
      <w:r w:rsidR="00152A35">
        <w:rPr>
          <w:rFonts w:ascii="Arial" w:eastAsia="Arial" w:hAnsi="Arial" w:cs="Arial"/>
          <w:b/>
        </w:rPr>
        <w:t>IAB-donor</w:t>
      </w:r>
      <w:r>
        <w:rPr>
          <w:rFonts w:ascii="Arial" w:eastAsia="Arial" w:hAnsi="Arial" w:cs="Arial"/>
          <w:b/>
        </w:rPr>
        <w:t xml:space="preserve"> </w:t>
      </w:r>
    </w:p>
    <w:p w14:paraId="00000085" w14:textId="43045AD5" w:rsidR="00E16171" w:rsidRDefault="00EA2223" w:rsidP="00826A6C">
      <w:pPr>
        <w:numPr>
          <w:ilvl w:val="0"/>
          <w:numId w:val="1"/>
        </w:numPr>
        <w:pBdr>
          <w:top w:val="nil"/>
          <w:left w:val="nil"/>
          <w:bottom w:val="nil"/>
          <w:right w:val="nil"/>
          <w:between w:val="nil"/>
        </w:pBdr>
        <w:spacing w:after="120"/>
        <w:ind w:left="426" w:hanging="426"/>
      </w:pPr>
      <w:r>
        <w:t xml:space="preserve">MBSR’s IAB-MT setup procedure via gNB </w:t>
      </w:r>
      <w:r w:rsidR="00180770">
        <w:t xml:space="preserve">gets executed. It </w:t>
      </w:r>
      <w:r>
        <w:t xml:space="preserve">is similar to that </w:t>
      </w:r>
      <w:proofErr w:type="gramStart"/>
      <w:r>
        <w:t xml:space="preserve">of </w:t>
      </w:r>
      <w:r w:rsidR="004812F2">
        <w:t xml:space="preserve"> </w:t>
      </w:r>
      <w:r>
        <w:t>‘</w:t>
      </w:r>
      <w:proofErr w:type="gramEnd"/>
      <w:r>
        <w:t>UE Initial Access’ procedure - clause 8.1 of TS 38.401</w:t>
      </w:r>
      <w:r w:rsidR="00441F90">
        <w:t xml:space="preserve">, i.e., </w:t>
      </w:r>
      <w:r w:rsidR="00441F90" w:rsidRPr="00441F90">
        <w:t>performing RRC connection setup procedure with</w:t>
      </w:r>
      <w:r w:rsidR="00441F90">
        <w:t xml:space="preserve"> a gNB and</w:t>
      </w:r>
      <w:r w:rsidR="00441F90" w:rsidRPr="00441F90">
        <w:t xml:space="preserve"> </w:t>
      </w:r>
      <w:r w:rsidR="00D02793">
        <w:t>r</w:t>
      </w:r>
      <w:r w:rsidR="00441F90">
        <w:t xml:space="preserve">egistration and </w:t>
      </w:r>
      <w:r w:rsidR="00441F90" w:rsidRPr="00441F90">
        <w:t>authentication with the core network</w:t>
      </w:r>
      <w:r w:rsidR="008C4D76">
        <w:t>.</w:t>
      </w:r>
    </w:p>
    <w:p w14:paraId="00000086" w14:textId="195F7D6F" w:rsidR="00E16171" w:rsidRDefault="00ED6EAC" w:rsidP="00826A6C">
      <w:pPr>
        <w:numPr>
          <w:ilvl w:val="0"/>
          <w:numId w:val="1"/>
        </w:numPr>
        <w:pBdr>
          <w:top w:val="nil"/>
          <w:left w:val="nil"/>
          <w:bottom w:val="nil"/>
          <w:right w:val="nil"/>
          <w:between w:val="nil"/>
        </w:pBdr>
        <w:spacing w:after="120"/>
        <w:ind w:left="426" w:hanging="426"/>
      </w:pPr>
      <w:r>
        <w:t>T</w:t>
      </w:r>
      <w:r w:rsidR="00081383">
        <w:t>he e</w:t>
      </w:r>
      <w:r w:rsidR="00341125">
        <w:t xml:space="preserve">stablishment of one or more PDU sessions </w:t>
      </w:r>
      <w:r w:rsidR="00132C33">
        <w:t xml:space="preserve">for </w:t>
      </w:r>
      <w:r w:rsidR="00EA2223">
        <w:t>IAB-MT (which is a UE from the gNB perspective)</w:t>
      </w:r>
      <w:r w:rsidR="00081383">
        <w:t xml:space="preserve"> </w:t>
      </w:r>
      <w:r w:rsidR="004812F2">
        <w:t>and IP address</w:t>
      </w:r>
      <w:r w:rsidR="00273C09">
        <w:t>/prefix</w:t>
      </w:r>
      <w:r w:rsidR="004812F2">
        <w:t xml:space="preserve"> allocation </w:t>
      </w:r>
      <w:r w:rsidR="00E121AC">
        <w:t xml:space="preserve">for the IAB-MT (MBSR) </w:t>
      </w:r>
      <w:r w:rsidR="00081383">
        <w:t xml:space="preserve">takes places, </w:t>
      </w:r>
      <w:r w:rsidR="00EA2223">
        <w:t xml:space="preserve">as detailed in ‘UE Requested PDU Session Establishment’ procedure - clause 4.3.2.2 of TS 23.502. </w:t>
      </w:r>
      <w:r w:rsidR="00081383">
        <w:t>These</w:t>
      </w:r>
      <w:r w:rsidR="00E121AC">
        <w:t xml:space="preserve"> PDU sessions</w:t>
      </w:r>
      <w:r w:rsidR="00081383">
        <w:t xml:space="preserve"> are to be used by MBSR to connect to IAB-donor via 5G network</w:t>
      </w:r>
    </w:p>
    <w:p w14:paraId="00000087" w14:textId="4F6613DC" w:rsidR="00E16171" w:rsidRDefault="00EA2223" w:rsidP="00826A6C">
      <w:pPr>
        <w:pBdr>
          <w:top w:val="nil"/>
          <w:left w:val="nil"/>
          <w:bottom w:val="nil"/>
          <w:right w:val="nil"/>
          <w:between w:val="nil"/>
        </w:pBdr>
        <w:spacing w:after="120"/>
      </w:pPr>
      <w:r>
        <w:t>Note: Through th</w:t>
      </w:r>
      <w:r w:rsidR="004C61EC">
        <w:t>e</w:t>
      </w:r>
      <w:r>
        <w:t>s</w:t>
      </w:r>
      <w:r w:rsidR="004C61EC">
        <w:t>e</w:t>
      </w:r>
      <w:r>
        <w:t xml:space="preserve"> PDU session</w:t>
      </w:r>
      <w:r w:rsidR="004C61EC">
        <w:t>(s)</w:t>
      </w:r>
      <w:r>
        <w:t xml:space="preserve">, </w:t>
      </w:r>
      <w:r w:rsidR="004C61EC">
        <w:t>PDU (</w:t>
      </w:r>
      <w:r>
        <w:t>IP</w:t>
      </w:r>
      <w:r w:rsidR="004C61EC">
        <w:t>)</w:t>
      </w:r>
      <w:r>
        <w:t xml:space="preserve"> connectivity is established between MBSR and IAB</w:t>
      </w:r>
      <w:r w:rsidR="004C61EC">
        <w:t>-</w:t>
      </w:r>
      <w:r>
        <w:t>donor via gNB</w:t>
      </w:r>
      <w:r w:rsidR="001C2303">
        <w:t xml:space="preserve"> </w:t>
      </w:r>
      <w:r>
        <w:t>and UPF1</w:t>
      </w:r>
      <w:r w:rsidR="00E121AC">
        <w:t xml:space="preserve"> using the IP address</w:t>
      </w:r>
      <w:r w:rsidR="00273C09">
        <w:t>/prefix</w:t>
      </w:r>
      <w:r w:rsidR="00E121AC">
        <w:t xml:space="preserve"> allocated by the 5G core in step 2 above</w:t>
      </w:r>
      <w:r>
        <w:t>.</w:t>
      </w:r>
    </w:p>
    <w:p w14:paraId="00000088" w14:textId="6AAD334E" w:rsidR="00E16171" w:rsidRDefault="00ED6EAC" w:rsidP="00826A6C">
      <w:pPr>
        <w:numPr>
          <w:ilvl w:val="0"/>
          <w:numId w:val="1"/>
        </w:numPr>
        <w:pBdr>
          <w:top w:val="nil"/>
          <w:left w:val="nil"/>
          <w:bottom w:val="nil"/>
          <w:right w:val="nil"/>
          <w:between w:val="nil"/>
        </w:pBdr>
        <w:spacing w:after="120"/>
        <w:ind w:left="426" w:hanging="426"/>
      </w:pPr>
      <w:r>
        <w:t>T</w:t>
      </w:r>
      <w:r w:rsidR="00C4724A">
        <w:t xml:space="preserve">he MBSR (gNB-DU) </w:t>
      </w:r>
      <w:r w:rsidR="00C4724A" w:rsidRPr="00C4724A">
        <w:t>initiates the TNL establishment and F1 setup with the IAB-donor</w:t>
      </w:r>
      <w:r w:rsidR="00C4724A">
        <w:t xml:space="preserve"> (gNB-</w:t>
      </w:r>
      <w:r w:rsidR="00C4724A" w:rsidRPr="00C4724A">
        <w:t>CU</w:t>
      </w:r>
      <w:r w:rsidR="00C4724A">
        <w:t>)</w:t>
      </w:r>
      <w:r w:rsidR="00C4724A" w:rsidRPr="00C4724A">
        <w:t xml:space="preserve"> using the allocated IP</w:t>
      </w:r>
      <w:r w:rsidR="00C4724A">
        <w:t>/prefix</w:t>
      </w:r>
      <w:r w:rsidR="00C4724A" w:rsidRPr="00C4724A">
        <w:t xml:space="preserve"> address</w:t>
      </w:r>
      <w:r w:rsidR="00C4724A">
        <w:t xml:space="preserve"> via the PDU sessions,</w:t>
      </w:r>
      <w:r w:rsidR="00EA2223">
        <w:t xml:space="preserve"> </w:t>
      </w:r>
      <w:r w:rsidR="00081383">
        <w:t xml:space="preserve">which is the same as </w:t>
      </w:r>
      <w:r w:rsidR="00EA2223">
        <w:t>the F1 setup procedure detailed in clause 8.5 of TS 38.401.</w:t>
      </w:r>
      <w:r w:rsidR="00915B86">
        <w:t xml:space="preserve"> T</w:t>
      </w:r>
      <w:r w:rsidR="00915B86" w:rsidRPr="00C4724A">
        <w:t xml:space="preserve">he </w:t>
      </w:r>
      <w:r w:rsidR="00915B86">
        <w:t>gNB</w:t>
      </w:r>
      <w:r w:rsidR="00915B86" w:rsidRPr="00C4724A">
        <w:t xml:space="preserve">-DU of </w:t>
      </w:r>
      <w:r w:rsidR="00915B86">
        <w:t xml:space="preserve">MBSR </w:t>
      </w:r>
      <w:r w:rsidR="00915B86" w:rsidRPr="00C4724A">
        <w:t>is configured via OAM</w:t>
      </w:r>
      <w:r w:rsidR="00915B86">
        <w:t xml:space="preserve">. </w:t>
      </w:r>
      <w:r w:rsidR="0004725A">
        <w:t xml:space="preserve">The </w:t>
      </w:r>
      <w:r w:rsidR="00915B86">
        <w:t xml:space="preserve">MBSR </w:t>
      </w:r>
      <w:r w:rsidR="0004725A">
        <w:t xml:space="preserve">uses the PDU sessions </w:t>
      </w:r>
      <w:r w:rsidR="009200F2">
        <w:t xml:space="preserve">via the 5G network </w:t>
      </w:r>
      <w:r w:rsidR="0004725A">
        <w:t xml:space="preserve">to </w:t>
      </w:r>
      <w:r w:rsidR="00915B86">
        <w:t xml:space="preserve">reach out to </w:t>
      </w:r>
      <w:r w:rsidR="009200F2">
        <w:t xml:space="preserve">the </w:t>
      </w:r>
      <w:r w:rsidR="00915B86">
        <w:t xml:space="preserve">OAM </w:t>
      </w:r>
      <w:r>
        <w:t xml:space="preserve">system </w:t>
      </w:r>
      <w:r w:rsidR="00915B86">
        <w:t>just as it uses them to reach out to the IAB-donor.</w:t>
      </w:r>
    </w:p>
    <w:p w14:paraId="00000089" w14:textId="6DD08CDD" w:rsidR="00E16171" w:rsidRDefault="00EA2223" w:rsidP="00826A6C">
      <w:pPr>
        <w:pBdr>
          <w:top w:val="nil"/>
          <w:left w:val="nil"/>
          <w:bottom w:val="nil"/>
          <w:right w:val="nil"/>
          <w:between w:val="nil"/>
        </w:pBdr>
        <w:spacing w:after="120"/>
      </w:pPr>
      <w:r>
        <w:t xml:space="preserve">Note: </w:t>
      </w:r>
      <w:r w:rsidR="00081383">
        <w:t xml:space="preserve">Once the F1 interface between MBSR (gNB-DU) and IAB-donor (gNB-CU) is established, </w:t>
      </w:r>
      <w:r>
        <w:t xml:space="preserve">MBSR along with </w:t>
      </w:r>
      <w:r w:rsidR="00152A35">
        <w:t>IAB-donor</w:t>
      </w:r>
      <w:r>
        <w:t xml:space="preserve"> is ready to accept connections from UE</w:t>
      </w:r>
      <w:r w:rsidR="00081383">
        <w:t>s</w:t>
      </w:r>
      <w:r>
        <w:t>.</w:t>
      </w:r>
    </w:p>
    <w:p w14:paraId="45F13A7E" w14:textId="1196214A" w:rsidR="00D067B7" w:rsidRDefault="00D067B7" w:rsidP="00496506">
      <w:pPr>
        <w:pStyle w:val="Heading4"/>
      </w:pPr>
      <w:r>
        <w:t>6.X.3.2</w:t>
      </w:r>
      <w:r>
        <w:tab/>
        <w:t>UE connect</w:t>
      </w:r>
      <w:r w:rsidR="007C4FF4">
        <w:t>ion</w:t>
      </w:r>
      <w:r>
        <w:t xml:space="preserve"> to 5G network via MBSR (</w:t>
      </w:r>
      <w:r w:rsidR="00C50472">
        <w:t>KI#2 and</w:t>
      </w:r>
      <w:r>
        <w:t xml:space="preserve"> KI#3)</w:t>
      </w:r>
    </w:p>
    <w:p w14:paraId="24C81153" w14:textId="4787C137" w:rsidR="000C76BE" w:rsidRPr="000C76BE" w:rsidRDefault="000C76BE" w:rsidP="00496506">
      <w:r>
        <w:t>This procedure applies to all scenarios of Key Issue #2 and Key Issue #3</w:t>
      </w:r>
      <w:r w:rsidR="00105C25">
        <w:t>.</w:t>
      </w:r>
    </w:p>
    <w:p w14:paraId="525DBB08" w14:textId="6D7F922C" w:rsidR="00D067B7" w:rsidRDefault="00D067B7" w:rsidP="00D067B7">
      <w:r>
        <w:lastRenderedPageBreak/>
        <w:t xml:space="preserve">Since the MBSR and the IAB-donor </w:t>
      </w:r>
      <w:r w:rsidRPr="007E4D91">
        <w:t>work in conjunction to provide the complete gNB functionality to UEs connecting to the MBSR over its radio (Uu) interface</w:t>
      </w:r>
      <w:r>
        <w:t xml:space="preserve">, the signalling flow for a UE connecting to 5G network via MBSR is exactly the same as that of a UE connecting to any other gNB (or </w:t>
      </w:r>
      <w:r w:rsidR="00F14C0A">
        <w:t xml:space="preserve">a </w:t>
      </w:r>
      <w:r>
        <w:t>gNB-DU and gNB-CU pair).</w:t>
      </w:r>
    </w:p>
    <w:p w14:paraId="3401D911" w14:textId="67345142" w:rsidR="00D067B7" w:rsidRDefault="00D067B7" w:rsidP="00496506">
      <w:r>
        <w:t>Please refer to the procedure ‘Initial UE Access’ - clause 8.1 of TS 38.401 and also the ‘UE Requested PDU Session Establishment’ procedure detailed in clause 4.3.2.2 of TS 23.502.</w:t>
      </w:r>
    </w:p>
    <w:p w14:paraId="57C97BC7" w14:textId="77777777" w:rsidR="00180770" w:rsidRDefault="00180770">
      <w:pPr>
        <w:pBdr>
          <w:top w:val="nil"/>
          <w:left w:val="nil"/>
          <w:bottom w:val="nil"/>
          <w:right w:val="nil"/>
          <w:between w:val="nil"/>
        </w:pBdr>
      </w:pPr>
    </w:p>
    <w:p w14:paraId="7D9A5E7A" w14:textId="31E4118B" w:rsidR="00D067B7" w:rsidRDefault="00D067B7" w:rsidP="00496506">
      <w:pPr>
        <w:pStyle w:val="Heading4"/>
      </w:pPr>
      <w:r>
        <w:t>6.X.3.3</w:t>
      </w:r>
      <w:r>
        <w:tab/>
        <w:t>UE handover from Mobile base station relay to anoth</w:t>
      </w:r>
      <w:r w:rsidR="0065127C">
        <w:t>er gNB (KI#2</w:t>
      </w:r>
      <w:r>
        <w:t>)</w:t>
      </w:r>
    </w:p>
    <w:p w14:paraId="298C6C5B" w14:textId="7B374D93" w:rsidR="00DB05BC" w:rsidRDefault="00D067B7" w:rsidP="00D067B7">
      <w:r>
        <w:t>Th</w:t>
      </w:r>
      <w:r w:rsidR="00AF2411">
        <w:t>e following signalling flow (</w:t>
      </w:r>
      <w:r w:rsidRPr="004423F7">
        <w:t>f</w:t>
      </w:r>
      <w:r>
        <w:t>igure 6.</w:t>
      </w:r>
      <w:r w:rsidR="00B556EB">
        <w:t>X.3.3</w:t>
      </w:r>
      <w:r>
        <w:t>) details UE handover procedure between MBSR and another gNB, gNB1. It is a</w:t>
      </w:r>
      <w:r w:rsidR="00AA1710">
        <w:t>n</w:t>
      </w:r>
      <w:r>
        <w:t xml:space="preserve"> “Xn based inter-NG-RAN handover without User Plane function re-allocation” as detailed in TS 23.502 - clause 4.9.1.2.2.</w:t>
      </w:r>
      <w:r w:rsidR="000C76BE">
        <w:t xml:space="preserve"> </w:t>
      </w:r>
    </w:p>
    <w:p w14:paraId="262765D5" w14:textId="0B25AA4A" w:rsidR="00D067B7" w:rsidRDefault="000C76BE" w:rsidP="00D067B7">
      <w:r>
        <w:t>This procedure applies to section 6.X.2.2.1 of Key Issue #2.</w:t>
      </w:r>
    </w:p>
    <w:p w14:paraId="507A6B6D" w14:textId="77777777" w:rsidR="00D067B7" w:rsidRDefault="00D067B7" w:rsidP="00D067B7">
      <w:r>
        <w:t>Note: MBSR is integrated with IAB-donor via gNB2 and UPF1, integration procedure is detailed in Section 6.X.3.1.</w:t>
      </w:r>
    </w:p>
    <w:p w14:paraId="037826A4" w14:textId="3E0C30B3" w:rsidR="00D067B7" w:rsidRDefault="00D067B7" w:rsidP="00496506">
      <w:pPr>
        <w:numPr>
          <w:ilvl w:val="0"/>
          <w:numId w:val="12"/>
        </w:numPr>
        <w:ind w:left="360"/>
      </w:pPr>
      <w:r>
        <w:t xml:space="preserve">UE is connected to the 5G network through the MBSR which is detailed in Section 6.X.3.2. For UE, its gNB-DU is placed at MBSR and </w:t>
      </w:r>
      <w:r w:rsidR="005231C0">
        <w:t xml:space="preserve">the </w:t>
      </w:r>
      <w:r>
        <w:t>gNB-CU is placed at IAB-donor.</w:t>
      </w:r>
    </w:p>
    <w:p w14:paraId="336F2697" w14:textId="61F64FC5" w:rsidR="00D067B7" w:rsidRDefault="00D067B7" w:rsidP="00496506">
      <w:pPr>
        <w:ind w:left="360"/>
      </w:pPr>
      <w:r>
        <w:t xml:space="preserve">Note: Here UE is not in the same vehicle and not moving with MBSR. When the MBSR moves away (as it is deployed in a vehicle) from the UE, UE receives better signal strength from </w:t>
      </w:r>
      <w:r w:rsidR="005231C0">
        <w:t xml:space="preserve">a </w:t>
      </w:r>
      <w:r>
        <w:t>neighbouring gNB (gNB1 in this case) as compared to MBSR.</w:t>
      </w:r>
    </w:p>
    <w:p w14:paraId="4A282D7F" w14:textId="77777777" w:rsidR="00D067B7" w:rsidRDefault="00D067B7" w:rsidP="00496506">
      <w:pPr>
        <w:numPr>
          <w:ilvl w:val="0"/>
          <w:numId w:val="12"/>
        </w:numPr>
        <w:ind w:left="360"/>
      </w:pPr>
      <w:r>
        <w:t>UE is handed over to gNB1 by following the standard handover procedure between two gNBs as detailed in TS 23.502 - clause 4.9.1.2.2. In this handover procedure, source gNB consists of gNB-DU (at MBSR) and gNB-CU (at IAB-donor), whereas target gNB is gNB1.</w:t>
      </w:r>
    </w:p>
    <w:p w14:paraId="02663549" w14:textId="709315C2" w:rsidR="00D067B7" w:rsidRDefault="00D067B7" w:rsidP="00D067B7">
      <w:r>
        <w:t>Note: It is a conventional inter-gNB handover from the perspective of the UE</w:t>
      </w:r>
      <w:r w:rsidR="00585962">
        <w:t xml:space="preserve"> and the network</w:t>
      </w:r>
      <w:r>
        <w:t>.</w:t>
      </w:r>
    </w:p>
    <w:p w14:paraId="2616E453" w14:textId="415F18B3" w:rsidR="00D067B7" w:rsidRDefault="00D067B7" w:rsidP="00D067B7"/>
    <w:p w14:paraId="2EEE94A5" w14:textId="3D6E82C3" w:rsidR="000D0F3F" w:rsidRDefault="000D0F3F" w:rsidP="00D067B7">
      <w:r>
        <w:rPr>
          <w:noProof/>
        </w:rPr>
        <w:drawing>
          <wp:inline distT="0" distB="0" distL="0" distR="0" wp14:anchorId="5F5AAD12" wp14:editId="7D9C1CC7">
            <wp:extent cx="6120130" cy="28155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815590"/>
                    </a:xfrm>
                    <a:prstGeom prst="rect">
                      <a:avLst/>
                    </a:prstGeom>
                    <a:noFill/>
                    <a:ln>
                      <a:noFill/>
                    </a:ln>
                  </pic:spPr>
                </pic:pic>
              </a:graphicData>
            </a:graphic>
          </wp:inline>
        </w:drawing>
      </w:r>
    </w:p>
    <w:p w14:paraId="433371DA" w14:textId="463F7C89" w:rsidR="00D067B7" w:rsidRPr="00496506" w:rsidRDefault="00B556EB" w:rsidP="00496506">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Figure 6.X.3.3</w:t>
      </w:r>
      <w:r w:rsidR="00D067B7">
        <w:rPr>
          <w:rFonts w:ascii="Arial" w:eastAsia="Arial" w:hAnsi="Arial" w:cs="Arial"/>
          <w:b/>
        </w:rPr>
        <w:t>: Signalling flow for UE handover from MBSR to other base station (gNB1)</w:t>
      </w:r>
    </w:p>
    <w:p w14:paraId="0783B323" w14:textId="6DA7F80B" w:rsidR="00D067B7" w:rsidRDefault="00D067B7" w:rsidP="00496506">
      <w:pPr>
        <w:pStyle w:val="Heading4"/>
      </w:pPr>
      <w:r>
        <w:lastRenderedPageBreak/>
        <w:t>6.X.3.4</w:t>
      </w:r>
      <w:r>
        <w:tab/>
        <w:t xml:space="preserve">UE handover between two </w:t>
      </w:r>
      <w:r w:rsidRPr="007C6EC5">
        <w:t>Mobile base station relays</w:t>
      </w:r>
      <w:r w:rsidR="00C50472">
        <w:t xml:space="preserve"> (</w:t>
      </w:r>
      <w:r w:rsidR="0065127C">
        <w:t>KI#2</w:t>
      </w:r>
      <w:r>
        <w:t>)</w:t>
      </w:r>
    </w:p>
    <w:p w14:paraId="627C0C4C" w14:textId="0766C1C2" w:rsidR="00D067B7" w:rsidRDefault="00D067B7" w:rsidP="00D067B7">
      <w:r>
        <w:t>Th</w:t>
      </w:r>
      <w:r w:rsidR="00AF2411">
        <w:t>e following signalling flow (</w:t>
      </w:r>
      <w:r w:rsidRPr="004423F7">
        <w:t>figure 6.X.3</w:t>
      </w:r>
      <w:r w:rsidR="00B556EB">
        <w:t>.</w:t>
      </w:r>
      <w:r>
        <w:t>4) details UE handover procedure between two MBSRs. Here, both MBSRs are connected to the same gNB-CU (IAB-donor).</w:t>
      </w:r>
    </w:p>
    <w:p w14:paraId="30CE708E" w14:textId="04297A24" w:rsidR="00DB05BC" w:rsidRDefault="00DB05BC" w:rsidP="00D067B7">
      <w:r>
        <w:t>This procedure applies to section 6.X.2.2.2 of Key Issue #2.</w:t>
      </w:r>
    </w:p>
    <w:p w14:paraId="4BF09D7E" w14:textId="77777777" w:rsidR="00D067B7" w:rsidRDefault="00D067B7" w:rsidP="00D067B7">
      <w:r>
        <w:t>Note: If both MBSRs are connected to different IAB-donors (gNB-CUs), the procedure will be the same as conventional inter-gNB handover as detailed in the previous section.</w:t>
      </w:r>
    </w:p>
    <w:p w14:paraId="68D6DB77" w14:textId="0C23E98D" w:rsidR="00D067B7" w:rsidRDefault="00D067B7" w:rsidP="00D067B7">
      <w:r>
        <w:t>Note a</w:t>
      </w:r>
      <w:r w:rsidR="00202659">
        <w:t>:</w:t>
      </w:r>
      <w:r>
        <w:t xml:space="preserve"> MBSR1 is integrated with IAB-donor (via gNB1 &amp; UPF1) as detailed in Section 6.X.3.1. </w:t>
      </w:r>
    </w:p>
    <w:p w14:paraId="15AE4544" w14:textId="58C370EE" w:rsidR="00D067B7" w:rsidRDefault="00D067B7" w:rsidP="00D067B7">
      <w:r>
        <w:t>Note b</w:t>
      </w:r>
      <w:r w:rsidR="00202659">
        <w:t>:</w:t>
      </w:r>
      <w:r>
        <w:t xml:space="preserve"> MBSR2 is integrated with the same IAB-donor (via gNB2 &amp; UPF1) as detailed in Section 6.X.3.1.</w:t>
      </w:r>
    </w:p>
    <w:p w14:paraId="59A3FDCB" w14:textId="3D86DC36" w:rsidR="00D067B7" w:rsidRDefault="00D067B7" w:rsidP="00D067B7">
      <w:pPr>
        <w:numPr>
          <w:ilvl w:val="0"/>
          <w:numId w:val="13"/>
        </w:numPr>
      </w:pPr>
      <w:r>
        <w:t xml:space="preserve">UE is initially connected to the 5G network through MBSR1 which is detailed in Section 6.X.3.2. For UE, its gNB-DU is placed at MBSR1 and gNB-CU is placed at IAB-donor. </w:t>
      </w:r>
    </w:p>
    <w:p w14:paraId="034C4884" w14:textId="0E3F40AA" w:rsidR="00D067B7" w:rsidRDefault="00D067B7" w:rsidP="00D067B7">
      <w:r>
        <w:t xml:space="preserve">Note: </w:t>
      </w:r>
      <w:r w:rsidR="000E1448">
        <w:t xml:space="preserve">MBSR1 moves </w:t>
      </w:r>
      <w:r w:rsidR="0078457C">
        <w:t xml:space="preserve">away from the </w:t>
      </w:r>
      <w:r>
        <w:t xml:space="preserve">UE and </w:t>
      </w:r>
      <w:r w:rsidR="0078457C">
        <w:t xml:space="preserve">UE </w:t>
      </w:r>
      <w:r>
        <w:t xml:space="preserve">detects better signal strength from MBSR2 as compared to MBSR1. </w:t>
      </w:r>
    </w:p>
    <w:p w14:paraId="2086956B" w14:textId="77777777" w:rsidR="00D067B7" w:rsidRDefault="00D067B7" w:rsidP="00D067B7">
      <w:pPr>
        <w:numPr>
          <w:ilvl w:val="0"/>
          <w:numId w:val="13"/>
        </w:numPr>
      </w:pPr>
      <w:r>
        <w:t xml:space="preserve">UE is handed over to MBSR2 by following standard handover procedure of inter-gNB-DU mobility without changing gNB-CU as detailed in TS 38.401 - clause 8.2.1.2. In this handover procedure, source gNB-DU belongs to MBSR1 and target gNB-DU belongs to MBSR2. </w:t>
      </w:r>
    </w:p>
    <w:p w14:paraId="661EFCD1" w14:textId="77777777" w:rsidR="00D067B7" w:rsidRDefault="00D067B7" w:rsidP="00D067B7">
      <w:r>
        <w:t>Note: It is a conventional handover between two gNB DUs within a single gNB-CU, i.e, an intra-gNB-CU or inter-gNB-DU handover.</w:t>
      </w:r>
    </w:p>
    <w:p w14:paraId="4DD5D1B1" w14:textId="1B914432" w:rsidR="00D067B7" w:rsidRDefault="00D067B7" w:rsidP="00D067B7"/>
    <w:p w14:paraId="0B67DB65" w14:textId="1E1D39D6" w:rsidR="000D0F3F" w:rsidRDefault="000D0F3F" w:rsidP="00D067B7">
      <w:r>
        <w:rPr>
          <w:noProof/>
        </w:rPr>
        <w:drawing>
          <wp:inline distT="0" distB="0" distL="0" distR="0" wp14:anchorId="1F16B0F4" wp14:editId="0F7F7EE5">
            <wp:extent cx="6120130" cy="36239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623945"/>
                    </a:xfrm>
                    <a:prstGeom prst="rect">
                      <a:avLst/>
                    </a:prstGeom>
                    <a:noFill/>
                    <a:ln>
                      <a:noFill/>
                    </a:ln>
                  </pic:spPr>
                </pic:pic>
              </a:graphicData>
            </a:graphic>
          </wp:inline>
        </w:drawing>
      </w:r>
    </w:p>
    <w:p w14:paraId="1EDA3F21" w14:textId="57083D83" w:rsidR="00D067B7" w:rsidRDefault="00D067B7" w:rsidP="00D067B7">
      <w:pPr>
        <w:keepNext/>
        <w:keepLines/>
        <w:pBdr>
          <w:top w:val="nil"/>
          <w:left w:val="nil"/>
          <w:bottom w:val="nil"/>
          <w:right w:val="nil"/>
          <w:between w:val="nil"/>
        </w:pBdr>
        <w:spacing w:before="60"/>
        <w:jc w:val="center"/>
      </w:pPr>
      <w:bookmarkStart w:id="12" w:name="_heading=h.2et92p0" w:colFirst="0" w:colLast="0"/>
      <w:bookmarkEnd w:id="12"/>
      <w:r>
        <w:rPr>
          <w:rFonts w:ascii="Arial" w:eastAsia="Arial" w:hAnsi="Arial" w:cs="Arial"/>
          <w:b/>
        </w:rPr>
        <w:t>F</w:t>
      </w:r>
      <w:r w:rsidR="00B556EB">
        <w:rPr>
          <w:rFonts w:ascii="Arial" w:eastAsia="Arial" w:hAnsi="Arial" w:cs="Arial"/>
          <w:b/>
        </w:rPr>
        <w:t>igure 6.X.3.</w:t>
      </w:r>
      <w:r>
        <w:rPr>
          <w:rFonts w:ascii="Arial" w:eastAsia="Arial" w:hAnsi="Arial" w:cs="Arial"/>
          <w:b/>
        </w:rPr>
        <w:t>4: Signalling flow for UE handover between two MBSRs</w:t>
      </w:r>
    </w:p>
    <w:p w14:paraId="35B4A7EF" w14:textId="77777777" w:rsidR="00D067B7" w:rsidRPr="00263080" w:rsidRDefault="00D067B7" w:rsidP="00D067B7">
      <w:pPr>
        <w:pBdr>
          <w:top w:val="nil"/>
          <w:left w:val="nil"/>
          <w:bottom w:val="nil"/>
          <w:right w:val="nil"/>
          <w:between w:val="nil"/>
        </w:pBdr>
      </w:pPr>
    </w:p>
    <w:p w14:paraId="5A5CBFAF" w14:textId="77777777" w:rsidR="00D067B7" w:rsidRDefault="00D067B7">
      <w:pPr>
        <w:pBdr>
          <w:top w:val="nil"/>
          <w:left w:val="nil"/>
          <w:bottom w:val="nil"/>
          <w:right w:val="nil"/>
          <w:between w:val="nil"/>
        </w:pBdr>
      </w:pPr>
    </w:p>
    <w:p w14:paraId="0000008B" w14:textId="37A711FC" w:rsidR="00E16171" w:rsidRDefault="00EA2223">
      <w:pPr>
        <w:pStyle w:val="Heading4"/>
      </w:pPr>
      <w:r>
        <w:lastRenderedPageBreak/>
        <w:t>6.X.3.</w:t>
      </w:r>
      <w:r w:rsidR="00D067B7">
        <w:t>5</w:t>
      </w:r>
      <w:r>
        <w:tab/>
      </w:r>
      <w:r w:rsidR="00FA2488">
        <w:t>MBSR</w:t>
      </w:r>
      <w:r>
        <w:t xml:space="preserve"> mobility between gNBs </w:t>
      </w:r>
      <w:r w:rsidR="00C50472">
        <w:t>(</w:t>
      </w:r>
      <w:r w:rsidR="0065127C">
        <w:t>KI#3</w:t>
      </w:r>
      <w:r w:rsidR="00D067B7">
        <w:t>)</w:t>
      </w:r>
    </w:p>
    <w:p w14:paraId="0000008C" w14:textId="05278D39" w:rsidR="00E16171" w:rsidRDefault="00EA2223">
      <w:r>
        <w:t xml:space="preserve">This signalling flow </w:t>
      </w:r>
      <w:r w:rsidR="00AF2411">
        <w:t xml:space="preserve">(figure 6.X.3.5) </w:t>
      </w:r>
      <w:r>
        <w:t xml:space="preserve">details the handover of </w:t>
      </w:r>
      <w:r w:rsidR="00FA2488">
        <w:t>MBSR</w:t>
      </w:r>
      <w:r>
        <w:t xml:space="preserve"> from gNB1 to gNB2 which is similar to a typical UE handover scenario between two gNBs.</w:t>
      </w:r>
    </w:p>
    <w:p w14:paraId="538E2FE4" w14:textId="5ADDD663" w:rsidR="00DB05BC" w:rsidRDefault="00DB05BC">
      <w:r>
        <w:t>This procedure applies to section 6.X.2.3.1 of Key Issue #3.</w:t>
      </w:r>
    </w:p>
    <w:p w14:paraId="0000008D" w14:textId="3A9F8D34" w:rsidR="00E16171" w:rsidRDefault="00EA2223">
      <w:pPr>
        <w:jc w:val="center"/>
        <w:rPr>
          <w:rFonts w:ascii="Arial" w:eastAsia="Arial" w:hAnsi="Arial" w:cs="Arial"/>
          <w:b/>
        </w:rPr>
      </w:pPr>
      <w:r>
        <w:t xml:space="preserve"> </w:t>
      </w:r>
      <w:r w:rsidR="003108C9">
        <w:rPr>
          <w:rFonts w:ascii="Arial" w:eastAsia="Arial" w:hAnsi="Arial" w:cs="Arial"/>
          <w:b/>
          <w:noProof/>
          <w:lang w:eastAsia="en-GB"/>
        </w:rPr>
        <w:drawing>
          <wp:inline distT="0" distB="0" distL="0" distR="0" wp14:anchorId="3776A073" wp14:editId="6BA33A59">
            <wp:extent cx="5732707" cy="2079430"/>
            <wp:effectExtent l="0" t="0" r="825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scgenjs_chart-44.png"/>
                    <pic:cNvPicPr/>
                  </pic:nvPicPr>
                  <pic:blipFill>
                    <a:blip r:embed="rId16">
                      <a:extLst>
                        <a:ext uri="{28A0092B-C50C-407E-A947-70E740481C1C}">
                          <a14:useLocalDpi xmlns:a14="http://schemas.microsoft.com/office/drawing/2010/main" val="0"/>
                        </a:ext>
                      </a:extLst>
                    </a:blip>
                    <a:stretch>
                      <a:fillRect/>
                    </a:stretch>
                  </pic:blipFill>
                  <pic:spPr>
                    <a:xfrm>
                      <a:off x="0" y="0"/>
                      <a:ext cx="5737260" cy="2081081"/>
                    </a:xfrm>
                    <a:prstGeom prst="rect">
                      <a:avLst/>
                    </a:prstGeom>
                  </pic:spPr>
                </pic:pic>
              </a:graphicData>
            </a:graphic>
          </wp:inline>
        </w:drawing>
      </w:r>
    </w:p>
    <w:p w14:paraId="0000008E" w14:textId="1F69B88E"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Figure 6.X.3.</w:t>
      </w:r>
      <w:r w:rsidR="00B556EB">
        <w:rPr>
          <w:rFonts w:ascii="Arial" w:eastAsia="Arial" w:hAnsi="Arial" w:cs="Arial"/>
          <w:b/>
        </w:rPr>
        <w:t>5</w:t>
      </w:r>
      <w:r>
        <w:rPr>
          <w:rFonts w:ascii="Arial" w:eastAsia="Arial" w:hAnsi="Arial" w:cs="Arial"/>
          <w:b/>
        </w:rPr>
        <w:t xml:space="preserve">: Signalling flow of </w:t>
      </w:r>
      <w:r w:rsidR="00172211">
        <w:rPr>
          <w:rFonts w:ascii="Arial" w:eastAsia="Arial" w:hAnsi="Arial" w:cs="Arial"/>
          <w:b/>
        </w:rPr>
        <w:t xml:space="preserve">MBSR </w:t>
      </w:r>
      <w:r>
        <w:rPr>
          <w:rFonts w:ascii="Arial" w:eastAsia="Arial" w:hAnsi="Arial" w:cs="Arial"/>
          <w:b/>
        </w:rPr>
        <w:t>mobility between gNBs (IAB</w:t>
      </w:r>
      <w:r w:rsidR="004C61EC">
        <w:rPr>
          <w:rFonts w:ascii="Arial" w:eastAsia="Arial" w:hAnsi="Arial" w:cs="Arial"/>
          <w:b/>
        </w:rPr>
        <w:t>-</w:t>
      </w:r>
      <w:r>
        <w:rPr>
          <w:rFonts w:ascii="Arial" w:eastAsia="Arial" w:hAnsi="Arial" w:cs="Arial"/>
          <w:b/>
        </w:rPr>
        <w:t>donor does not change)</w:t>
      </w:r>
    </w:p>
    <w:p w14:paraId="6A4D33B3" w14:textId="15165990" w:rsidR="00E5426B" w:rsidRDefault="00E5426B" w:rsidP="00E5426B">
      <w:r>
        <w:t>Note: MBSR is integrated with IAB-donor via gNB1 and UPF1, integration procedure is detailed in Section 6.X.3.1.</w:t>
      </w:r>
    </w:p>
    <w:p w14:paraId="0000008F" w14:textId="096302FE" w:rsidR="00E16171" w:rsidRDefault="00EA2223">
      <w:pPr>
        <w:pBdr>
          <w:top w:val="nil"/>
          <w:left w:val="nil"/>
          <w:bottom w:val="nil"/>
          <w:right w:val="nil"/>
          <w:between w:val="nil"/>
        </w:pBdr>
      </w:pPr>
      <w:r>
        <w:t>Note: M</w:t>
      </w:r>
      <w:r w:rsidR="00172211">
        <w:t>BSR</w:t>
      </w:r>
      <w:r>
        <w:t xml:space="preserve"> moves from </w:t>
      </w:r>
      <w:r w:rsidR="00591C60">
        <w:t xml:space="preserve">the </w:t>
      </w:r>
      <w:r>
        <w:t>coverage area of gNB1 to gNB2.</w:t>
      </w:r>
    </w:p>
    <w:p w14:paraId="00000090" w14:textId="724536F1" w:rsidR="00E16171" w:rsidRDefault="00EA2223">
      <w:pPr>
        <w:numPr>
          <w:ilvl w:val="0"/>
          <w:numId w:val="3"/>
        </w:numPr>
        <w:pBdr>
          <w:top w:val="nil"/>
          <w:left w:val="nil"/>
          <w:bottom w:val="nil"/>
          <w:right w:val="nil"/>
          <w:between w:val="nil"/>
        </w:pBdr>
      </w:pPr>
      <w:r>
        <w:t>IAB-</w:t>
      </w:r>
      <w:r w:rsidR="00556BEB">
        <w:t>MT</w:t>
      </w:r>
      <w:r w:rsidR="0019740C">
        <w:t xml:space="preserve"> (of MBSR)</w:t>
      </w:r>
      <w:r w:rsidR="00556BEB">
        <w:t xml:space="preserve"> is</w:t>
      </w:r>
      <w:r>
        <w:t xml:space="preserve"> handed over from gNB1 (source) to gNB2 (target); it is similar to a UE handover from one gNB to another. This procedure is detailed in clause 4.9.1.2.2 of TS 23.502 - ‘Xn based inter NG-RAN handover without User Plane function re-allocation’. </w:t>
      </w:r>
    </w:p>
    <w:p w14:paraId="00000091" w14:textId="7E21905B" w:rsidR="00E16171" w:rsidRDefault="00EA2223">
      <w:pPr>
        <w:pBdr>
          <w:top w:val="nil"/>
          <w:left w:val="nil"/>
          <w:bottom w:val="nil"/>
          <w:right w:val="nil"/>
          <w:between w:val="nil"/>
        </w:pBdr>
      </w:pPr>
      <w:r>
        <w:t>Note: This M</w:t>
      </w:r>
      <w:r w:rsidR="00172211">
        <w:t>BSR</w:t>
      </w:r>
      <w:r>
        <w:t xml:space="preserve"> handover will not have any impact on the</w:t>
      </w:r>
      <w:r w:rsidR="00152A35">
        <w:t xml:space="preserve"> PDU (</w:t>
      </w:r>
      <w:r>
        <w:t>IP</w:t>
      </w:r>
      <w:r w:rsidR="00152A35">
        <w:t>)</w:t>
      </w:r>
      <w:r>
        <w:t xml:space="preserve"> connectivity</w:t>
      </w:r>
      <w:r w:rsidR="005A5551">
        <w:t xml:space="preserve"> (PDU Session(s)</w:t>
      </w:r>
      <w:r w:rsidR="00DB74DF">
        <w:t xml:space="preserve"> established</w:t>
      </w:r>
      <w:r w:rsidR="005A5551">
        <w:t>)</w:t>
      </w:r>
      <w:r>
        <w:t xml:space="preserve"> between </w:t>
      </w:r>
      <w:r w:rsidR="00BE2DB1">
        <w:t xml:space="preserve">the </w:t>
      </w:r>
      <w:r w:rsidR="00152A35">
        <w:t>MBSR</w:t>
      </w:r>
      <w:r>
        <w:t xml:space="preserve"> and </w:t>
      </w:r>
      <w:r w:rsidR="00BE2DB1">
        <w:t xml:space="preserve">the </w:t>
      </w:r>
      <w:r w:rsidR="00FF0982">
        <w:t>IAB-donor</w:t>
      </w:r>
      <w:r>
        <w:t xml:space="preserve">. </w:t>
      </w:r>
      <w:r w:rsidR="000C31A9">
        <w:t>Post-handover, t</w:t>
      </w:r>
      <w:r>
        <w:t xml:space="preserve">he </w:t>
      </w:r>
      <w:r w:rsidR="000C31A9">
        <w:t>PDU Session</w:t>
      </w:r>
      <w:r w:rsidR="005A5551">
        <w:t>(s)</w:t>
      </w:r>
      <w:r w:rsidR="000C31A9">
        <w:t xml:space="preserve"> (</w:t>
      </w:r>
      <w:r w:rsidR="005A5551">
        <w:t xml:space="preserve">along with </w:t>
      </w:r>
      <w:r w:rsidR="000C31A9">
        <w:t>the encapsulated</w:t>
      </w:r>
      <w:r w:rsidR="005A5551">
        <w:t xml:space="preserve"> F1 link</w:t>
      </w:r>
      <w:r w:rsidR="000C31A9">
        <w:t xml:space="preserve">) between </w:t>
      </w:r>
      <w:r w:rsidR="00BE2DB1">
        <w:t xml:space="preserve">the </w:t>
      </w:r>
      <w:r w:rsidR="00152A35">
        <w:t>MBSR</w:t>
      </w:r>
      <w:r>
        <w:t xml:space="preserve"> </w:t>
      </w:r>
      <w:r w:rsidR="000C31A9">
        <w:t xml:space="preserve">and </w:t>
      </w:r>
      <w:r w:rsidR="00BE2DB1">
        <w:t xml:space="preserve">the </w:t>
      </w:r>
      <w:r w:rsidR="00FF0982">
        <w:t>IAB-donor</w:t>
      </w:r>
      <w:r>
        <w:t xml:space="preserve"> will </w:t>
      </w:r>
      <w:r w:rsidR="000C31A9">
        <w:t xml:space="preserve">go </w:t>
      </w:r>
      <w:r>
        <w:t xml:space="preserve">through </w:t>
      </w:r>
      <w:r w:rsidR="005A5551">
        <w:t xml:space="preserve">the target </w:t>
      </w:r>
      <w:r>
        <w:t>gNB2</w:t>
      </w:r>
      <w:r w:rsidR="000C31A9">
        <w:t xml:space="preserve"> </w:t>
      </w:r>
      <w:r w:rsidR="00BE2DB1">
        <w:t xml:space="preserve">in place of </w:t>
      </w:r>
      <w:r w:rsidR="005A5551">
        <w:t xml:space="preserve">the source </w:t>
      </w:r>
      <w:r w:rsidR="00BE2DB1">
        <w:t>gNB1</w:t>
      </w:r>
      <w:r>
        <w:t>.</w:t>
      </w:r>
      <w:r w:rsidR="00BE2DB1">
        <w:t xml:space="preserve"> </w:t>
      </w:r>
      <w:r w:rsidR="005A5551">
        <w:t>However, t</w:t>
      </w:r>
      <w:r w:rsidR="00BE2DB1">
        <w:t xml:space="preserve">here is no reallocation of UPF during the handover so </w:t>
      </w:r>
      <w:r w:rsidR="0019740C">
        <w:t xml:space="preserve">the same </w:t>
      </w:r>
      <w:r w:rsidR="00BE2DB1">
        <w:t xml:space="preserve">UPF would continue to be in the path </w:t>
      </w:r>
      <w:r w:rsidR="005A5551">
        <w:t xml:space="preserve">between </w:t>
      </w:r>
      <w:r w:rsidR="00BE2DB1">
        <w:t xml:space="preserve">MBSR </w:t>
      </w:r>
      <w:r w:rsidR="005A5551">
        <w:t xml:space="preserve">and </w:t>
      </w:r>
      <w:r w:rsidR="00BE2DB1">
        <w:t>IAB-donor</w:t>
      </w:r>
      <w:r w:rsidR="005A5551">
        <w:t xml:space="preserve"> as earlier.</w:t>
      </w:r>
    </w:p>
    <w:p w14:paraId="00000092" w14:textId="77777777" w:rsidR="00E16171" w:rsidRDefault="00E16171">
      <w:pPr>
        <w:pBdr>
          <w:top w:val="nil"/>
          <w:left w:val="nil"/>
          <w:bottom w:val="nil"/>
          <w:right w:val="nil"/>
          <w:between w:val="nil"/>
        </w:pBdr>
      </w:pPr>
    </w:p>
    <w:p w14:paraId="00000093" w14:textId="727824B3" w:rsidR="00E16171" w:rsidRDefault="00EA2223">
      <w:pPr>
        <w:pStyle w:val="Heading4"/>
      </w:pPr>
      <w:r>
        <w:t>6.X.3.</w:t>
      </w:r>
      <w:r w:rsidR="00D067B7">
        <w:t>6</w:t>
      </w:r>
      <w:r>
        <w:tab/>
        <w:t xml:space="preserve">UE </w:t>
      </w:r>
      <w:r w:rsidR="00DD078E">
        <w:t>connect</w:t>
      </w:r>
      <w:r w:rsidR="00AA1710">
        <w:t>ion</w:t>
      </w:r>
      <w:r w:rsidR="00DD078E">
        <w:t xml:space="preserve"> to 5G network via MBSR during MBSR mobility</w:t>
      </w:r>
      <w:r w:rsidR="0065127C">
        <w:t xml:space="preserve"> (KI#3</w:t>
      </w:r>
      <w:r w:rsidR="00D067B7">
        <w:t>)</w:t>
      </w:r>
    </w:p>
    <w:p w14:paraId="7A354612" w14:textId="0624D301" w:rsidR="00E5426B" w:rsidRDefault="00EA2223" w:rsidP="00E5426B">
      <w:r>
        <w:t xml:space="preserve">This </w:t>
      </w:r>
      <w:r w:rsidR="00DD078E">
        <w:t xml:space="preserve">clause </w:t>
      </w:r>
      <w:r>
        <w:t>details the signalling flow</w:t>
      </w:r>
      <w:r w:rsidR="00AF2411">
        <w:t xml:space="preserve"> (figure 6.X.3.6)</w:t>
      </w:r>
      <w:r>
        <w:t xml:space="preserve"> </w:t>
      </w:r>
      <w:r w:rsidR="00DD078E">
        <w:t>for a UE connected to 5G network via MBSR</w:t>
      </w:r>
      <w:r w:rsidR="00DB74DF">
        <w:t xml:space="preserve"> during MBSR mobility</w:t>
      </w:r>
      <w:r>
        <w:t>.</w:t>
      </w:r>
      <w:r w:rsidR="00DB05BC" w:rsidRPr="00DB05BC">
        <w:t xml:space="preserve"> </w:t>
      </w:r>
      <w:r w:rsidR="00DB05BC">
        <w:t>This procedure applies to section 6.X.2.3.1 of Key Issue #3.</w:t>
      </w:r>
    </w:p>
    <w:p w14:paraId="4C3E1B39" w14:textId="5F782635" w:rsidR="00B02F40" w:rsidRDefault="00E5426B" w:rsidP="00496506">
      <w:r>
        <w:t xml:space="preserve">Note: </w:t>
      </w:r>
      <w:r w:rsidR="00152A35">
        <w:t>MBSR</w:t>
      </w:r>
      <w:r w:rsidR="00EA2223">
        <w:t xml:space="preserve"> to </w:t>
      </w:r>
      <w:r w:rsidR="00FF0982">
        <w:t>IAB-donor</w:t>
      </w:r>
      <w:r w:rsidR="00EA2223">
        <w:t xml:space="preserve"> integration call flow is detailed in </w:t>
      </w:r>
      <w:r w:rsidR="00556BEB">
        <w:t>f</w:t>
      </w:r>
      <w:r w:rsidR="00EA2223">
        <w:t>igure 6.X.3.1</w:t>
      </w:r>
      <w:r w:rsidR="00EA2223">
        <w:rPr>
          <w:rFonts w:ascii="Arial" w:eastAsia="Arial" w:hAnsi="Arial" w:cs="Arial"/>
          <w:b/>
        </w:rPr>
        <w:t xml:space="preserve"> </w:t>
      </w:r>
    </w:p>
    <w:p w14:paraId="00000096" w14:textId="5B64A3E0" w:rsidR="00E16171" w:rsidRDefault="00EA2223" w:rsidP="00496506">
      <w:r>
        <w:t xml:space="preserve">Note: </w:t>
      </w:r>
      <w:r w:rsidR="00DD078E">
        <w:t xml:space="preserve">A </w:t>
      </w:r>
      <w:r>
        <w:t xml:space="preserve">UE </w:t>
      </w:r>
      <w:r w:rsidR="00DD078E">
        <w:t xml:space="preserve">is </w:t>
      </w:r>
      <w:r w:rsidR="00DB74DF">
        <w:t xml:space="preserve">inside </w:t>
      </w:r>
      <w:r>
        <w:t>the vehicle</w:t>
      </w:r>
      <w:r w:rsidR="00DB74DF">
        <w:t>,</w:t>
      </w:r>
      <w:r>
        <w:t xml:space="preserve"> mounted with </w:t>
      </w:r>
      <w:r w:rsidR="00A70018">
        <w:t>MBSR</w:t>
      </w:r>
      <w:r>
        <w:t xml:space="preserve">. </w:t>
      </w:r>
    </w:p>
    <w:p w14:paraId="00000097" w14:textId="70B2ED30" w:rsidR="00E16171" w:rsidRDefault="00EA2223">
      <w:pPr>
        <w:numPr>
          <w:ilvl w:val="0"/>
          <w:numId w:val="4"/>
        </w:numPr>
        <w:spacing w:after="0"/>
      </w:pPr>
      <w:r>
        <w:t xml:space="preserve">UE </w:t>
      </w:r>
      <w:r w:rsidR="00DB74DF">
        <w:t xml:space="preserve">first </w:t>
      </w:r>
      <w:r>
        <w:t xml:space="preserve">connects to the </w:t>
      </w:r>
      <w:r w:rsidR="00DB74DF">
        <w:t xml:space="preserve">vehicle’s MBSR </w:t>
      </w:r>
      <w:r>
        <w:t>and</w:t>
      </w:r>
      <w:r w:rsidR="002E257F">
        <w:t xml:space="preserve"> subsequently </w:t>
      </w:r>
      <w:r>
        <w:t xml:space="preserve">with </w:t>
      </w:r>
      <w:r w:rsidR="00FF0982">
        <w:t>IAB-donor</w:t>
      </w:r>
      <w:r>
        <w:t xml:space="preserve"> using the procedure ‘Initial UE Access’ - clause 8.1 of TS 38.401. This procedure also establishes the </w:t>
      </w:r>
      <w:r w:rsidR="002E257F">
        <w:t xml:space="preserve">UE </w:t>
      </w:r>
      <w:r>
        <w:t>signalling path with the core network (AMF).</w:t>
      </w:r>
    </w:p>
    <w:p w14:paraId="00000098" w14:textId="6023AE78" w:rsidR="00E16171" w:rsidRDefault="002E257F">
      <w:pPr>
        <w:numPr>
          <w:ilvl w:val="0"/>
          <w:numId w:val="4"/>
        </w:numPr>
      </w:pPr>
      <w:r>
        <w:t>After successful “Registration</w:t>
      </w:r>
      <w:r w:rsidR="00196FC5">
        <w:t xml:space="preserve"> (initial access)</w:t>
      </w:r>
      <w:r>
        <w:t xml:space="preserve">”, the </w:t>
      </w:r>
      <w:r w:rsidR="00EA2223">
        <w:t>UE establishes PDU session</w:t>
      </w:r>
      <w:r w:rsidR="00684D42">
        <w:t>(s)</w:t>
      </w:r>
      <w:r w:rsidR="00EA2223">
        <w:t xml:space="preserve"> with the core network using ‘UE Requested PDU Session Establishment’ procedure detailed in clause 4.3.2.2 of TS 23.502.</w:t>
      </w:r>
    </w:p>
    <w:p w14:paraId="00000099" w14:textId="1F5EB92A" w:rsidR="00E16171" w:rsidRDefault="00EA2223" w:rsidP="00496506">
      <w:pPr>
        <w:ind w:left="315" w:hanging="315"/>
      </w:pPr>
      <w:r>
        <w:t xml:space="preserve">Note: </w:t>
      </w:r>
      <w:r w:rsidR="00DB74DF">
        <w:t>Once the two procedures are completed, s</w:t>
      </w:r>
      <w:r w:rsidR="002E257F">
        <w:t xml:space="preserve">ignalling </w:t>
      </w:r>
      <w:r w:rsidR="00185240">
        <w:t xml:space="preserve">and data </w:t>
      </w:r>
      <w:r w:rsidR="002E257F">
        <w:t>exchange between the UE and the IAB-donor (gNB</w:t>
      </w:r>
      <w:r w:rsidR="00B02F40">
        <w:t xml:space="preserve"> </w:t>
      </w:r>
      <w:r w:rsidR="002E257F">
        <w:t xml:space="preserve">CU) </w:t>
      </w:r>
      <w:r w:rsidR="00185240">
        <w:t xml:space="preserve">and 5G core takes place </w:t>
      </w:r>
      <w:r w:rsidR="00DB74DF">
        <w:t xml:space="preserve">over </w:t>
      </w:r>
      <w:r w:rsidR="00185240">
        <w:t xml:space="preserve">the </w:t>
      </w:r>
      <w:r w:rsidR="00DB74DF">
        <w:t xml:space="preserve">F1 interface </w:t>
      </w:r>
      <w:r w:rsidR="00185240">
        <w:t>between the MBSR (</w:t>
      </w:r>
      <w:r w:rsidR="00E11F1E">
        <w:t>gNB-DU</w:t>
      </w:r>
      <w:r w:rsidR="00185240">
        <w:t>) and the IAB-donor</w:t>
      </w:r>
      <w:r w:rsidR="00E11F1E">
        <w:t xml:space="preserve"> (gNB-CU), which is in turn carried within the PDU Session(s) between MBSR (IAB-MT) and IAB-donor</w:t>
      </w:r>
      <w:r w:rsidR="00185240">
        <w:t xml:space="preserve">. MBSR </w:t>
      </w:r>
      <w:r>
        <w:t xml:space="preserve">may </w:t>
      </w:r>
      <w:r w:rsidR="00185240">
        <w:t xml:space="preserve">get </w:t>
      </w:r>
      <w:r>
        <w:t xml:space="preserve">handed over to gNB2 from gNB1 when the vehicle moves from coverage area of gNB1 to gNB2. The ‘Signalling flow of </w:t>
      </w:r>
      <w:r w:rsidR="00493504">
        <w:t>MBSR</w:t>
      </w:r>
      <w:r>
        <w:t xml:space="preserve"> mobility between gNBs’ in the section </w:t>
      </w:r>
      <w:r w:rsidR="00684D42">
        <w:t xml:space="preserve">6.X.3.2 </w:t>
      </w:r>
      <w:r>
        <w:t xml:space="preserve">depicts this handover. </w:t>
      </w:r>
    </w:p>
    <w:p w14:paraId="0000009A" w14:textId="0FF2480B" w:rsidR="00E16171" w:rsidRDefault="00E11F1E">
      <w:pPr>
        <w:ind w:left="585" w:hanging="315"/>
      </w:pPr>
      <w:r>
        <w:lastRenderedPageBreak/>
        <w:t xml:space="preserve">Note: </w:t>
      </w:r>
      <w:r w:rsidR="00EA2223">
        <w:t xml:space="preserve">However, </w:t>
      </w:r>
      <w:r w:rsidR="00196FC5">
        <w:t xml:space="preserve">in this scenario </w:t>
      </w:r>
      <w:r w:rsidR="00152A35">
        <w:t xml:space="preserve">MBSR </w:t>
      </w:r>
      <w:r w:rsidR="00185240">
        <w:t xml:space="preserve">mobility </w:t>
      </w:r>
      <w:r w:rsidR="00684D42">
        <w:t xml:space="preserve">is transparent to </w:t>
      </w:r>
      <w:r w:rsidR="00EA2223">
        <w:t xml:space="preserve">the </w:t>
      </w:r>
      <w:r w:rsidR="00196FC5">
        <w:t xml:space="preserve">in-vehicle </w:t>
      </w:r>
      <w:r w:rsidR="00EA2223">
        <w:t>UE</w:t>
      </w:r>
      <w:r w:rsidR="00196FC5">
        <w:t>s connected to 5G network via MBSR</w:t>
      </w:r>
      <w:r w:rsidR="00EA2223">
        <w:t xml:space="preserve">. </w:t>
      </w:r>
      <w:r w:rsidR="00196FC5">
        <w:t>UEs are within the MBSR vehicle and move along with the MBSR. Hence, they (</w:t>
      </w:r>
      <w:r w:rsidR="00EA2223">
        <w:t>UE</w:t>
      </w:r>
      <w:r w:rsidR="00196FC5">
        <w:t>s)</w:t>
      </w:r>
      <w:r w:rsidR="00EA2223">
        <w:t xml:space="preserve"> continu</w:t>
      </w:r>
      <w:r w:rsidR="00196FC5">
        <w:t>e</w:t>
      </w:r>
      <w:r w:rsidR="00EA2223">
        <w:t xml:space="preserve"> to be served by the same </w:t>
      </w:r>
      <w:r>
        <w:t xml:space="preserve">MBSR </w:t>
      </w:r>
      <w:r w:rsidR="00EA2223">
        <w:t xml:space="preserve">(gNB-DU) and </w:t>
      </w:r>
      <w:r w:rsidR="00D95D36">
        <w:t xml:space="preserve">the </w:t>
      </w:r>
      <w:r w:rsidR="00FF0982">
        <w:t>IAB-donor</w:t>
      </w:r>
      <w:r w:rsidR="00EA2223">
        <w:t xml:space="preserve"> (gNB-CU)</w:t>
      </w:r>
      <w:r>
        <w:t xml:space="preserve"> while the MBSR moves across the coverage areas of different gNBs</w:t>
      </w:r>
      <w:r w:rsidR="00EA2223">
        <w:t>.</w:t>
      </w:r>
    </w:p>
    <w:p w14:paraId="0000009B" w14:textId="1DDABAB3" w:rsidR="00E16171" w:rsidRDefault="00791001">
      <w:pPr>
        <w:keepNext/>
        <w:keepLines/>
        <w:pBdr>
          <w:top w:val="nil"/>
          <w:left w:val="nil"/>
          <w:bottom w:val="nil"/>
          <w:right w:val="nil"/>
          <w:between w:val="nil"/>
        </w:pBdr>
        <w:spacing w:before="60"/>
        <w:jc w:val="center"/>
        <w:rPr>
          <w:rFonts w:ascii="Arial" w:eastAsia="Arial" w:hAnsi="Arial" w:cs="Arial"/>
          <w:b/>
        </w:rPr>
      </w:pPr>
      <w:bookmarkStart w:id="13" w:name="_heading=h.tyjcwt" w:colFirst="0" w:colLast="0"/>
      <w:bookmarkEnd w:id="13"/>
      <w:r>
        <w:rPr>
          <w:noProof/>
        </w:rPr>
        <w:drawing>
          <wp:inline distT="0" distB="0" distL="0" distR="0" wp14:anchorId="292087D5" wp14:editId="59D06BAA">
            <wp:extent cx="6120130" cy="39109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3910965"/>
                    </a:xfrm>
                    <a:prstGeom prst="rect">
                      <a:avLst/>
                    </a:prstGeom>
                    <a:noFill/>
                    <a:ln>
                      <a:noFill/>
                    </a:ln>
                  </pic:spPr>
                </pic:pic>
              </a:graphicData>
            </a:graphic>
          </wp:inline>
        </w:drawing>
      </w:r>
    </w:p>
    <w:p w14:paraId="0000009C" w14:textId="6140476B"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Figure 6.X.3.</w:t>
      </w:r>
      <w:r w:rsidR="00AF3F8C">
        <w:rPr>
          <w:rFonts w:ascii="Arial" w:eastAsia="Arial" w:hAnsi="Arial" w:cs="Arial"/>
          <w:b/>
        </w:rPr>
        <w:t>6</w:t>
      </w:r>
      <w:r>
        <w:rPr>
          <w:rFonts w:ascii="Arial" w:eastAsia="Arial" w:hAnsi="Arial" w:cs="Arial"/>
          <w:b/>
        </w:rPr>
        <w:t xml:space="preserve">: Signalling flow of </w:t>
      </w:r>
      <w:r w:rsidR="00CA6613">
        <w:rPr>
          <w:rFonts w:ascii="Arial" w:eastAsia="Arial" w:hAnsi="Arial" w:cs="Arial"/>
          <w:b/>
        </w:rPr>
        <w:t xml:space="preserve">in-vehicle </w:t>
      </w:r>
      <w:r>
        <w:rPr>
          <w:rFonts w:ascii="Arial" w:eastAsia="Arial" w:hAnsi="Arial" w:cs="Arial"/>
          <w:b/>
        </w:rPr>
        <w:t xml:space="preserve">UE with </w:t>
      </w:r>
      <w:r w:rsidR="00493504">
        <w:rPr>
          <w:rFonts w:ascii="Arial" w:eastAsia="Arial" w:hAnsi="Arial" w:cs="Arial"/>
          <w:b/>
        </w:rPr>
        <w:t xml:space="preserve">MBSR </w:t>
      </w:r>
      <w:r>
        <w:rPr>
          <w:rFonts w:ascii="Arial" w:eastAsia="Arial" w:hAnsi="Arial" w:cs="Arial"/>
          <w:b/>
        </w:rPr>
        <w:t xml:space="preserve">(gNB-DU) and </w:t>
      </w:r>
      <w:r w:rsidR="00FF0982">
        <w:rPr>
          <w:rFonts w:ascii="Arial" w:eastAsia="Arial" w:hAnsi="Arial" w:cs="Arial"/>
          <w:b/>
        </w:rPr>
        <w:t>IAB-donor</w:t>
      </w:r>
      <w:r>
        <w:rPr>
          <w:rFonts w:ascii="Arial" w:eastAsia="Arial" w:hAnsi="Arial" w:cs="Arial"/>
          <w:b/>
        </w:rPr>
        <w:t xml:space="preserve"> (gNB-CU)</w:t>
      </w:r>
    </w:p>
    <w:p w14:paraId="0000009D" w14:textId="77777777" w:rsidR="00E16171" w:rsidRDefault="00E16171">
      <w:pPr>
        <w:pBdr>
          <w:top w:val="nil"/>
          <w:left w:val="nil"/>
          <w:bottom w:val="nil"/>
          <w:right w:val="nil"/>
          <w:between w:val="nil"/>
        </w:pBdr>
      </w:pPr>
    </w:p>
    <w:p w14:paraId="0000009E" w14:textId="77777777" w:rsidR="00E16171" w:rsidRDefault="00EA2223">
      <w:pPr>
        <w:pStyle w:val="Heading3"/>
      </w:pPr>
      <w:r>
        <w:t>6.X.4</w:t>
      </w:r>
      <w:r>
        <w:tab/>
        <w:t>Impacts on services, entities and interfaces</w:t>
      </w:r>
    </w:p>
    <w:p w14:paraId="7D32D03C" w14:textId="458829FB" w:rsidR="00F04144" w:rsidRDefault="00EA2223">
      <w:pPr>
        <w:rPr>
          <w:ins w:id="14" w:author="Pranav Jha" w:date="2022-05-18T05:42:00Z"/>
        </w:rPr>
      </w:pPr>
      <w:bookmarkStart w:id="15" w:name="_Hlk102749303"/>
      <w:r>
        <w:t xml:space="preserve">The following impacts </w:t>
      </w:r>
      <w:r w:rsidR="00A55445">
        <w:t xml:space="preserve">on the 5G network entities </w:t>
      </w:r>
      <w:r>
        <w:t>have been identified</w:t>
      </w:r>
      <w:r w:rsidR="00A55445">
        <w:t>. It also</w:t>
      </w:r>
      <w:r w:rsidR="00F4343C">
        <w:t xml:space="preserve"> includ</w:t>
      </w:r>
      <w:r w:rsidR="00A55445">
        <w:t>es</w:t>
      </w:r>
      <w:r w:rsidR="00F4343C">
        <w:t xml:space="preserve"> an open</w:t>
      </w:r>
      <w:r w:rsidR="00F902BA">
        <w:t xml:space="preserve"> discussion point:</w:t>
      </w:r>
      <w:r w:rsidR="00F902BA" w:rsidRPr="00F902BA">
        <w:rPr>
          <w:color w:val="FF0000"/>
        </w:rPr>
        <w:t xml:space="preserve"> </w:t>
      </w:r>
      <w:r w:rsidR="00F4343C" w:rsidRPr="009E6A9B">
        <w:rPr>
          <w:color w:val="FF0000"/>
        </w:rPr>
        <w:t xml:space="preserve">if the MBSR should be treated as an IAB-node by the rest of the network or it can be treated </w:t>
      </w:r>
      <w:r w:rsidR="007D38F3" w:rsidRPr="009E6A9B">
        <w:rPr>
          <w:color w:val="FF0000"/>
        </w:rPr>
        <w:t xml:space="preserve">simply </w:t>
      </w:r>
      <w:r w:rsidR="00F4343C" w:rsidRPr="009E6A9B">
        <w:rPr>
          <w:color w:val="FF0000"/>
        </w:rPr>
        <w:t xml:space="preserve">as a </w:t>
      </w:r>
      <w:proofErr w:type="spellStart"/>
      <w:r w:rsidR="00F4343C" w:rsidRPr="009E6A9B">
        <w:rPr>
          <w:color w:val="FF0000"/>
        </w:rPr>
        <w:t>gNB</w:t>
      </w:r>
      <w:proofErr w:type="spellEnd"/>
      <w:r w:rsidR="00F4343C" w:rsidRPr="009E6A9B">
        <w:rPr>
          <w:color w:val="FF0000"/>
        </w:rPr>
        <w:t>-DU</w:t>
      </w:r>
      <w:r w:rsidR="00F902BA">
        <w:t>.</w:t>
      </w:r>
    </w:p>
    <w:p w14:paraId="0000009F" w14:textId="18EB17EF" w:rsidR="00E16171" w:rsidRDefault="00F04144">
      <w:ins w:id="16" w:author="Pranav Jha" w:date="2022-05-18T05:42:00Z">
        <w:r w:rsidRPr="00F04144">
          <w:rPr>
            <w:color w:val="FF0000"/>
          </w:rPr>
          <w:t xml:space="preserve">Editor’s note: </w:t>
        </w:r>
      </w:ins>
      <w:ins w:id="17" w:author="Pranav Jha" w:date="2022-05-18T05:36:00Z">
        <w:r w:rsidR="00EF7660" w:rsidRPr="00F04144">
          <w:rPr>
            <w:color w:val="FF0000"/>
          </w:rPr>
          <w:t xml:space="preserve">This </w:t>
        </w:r>
      </w:ins>
      <w:ins w:id="18" w:author="Pranav Jha" w:date="2022-05-18T05:42:00Z">
        <w:r w:rsidRPr="00F04144">
          <w:rPr>
            <w:color w:val="FF0000"/>
          </w:rPr>
          <w:t>above</w:t>
        </w:r>
      </w:ins>
      <w:ins w:id="19" w:author="Pranav Jha" w:date="2022-05-18T05:43:00Z">
        <w:r w:rsidRPr="00F04144">
          <w:rPr>
            <w:color w:val="FF0000"/>
          </w:rPr>
          <w:t>-</w:t>
        </w:r>
      </w:ins>
      <w:ins w:id="20" w:author="Pranav Jha" w:date="2022-05-18T05:42:00Z">
        <w:r w:rsidRPr="00F04144">
          <w:rPr>
            <w:color w:val="FF0000"/>
          </w:rPr>
          <w:t>mentioned</w:t>
        </w:r>
      </w:ins>
      <w:ins w:id="21" w:author="Pranav Jha" w:date="2022-05-18T05:43:00Z">
        <w:r w:rsidRPr="00F04144">
          <w:rPr>
            <w:color w:val="FF0000"/>
          </w:rPr>
          <w:t xml:space="preserve"> open discussion point needs </w:t>
        </w:r>
      </w:ins>
      <w:ins w:id="22" w:author="Pranav Jha" w:date="2022-05-18T05:36:00Z">
        <w:r w:rsidR="00EF7660" w:rsidRPr="00F04144">
          <w:rPr>
            <w:color w:val="FF0000"/>
          </w:rPr>
          <w:t>to be coordinate</w:t>
        </w:r>
      </w:ins>
      <w:ins w:id="23" w:author="Pranav Jha" w:date="2022-05-18T05:37:00Z">
        <w:r w:rsidR="00EF7660" w:rsidRPr="00F04144">
          <w:rPr>
            <w:color w:val="FF0000"/>
          </w:rPr>
          <w:t xml:space="preserve">d with RAN </w:t>
        </w:r>
      </w:ins>
      <w:ins w:id="24" w:author="Pranav Jha" w:date="2022-05-18T05:44:00Z">
        <w:r>
          <w:rPr>
            <w:color w:val="FF0000"/>
          </w:rPr>
          <w:t xml:space="preserve">working </w:t>
        </w:r>
      </w:ins>
      <w:ins w:id="25" w:author="Pranav Jha" w:date="2022-05-18T05:37:00Z">
        <w:r w:rsidR="00EF7660" w:rsidRPr="00F04144">
          <w:rPr>
            <w:color w:val="FF0000"/>
          </w:rPr>
          <w:t>groups.</w:t>
        </w:r>
      </w:ins>
    </w:p>
    <w:p w14:paraId="000000A0" w14:textId="77777777" w:rsidR="00E16171" w:rsidRDefault="00EA2223" w:rsidP="009E6A9B">
      <w:pPr>
        <w:numPr>
          <w:ilvl w:val="0"/>
          <w:numId w:val="2"/>
        </w:numPr>
        <w:pBdr>
          <w:top w:val="nil"/>
          <w:left w:val="nil"/>
          <w:bottom w:val="nil"/>
          <w:right w:val="nil"/>
          <w:between w:val="nil"/>
        </w:pBdr>
        <w:ind w:left="360" w:hanging="360"/>
      </w:pPr>
      <w:r>
        <w:t>UE</w:t>
      </w:r>
    </w:p>
    <w:p w14:paraId="35C7D609" w14:textId="071AB089" w:rsidR="00A55445" w:rsidRDefault="00EA2223" w:rsidP="008706A8">
      <w:pPr>
        <w:numPr>
          <w:ilvl w:val="0"/>
          <w:numId w:val="5"/>
        </w:numPr>
        <w:spacing w:after="0" w:line="276" w:lineRule="auto"/>
        <w:ind w:left="1156"/>
        <w:jc w:val="both"/>
      </w:pPr>
      <w:r>
        <w:t>There is no impact on UE</w:t>
      </w:r>
      <w:r w:rsidR="00A55445">
        <w:t>s.</w:t>
      </w:r>
    </w:p>
    <w:p w14:paraId="44B00CFA" w14:textId="60C23F32" w:rsidR="000C4649" w:rsidRDefault="00EA2223" w:rsidP="009E6A9B">
      <w:pPr>
        <w:numPr>
          <w:ilvl w:val="0"/>
          <w:numId w:val="2"/>
        </w:numPr>
        <w:pBdr>
          <w:top w:val="nil"/>
          <w:left w:val="nil"/>
          <w:bottom w:val="nil"/>
          <w:right w:val="nil"/>
          <w:between w:val="nil"/>
        </w:pBdr>
        <w:ind w:left="360" w:hanging="360"/>
      </w:pPr>
      <w:r>
        <w:t>gNB:</w:t>
      </w:r>
    </w:p>
    <w:p w14:paraId="2AB02295" w14:textId="797BD443" w:rsidR="001F3331" w:rsidRPr="009E6A9B" w:rsidRDefault="003A2430" w:rsidP="009E6A9B">
      <w:pPr>
        <w:numPr>
          <w:ilvl w:val="0"/>
          <w:numId w:val="2"/>
        </w:numPr>
        <w:pBdr>
          <w:top w:val="nil"/>
          <w:left w:val="nil"/>
          <w:bottom w:val="nil"/>
          <w:right w:val="nil"/>
          <w:between w:val="nil"/>
        </w:pBdr>
        <w:rPr>
          <w:color w:val="FF0000"/>
        </w:rPr>
      </w:pPr>
      <w:r w:rsidRPr="009E6A9B">
        <w:rPr>
          <w:color w:val="FF0000"/>
        </w:rPr>
        <w:t>FFS</w:t>
      </w:r>
      <w:r w:rsidR="001F3331" w:rsidRPr="009E6A9B">
        <w:rPr>
          <w:color w:val="FF0000"/>
        </w:rPr>
        <w:t>:</w:t>
      </w:r>
      <w:r w:rsidR="00A55445">
        <w:rPr>
          <w:color w:val="FF0000"/>
        </w:rPr>
        <w:t xml:space="preserve"> </w:t>
      </w:r>
      <w:r w:rsidR="00D2440E">
        <w:rPr>
          <w:color w:val="FF0000"/>
        </w:rPr>
        <w:t xml:space="preserve">Limited </w:t>
      </w:r>
      <w:r w:rsidR="00A55445">
        <w:rPr>
          <w:color w:val="FF0000"/>
        </w:rPr>
        <w:t>impact</w:t>
      </w:r>
      <w:r w:rsidR="00D2440E">
        <w:rPr>
          <w:color w:val="FF0000"/>
        </w:rPr>
        <w:t>,</w:t>
      </w:r>
      <w:r w:rsidR="00A55445">
        <w:rPr>
          <w:color w:val="FF0000"/>
        </w:rPr>
        <w:t xml:space="preserve"> dependent on the open discussion point highlighted above.</w:t>
      </w:r>
    </w:p>
    <w:p w14:paraId="3A187C32" w14:textId="16FF5B13" w:rsidR="003A2430" w:rsidRDefault="00A55445">
      <w:pPr>
        <w:numPr>
          <w:ilvl w:val="0"/>
          <w:numId w:val="5"/>
        </w:numPr>
        <w:spacing w:after="0" w:line="276" w:lineRule="auto"/>
        <w:ind w:left="1156"/>
        <w:jc w:val="both"/>
        <w:rPr>
          <w:color w:val="FF0000"/>
        </w:rPr>
      </w:pPr>
      <w:r>
        <w:rPr>
          <w:color w:val="FF0000"/>
        </w:rPr>
        <w:t xml:space="preserve">If the MBSR is to be treated as an IAB-node by the network then </w:t>
      </w:r>
      <w:r w:rsidR="003A2430" w:rsidRPr="003C1141">
        <w:rPr>
          <w:color w:val="FF0000"/>
        </w:rPr>
        <w:t xml:space="preserve">the </w:t>
      </w:r>
      <w:r w:rsidR="00B70EBE">
        <w:rPr>
          <w:color w:val="FF0000"/>
        </w:rPr>
        <w:t xml:space="preserve">connecting </w:t>
      </w:r>
      <w:r w:rsidR="003A2430" w:rsidRPr="003C1141">
        <w:rPr>
          <w:color w:val="FF0000"/>
        </w:rPr>
        <w:t xml:space="preserve">gNB (the </w:t>
      </w:r>
      <w:r w:rsidR="00B70EBE">
        <w:rPr>
          <w:color w:val="FF0000"/>
        </w:rPr>
        <w:t xml:space="preserve">gNB, </w:t>
      </w:r>
      <w:r w:rsidR="003A2430" w:rsidRPr="003C1141">
        <w:rPr>
          <w:color w:val="FF0000"/>
        </w:rPr>
        <w:t>IAB-MT connects to over radio interface) has to include an “IAB-Indication” as part of AN parameter</w:t>
      </w:r>
      <w:r w:rsidR="00005D28">
        <w:rPr>
          <w:color w:val="FF0000"/>
        </w:rPr>
        <w:t>s</w:t>
      </w:r>
      <w:r w:rsidR="003A2430" w:rsidRPr="003C1141">
        <w:rPr>
          <w:color w:val="FF0000"/>
        </w:rPr>
        <w:t xml:space="preserve"> in “</w:t>
      </w:r>
      <w:r w:rsidR="003A2430" w:rsidRPr="009E6A9B">
        <w:rPr>
          <w:color w:val="FF0000"/>
        </w:rPr>
        <w:t>NGAP Initial UE message</w:t>
      </w:r>
      <w:r w:rsidR="003A2430" w:rsidRPr="003C1141">
        <w:rPr>
          <w:color w:val="FF0000"/>
        </w:rPr>
        <w:t xml:space="preserve">” during </w:t>
      </w:r>
      <w:r w:rsidR="00C630E6">
        <w:rPr>
          <w:color w:val="FF0000"/>
        </w:rPr>
        <w:t xml:space="preserve">initial access </w:t>
      </w:r>
      <w:r w:rsidR="003A2430" w:rsidRPr="003C1141">
        <w:rPr>
          <w:color w:val="FF0000"/>
        </w:rPr>
        <w:t>of the IAB-MT.</w:t>
      </w:r>
      <w:r w:rsidR="00B70EBE">
        <w:rPr>
          <w:color w:val="FF0000"/>
        </w:rPr>
        <w:t xml:space="preserve"> T</w:t>
      </w:r>
      <w:r w:rsidR="003A2430" w:rsidRPr="00B70EBE">
        <w:rPr>
          <w:color w:val="FF0000"/>
        </w:rPr>
        <w:t>he indication will have to be sent by the IAB-MT</w:t>
      </w:r>
      <w:r w:rsidR="00C630E6" w:rsidRPr="00B70EBE">
        <w:rPr>
          <w:color w:val="FF0000"/>
        </w:rPr>
        <w:t xml:space="preserve"> (UE)</w:t>
      </w:r>
      <w:r w:rsidR="003A2430" w:rsidRPr="00B70EBE">
        <w:rPr>
          <w:color w:val="FF0000"/>
        </w:rPr>
        <w:t xml:space="preserve"> of MBSR to the gNB </w:t>
      </w:r>
      <w:r w:rsidR="00B70EBE" w:rsidRPr="00B70EBE">
        <w:rPr>
          <w:color w:val="FF0000"/>
        </w:rPr>
        <w:t>as part of the “</w:t>
      </w:r>
      <w:r w:rsidR="00B70EBE" w:rsidRPr="00D66D00">
        <w:rPr>
          <w:color w:val="FF0000"/>
        </w:rPr>
        <w:t>RRCSetupComplete</w:t>
      </w:r>
      <w:r w:rsidR="00B70EBE" w:rsidRPr="00B70EBE">
        <w:rPr>
          <w:color w:val="FF0000"/>
        </w:rPr>
        <w:t>” message</w:t>
      </w:r>
      <w:r w:rsidR="00B70EBE">
        <w:rPr>
          <w:color w:val="FF0000"/>
        </w:rPr>
        <w:t xml:space="preserve">. The indication is to be </w:t>
      </w:r>
      <w:r w:rsidR="003A2430" w:rsidRPr="00B70EBE">
        <w:rPr>
          <w:color w:val="FF0000"/>
        </w:rPr>
        <w:t>accept</w:t>
      </w:r>
      <w:r w:rsidR="00B70EBE">
        <w:rPr>
          <w:color w:val="FF0000"/>
        </w:rPr>
        <w:t>ed</w:t>
      </w:r>
      <w:r w:rsidR="003A2430" w:rsidRPr="00B70EBE">
        <w:rPr>
          <w:color w:val="FF0000"/>
        </w:rPr>
        <w:t xml:space="preserve"> </w:t>
      </w:r>
      <w:r w:rsidR="00B70EBE">
        <w:rPr>
          <w:color w:val="FF0000"/>
        </w:rPr>
        <w:t xml:space="preserve">by gNB </w:t>
      </w:r>
      <w:r w:rsidR="003A2430" w:rsidRPr="00B70EBE">
        <w:rPr>
          <w:color w:val="FF0000"/>
        </w:rPr>
        <w:t>and forward</w:t>
      </w:r>
      <w:r w:rsidR="00B70EBE">
        <w:rPr>
          <w:color w:val="FF0000"/>
        </w:rPr>
        <w:t>ed</w:t>
      </w:r>
      <w:r w:rsidR="003A2430" w:rsidRPr="00B70EBE">
        <w:rPr>
          <w:color w:val="FF0000"/>
        </w:rPr>
        <w:t xml:space="preserve"> to AMF even though the gNB </w:t>
      </w:r>
      <w:r w:rsidR="00B70EBE">
        <w:rPr>
          <w:color w:val="FF0000"/>
        </w:rPr>
        <w:t xml:space="preserve">itself </w:t>
      </w:r>
      <w:r w:rsidR="003A2430" w:rsidRPr="00B70EBE">
        <w:rPr>
          <w:color w:val="FF0000"/>
        </w:rPr>
        <w:t>may not be an IAB-donor.</w:t>
      </w:r>
    </w:p>
    <w:p w14:paraId="2DFABBF2" w14:textId="562AA7EA" w:rsidR="00C404C3" w:rsidRDefault="00C404C3" w:rsidP="009E6A9B">
      <w:pPr>
        <w:numPr>
          <w:ilvl w:val="0"/>
          <w:numId w:val="5"/>
        </w:numPr>
        <w:spacing w:after="0" w:line="276" w:lineRule="auto"/>
        <w:ind w:left="1156"/>
        <w:jc w:val="both"/>
        <w:rPr>
          <w:ins w:id="26" w:author="Pranav Jha" w:date="2022-05-18T05:42:00Z"/>
          <w:color w:val="FF0000"/>
        </w:rPr>
      </w:pPr>
      <w:r>
        <w:rPr>
          <w:color w:val="FF0000"/>
        </w:rPr>
        <w:t>No impact otherwise</w:t>
      </w:r>
      <w:r w:rsidR="003D5F57">
        <w:rPr>
          <w:color w:val="FF0000"/>
        </w:rPr>
        <w:t>.</w:t>
      </w:r>
    </w:p>
    <w:p w14:paraId="3D789120" w14:textId="4EF13744" w:rsidR="00F04144" w:rsidRPr="009E6A9B" w:rsidRDefault="00F04144" w:rsidP="009E6A9B">
      <w:pPr>
        <w:numPr>
          <w:ilvl w:val="0"/>
          <w:numId w:val="5"/>
        </w:numPr>
        <w:spacing w:after="0" w:line="276" w:lineRule="auto"/>
        <w:ind w:left="1156"/>
        <w:jc w:val="both"/>
        <w:rPr>
          <w:color w:val="FF0000"/>
        </w:rPr>
      </w:pPr>
      <w:ins w:id="27" w:author="Pranav Jha" w:date="2022-05-18T05:42:00Z">
        <w:r>
          <w:rPr>
            <w:color w:val="FF0000"/>
          </w:rPr>
          <w:lastRenderedPageBreak/>
          <w:t>Editor’s note: This above</w:t>
        </w:r>
        <w:r>
          <w:rPr>
            <w:color w:val="FF0000"/>
          </w:rPr>
          <w:t>-</w:t>
        </w:r>
        <w:r>
          <w:rPr>
            <w:color w:val="FF0000"/>
          </w:rPr>
          <w:t xml:space="preserve">mentioned point needs to be coordinated with RAN </w:t>
        </w:r>
      </w:ins>
      <w:ins w:id="28" w:author="Pranav Jha" w:date="2022-05-18T05:44:00Z">
        <w:r>
          <w:rPr>
            <w:color w:val="FF0000"/>
          </w:rPr>
          <w:t xml:space="preserve">working </w:t>
        </w:r>
      </w:ins>
      <w:ins w:id="29" w:author="Pranav Jha" w:date="2022-05-18T05:42:00Z">
        <w:r>
          <w:rPr>
            <w:color w:val="FF0000"/>
          </w:rPr>
          <w:t>groups.</w:t>
        </w:r>
      </w:ins>
    </w:p>
    <w:p w14:paraId="63F93391" w14:textId="3B41A6DD" w:rsidR="000C4649" w:rsidRDefault="00EA2223" w:rsidP="009E6A9B">
      <w:pPr>
        <w:numPr>
          <w:ilvl w:val="0"/>
          <w:numId w:val="2"/>
        </w:numPr>
        <w:ind w:left="360"/>
      </w:pPr>
      <w:r>
        <w:t>5G Core NFs:</w:t>
      </w:r>
    </w:p>
    <w:p w14:paraId="74330445" w14:textId="4753DAF4" w:rsidR="003A2430" w:rsidRPr="009E6A9B" w:rsidRDefault="003A2430" w:rsidP="009E6A9B">
      <w:pPr>
        <w:numPr>
          <w:ilvl w:val="0"/>
          <w:numId w:val="2"/>
        </w:numPr>
        <w:pBdr>
          <w:top w:val="nil"/>
          <w:left w:val="nil"/>
          <w:bottom w:val="nil"/>
          <w:right w:val="nil"/>
          <w:between w:val="nil"/>
        </w:pBdr>
        <w:rPr>
          <w:color w:val="FF0000"/>
        </w:rPr>
      </w:pPr>
      <w:r w:rsidRPr="009E6A9B">
        <w:rPr>
          <w:color w:val="FF0000"/>
        </w:rPr>
        <w:t>FFS</w:t>
      </w:r>
      <w:r w:rsidR="00D2440E">
        <w:rPr>
          <w:color w:val="FF0000"/>
        </w:rPr>
        <w:t>: Limited impact, dependent on the open discussion point highlighted above.</w:t>
      </w:r>
    </w:p>
    <w:p w14:paraId="7B46B8C1" w14:textId="77777777" w:rsidR="00F04144" w:rsidRDefault="00A26D11" w:rsidP="00C404C3">
      <w:pPr>
        <w:numPr>
          <w:ilvl w:val="0"/>
          <w:numId w:val="5"/>
        </w:numPr>
        <w:spacing w:after="0" w:line="276" w:lineRule="auto"/>
        <w:ind w:left="1156"/>
        <w:jc w:val="both"/>
        <w:rPr>
          <w:ins w:id="30" w:author="Pranav Jha" w:date="2022-05-18T05:41:00Z"/>
          <w:color w:val="FF0000"/>
        </w:rPr>
      </w:pPr>
      <w:r>
        <w:rPr>
          <w:color w:val="FF0000"/>
        </w:rPr>
        <w:t>If the Core needs to treat the MBSR as an IAB-node.</w:t>
      </w:r>
      <w:r w:rsidR="000528B8">
        <w:rPr>
          <w:color w:val="FF0000"/>
        </w:rPr>
        <w:t xml:space="preserve"> </w:t>
      </w:r>
      <w:r>
        <w:rPr>
          <w:color w:val="FF0000"/>
        </w:rPr>
        <w:t>Two related aspects are as follows:</w:t>
      </w:r>
      <w:r w:rsidR="00C404C3">
        <w:rPr>
          <w:color w:val="FF0000"/>
        </w:rPr>
        <w:t xml:space="preserve"> </w:t>
      </w:r>
      <w:r w:rsidRPr="00C404C3">
        <w:rPr>
          <w:color w:val="FF0000"/>
        </w:rPr>
        <w:t>I</w:t>
      </w:r>
      <w:r w:rsidR="003C1141" w:rsidRPr="009E6A9B">
        <w:rPr>
          <w:color w:val="FF0000"/>
        </w:rPr>
        <w:t xml:space="preserve">f </w:t>
      </w:r>
      <w:r w:rsidRPr="00C404C3">
        <w:rPr>
          <w:color w:val="FF0000"/>
        </w:rPr>
        <w:t xml:space="preserve">the </w:t>
      </w:r>
      <w:r w:rsidR="00EA2223" w:rsidRPr="00F87D9F">
        <w:rPr>
          <w:color w:val="FF0000"/>
        </w:rPr>
        <w:t xml:space="preserve">MBSR identity </w:t>
      </w:r>
      <w:r w:rsidR="003A2430" w:rsidRPr="00F87D9F">
        <w:rPr>
          <w:color w:val="FF0000"/>
        </w:rPr>
        <w:t xml:space="preserve">may need to be </w:t>
      </w:r>
      <w:r w:rsidR="00EA2223" w:rsidRPr="00F87D9F">
        <w:rPr>
          <w:color w:val="FF0000"/>
        </w:rPr>
        <w:t>included in the IAB-MT’s ‘Initial NAS message’ to AMF as specified in clause 5.35.2 of TS 23.501</w:t>
      </w:r>
      <w:r w:rsidR="00C404C3" w:rsidRPr="00C404C3">
        <w:rPr>
          <w:color w:val="FF0000"/>
        </w:rPr>
        <w:t xml:space="preserve">. </w:t>
      </w:r>
      <w:r w:rsidRPr="00C404C3">
        <w:rPr>
          <w:color w:val="FF0000"/>
        </w:rPr>
        <w:t>I</w:t>
      </w:r>
      <w:r w:rsidR="003C1141" w:rsidRPr="009E6A9B">
        <w:rPr>
          <w:color w:val="FF0000"/>
        </w:rPr>
        <w:t xml:space="preserve">f </w:t>
      </w:r>
      <w:r w:rsidRPr="00C404C3">
        <w:rPr>
          <w:color w:val="FF0000"/>
        </w:rPr>
        <w:t xml:space="preserve">the 5GC </w:t>
      </w:r>
      <w:r w:rsidR="003C1141" w:rsidRPr="009E6A9B">
        <w:rPr>
          <w:color w:val="FF0000"/>
        </w:rPr>
        <w:t>should r</w:t>
      </w:r>
      <w:r w:rsidR="000C4649" w:rsidRPr="009E6A9B">
        <w:rPr>
          <w:color w:val="FF0000"/>
        </w:rPr>
        <w:t xml:space="preserve">eceive </w:t>
      </w:r>
      <w:r w:rsidR="001F3331" w:rsidRPr="00C404C3">
        <w:rPr>
          <w:color w:val="FF0000"/>
        </w:rPr>
        <w:t xml:space="preserve">an “IAB-Indication” as part of the AN </w:t>
      </w:r>
      <w:proofErr w:type="gramStart"/>
      <w:r w:rsidR="001F3331" w:rsidRPr="00C404C3">
        <w:rPr>
          <w:color w:val="FF0000"/>
        </w:rPr>
        <w:t>parameter</w:t>
      </w:r>
      <w:r w:rsidR="000A601C">
        <w:rPr>
          <w:color w:val="FF0000"/>
        </w:rPr>
        <w:t>s</w:t>
      </w:r>
      <w:proofErr w:type="gramEnd"/>
      <w:r w:rsidR="001F3331" w:rsidRPr="00C404C3">
        <w:rPr>
          <w:color w:val="FF0000"/>
        </w:rPr>
        <w:t xml:space="preserve"> in the “</w:t>
      </w:r>
      <w:r w:rsidR="001F3331" w:rsidRPr="009E6A9B">
        <w:rPr>
          <w:color w:val="FF0000"/>
        </w:rPr>
        <w:t>NGAP Initial UE message</w:t>
      </w:r>
      <w:r w:rsidR="001F3331" w:rsidRPr="00C404C3">
        <w:rPr>
          <w:color w:val="FF0000"/>
        </w:rPr>
        <w:t xml:space="preserve">” during registration of the </w:t>
      </w:r>
      <w:r w:rsidR="000C4649" w:rsidRPr="009E6A9B">
        <w:rPr>
          <w:color w:val="FF0000"/>
        </w:rPr>
        <w:t xml:space="preserve">IAB-MT of the </w:t>
      </w:r>
      <w:r w:rsidR="001F3331" w:rsidRPr="00C404C3">
        <w:rPr>
          <w:color w:val="FF0000"/>
        </w:rPr>
        <w:t>MBSR.</w:t>
      </w:r>
      <w:ins w:id="31" w:author="Pranav Jha" w:date="2022-05-18T05:40:00Z">
        <w:r w:rsidR="00F04144">
          <w:rPr>
            <w:color w:val="FF0000"/>
          </w:rPr>
          <w:t xml:space="preserve"> </w:t>
        </w:r>
      </w:ins>
    </w:p>
    <w:p w14:paraId="74D6E973" w14:textId="10D17947" w:rsidR="001F3331" w:rsidRPr="00C404C3" w:rsidRDefault="00F04144" w:rsidP="00C404C3">
      <w:pPr>
        <w:numPr>
          <w:ilvl w:val="0"/>
          <w:numId w:val="5"/>
        </w:numPr>
        <w:spacing w:after="0" w:line="276" w:lineRule="auto"/>
        <w:ind w:left="1156"/>
        <w:jc w:val="both"/>
        <w:rPr>
          <w:color w:val="FF0000"/>
        </w:rPr>
      </w:pPr>
      <w:ins w:id="32" w:author="Pranav Jha" w:date="2022-05-18T05:41:00Z">
        <w:r>
          <w:rPr>
            <w:color w:val="FF0000"/>
          </w:rPr>
          <w:t>Editor’s note: This above</w:t>
        </w:r>
      </w:ins>
      <w:ins w:id="33" w:author="Pranav Jha" w:date="2022-05-18T05:42:00Z">
        <w:r>
          <w:rPr>
            <w:color w:val="FF0000"/>
          </w:rPr>
          <w:t>-</w:t>
        </w:r>
      </w:ins>
      <w:ins w:id="34" w:author="Pranav Jha" w:date="2022-05-18T05:41:00Z">
        <w:r>
          <w:rPr>
            <w:color w:val="FF0000"/>
          </w:rPr>
          <w:t>mentioned point needs t</w:t>
        </w:r>
      </w:ins>
      <w:ins w:id="35" w:author="Pranav Jha" w:date="2022-05-18T05:40:00Z">
        <w:r>
          <w:rPr>
            <w:color w:val="FF0000"/>
          </w:rPr>
          <w:t xml:space="preserve">o be coordinated with RAN </w:t>
        </w:r>
      </w:ins>
      <w:ins w:id="36" w:author="Pranav Jha" w:date="2022-05-18T05:44:00Z">
        <w:r>
          <w:rPr>
            <w:color w:val="FF0000"/>
          </w:rPr>
          <w:t xml:space="preserve">working </w:t>
        </w:r>
      </w:ins>
      <w:ins w:id="37" w:author="Pranav Jha" w:date="2022-05-18T05:40:00Z">
        <w:r>
          <w:rPr>
            <w:color w:val="FF0000"/>
          </w:rPr>
          <w:t>groups.</w:t>
        </w:r>
      </w:ins>
    </w:p>
    <w:p w14:paraId="5F868156" w14:textId="77777777" w:rsidR="00C404C3" w:rsidRPr="009E6A9B" w:rsidRDefault="00C404C3" w:rsidP="009E6A9B">
      <w:pPr>
        <w:spacing w:after="0" w:line="276" w:lineRule="auto"/>
        <w:ind w:left="1156"/>
        <w:jc w:val="both"/>
        <w:rPr>
          <w:color w:val="FF0000"/>
        </w:rPr>
      </w:pPr>
    </w:p>
    <w:p w14:paraId="000000A6" w14:textId="3B8EA5D6" w:rsidR="00E16171" w:rsidRDefault="00EA2223" w:rsidP="009E6A9B">
      <w:pPr>
        <w:numPr>
          <w:ilvl w:val="0"/>
          <w:numId w:val="2"/>
        </w:numPr>
        <w:pBdr>
          <w:top w:val="nil"/>
          <w:left w:val="nil"/>
          <w:bottom w:val="nil"/>
          <w:right w:val="nil"/>
          <w:between w:val="nil"/>
        </w:pBdr>
        <w:ind w:left="360" w:hanging="360"/>
      </w:pPr>
      <w:r>
        <w:t>M</w:t>
      </w:r>
      <w:r w:rsidR="00493504">
        <w:t>BSR</w:t>
      </w:r>
      <w:r>
        <w:t>:</w:t>
      </w:r>
    </w:p>
    <w:p w14:paraId="000000A7" w14:textId="4F03CD5D" w:rsidR="00E16171" w:rsidRDefault="00EA2223" w:rsidP="009E6A9B">
      <w:pPr>
        <w:numPr>
          <w:ilvl w:val="0"/>
          <w:numId w:val="5"/>
        </w:numPr>
        <w:spacing w:after="0" w:line="276" w:lineRule="auto"/>
        <w:ind w:left="1156"/>
        <w:jc w:val="both"/>
      </w:pPr>
      <w:r>
        <w:t>M</w:t>
      </w:r>
      <w:r w:rsidR="00493504">
        <w:t>BSR</w:t>
      </w:r>
      <w:r>
        <w:t xml:space="preserve"> has </w:t>
      </w:r>
      <w:r w:rsidR="00E11F1E">
        <w:t xml:space="preserve">support for </w:t>
      </w:r>
      <w:r>
        <w:t xml:space="preserve">the gNB-DU </w:t>
      </w:r>
      <w:r w:rsidR="00E11F1E">
        <w:t xml:space="preserve">functionality </w:t>
      </w:r>
      <w:r>
        <w:t xml:space="preserve">along with </w:t>
      </w:r>
      <w:r w:rsidR="00D2440E">
        <w:t xml:space="preserve">support </w:t>
      </w:r>
      <w:r>
        <w:t>for IAB-MT functionality.</w:t>
      </w:r>
    </w:p>
    <w:p w14:paraId="5FEA4B2A" w14:textId="77777777" w:rsidR="007E66DF" w:rsidRDefault="007E66DF" w:rsidP="007E66DF">
      <w:pPr>
        <w:spacing w:after="0" w:line="276" w:lineRule="auto"/>
        <w:ind w:left="1156"/>
        <w:jc w:val="both"/>
      </w:pPr>
    </w:p>
    <w:p w14:paraId="000000A9" w14:textId="20785706" w:rsidR="00E16171" w:rsidRDefault="00FF0982" w:rsidP="009E6A9B">
      <w:pPr>
        <w:numPr>
          <w:ilvl w:val="0"/>
          <w:numId w:val="2"/>
        </w:numPr>
        <w:pBdr>
          <w:top w:val="nil"/>
          <w:left w:val="nil"/>
          <w:bottom w:val="nil"/>
          <w:right w:val="nil"/>
          <w:between w:val="nil"/>
        </w:pBdr>
        <w:ind w:left="360" w:hanging="360"/>
      </w:pPr>
      <w:r>
        <w:t>IAB-donor</w:t>
      </w:r>
      <w:r w:rsidR="00EA2223">
        <w:t>:</w:t>
      </w:r>
    </w:p>
    <w:p w14:paraId="4A5C7EEA" w14:textId="73F84851" w:rsidR="003C1141" w:rsidRDefault="00EA2223" w:rsidP="009E6A9B">
      <w:pPr>
        <w:pBdr>
          <w:top w:val="nil"/>
          <w:left w:val="nil"/>
          <w:bottom w:val="nil"/>
          <w:right w:val="nil"/>
          <w:between w:val="nil"/>
        </w:pBdr>
        <w:ind w:left="567" w:hanging="284"/>
        <w:rPr>
          <w:ins w:id="38" w:author="Pranav Jha" w:date="2022-05-18T05:27:00Z"/>
        </w:rPr>
      </w:pPr>
      <w:r>
        <w:t>-</w:t>
      </w:r>
      <w:r>
        <w:tab/>
        <w:t xml:space="preserve">It comprises the standard gNB-CU </w:t>
      </w:r>
      <w:r w:rsidR="00E11F1E">
        <w:t xml:space="preserve">functionality </w:t>
      </w:r>
      <w:r>
        <w:t>along with N6 interface support for connectivity to UPF.</w:t>
      </w:r>
      <w:r w:rsidR="003C1141">
        <w:t xml:space="preserve"> IAB-DU functionality is not present.</w:t>
      </w:r>
    </w:p>
    <w:p w14:paraId="2A93BD5D" w14:textId="1F9B98B1" w:rsidR="00AF0E12" w:rsidRPr="00EF7660" w:rsidRDefault="00AF0E12" w:rsidP="009E6A9B">
      <w:pPr>
        <w:pBdr>
          <w:top w:val="nil"/>
          <w:left w:val="nil"/>
          <w:bottom w:val="nil"/>
          <w:right w:val="nil"/>
          <w:between w:val="nil"/>
        </w:pBdr>
        <w:ind w:left="567" w:hanging="284"/>
        <w:rPr>
          <w:color w:val="FF0000"/>
        </w:rPr>
      </w:pPr>
      <w:ins w:id="39" w:author="Pranav Jha" w:date="2022-05-18T05:27:00Z">
        <w:r w:rsidRPr="00EF7660">
          <w:rPr>
            <w:color w:val="FF0000"/>
          </w:rPr>
          <w:t>Editor’s note:</w:t>
        </w:r>
      </w:ins>
      <w:ins w:id="40" w:author="Pranav Jha" w:date="2022-05-18T05:28:00Z">
        <w:r w:rsidRPr="00EF7660">
          <w:rPr>
            <w:color w:val="FF0000"/>
          </w:rPr>
          <w:tab/>
        </w:r>
      </w:ins>
      <w:ins w:id="41" w:author="Pranav Jha" w:date="2022-05-18T05:29:00Z">
        <w:r>
          <w:rPr>
            <w:color w:val="FF0000"/>
          </w:rPr>
          <w:t xml:space="preserve"> </w:t>
        </w:r>
      </w:ins>
      <w:ins w:id="42" w:author="Pranav Jha" w:date="2022-05-18T05:28:00Z">
        <w:r w:rsidRPr="00EF7660">
          <w:rPr>
            <w:color w:val="FF0000"/>
          </w:rPr>
          <w:t xml:space="preserve">How </w:t>
        </w:r>
      </w:ins>
      <w:ins w:id="43" w:author="Pranav Jha" w:date="2022-05-18T05:29:00Z">
        <w:r>
          <w:rPr>
            <w:color w:val="FF0000"/>
          </w:rPr>
          <w:t xml:space="preserve">to </w:t>
        </w:r>
      </w:ins>
      <w:ins w:id="44" w:author="Pranav Jha" w:date="2022-05-18T05:34:00Z">
        <w:r>
          <w:rPr>
            <w:color w:val="FF0000"/>
          </w:rPr>
          <w:t xml:space="preserve">allocate radio resources to MBSR </w:t>
        </w:r>
      </w:ins>
      <w:ins w:id="45" w:author="Pranav Jha" w:date="2022-05-18T05:35:00Z">
        <w:r>
          <w:rPr>
            <w:color w:val="FF0000"/>
          </w:rPr>
          <w:t xml:space="preserve">so as to </w:t>
        </w:r>
      </w:ins>
      <w:ins w:id="46" w:author="Pranav Jha" w:date="2022-05-18T05:28:00Z">
        <w:r w:rsidRPr="00EF7660">
          <w:rPr>
            <w:color w:val="FF0000"/>
          </w:rPr>
          <w:t xml:space="preserve">ensure low interference between the </w:t>
        </w:r>
      </w:ins>
      <w:ins w:id="47" w:author="Pranav Jha" w:date="2022-05-18T05:30:00Z">
        <w:r>
          <w:rPr>
            <w:color w:val="FF0000"/>
          </w:rPr>
          <w:t>MB</w:t>
        </w:r>
      </w:ins>
      <w:ins w:id="48" w:author="Pranav Jha" w:date="2022-05-18T05:31:00Z">
        <w:r>
          <w:rPr>
            <w:color w:val="FF0000"/>
          </w:rPr>
          <w:t xml:space="preserve">SR and the </w:t>
        </w:r>
      </w:ins>
      <w:proofErr w:type="spellStart"/>
      <w:ins w:id="49" w:author="Pranav Jha" w:date="2022-05-18T05:28:00Z">
        <w:r w:rsidRPr="00EF7660">
          <w:rPr>
            <w:color w:val="FF0000"/>
          </w:rPr>
          <w:t>gNB</w:t>
        </w:r>
        <w:proofErr w:type="spellEnd"/>
        <w:r w:rsidRPr="00EF7660">
          <w:rPr>
            <w:color w:val="FF0000"/>
          </w:rPr>
          <w:t xml:space="preserve"> serving the</w:t>
        </w:r>
      </w:ins>
      <w:ins w:id="50" w:author="Pranav Jha" w:date="2022-05-18T05:30:00Z">
        <w:r>
          <w:rPr>
            <w:color w:val="FF0000"/>
          </w:rPr>
          <w:t xml:space="preserve"> MBSR</w:t>
        </w:r>
      </w:ins>
      <w:ins w:id="51" w:author="Pranav Jha" w:date="2022-05-18T05:28:00Z">
        <w:r w:rsidRPr="00EF7660">
          <w:rPr>
            <w:color w:val="FF0000"/>
          </w:rPr>
          <w:t xml:space="preserve"> </w:t>
        </w:r>
      </w:ins>
      <w:ins w:id="52" w:author="Pranav Jha" w:date="2022-05-18T05:32:00Z">
        <w:r>
          <w:rPr>
            <w:color w:val="FF0000"/>
          </w:rPr>
          <w:t xml:space="preserve">and </w:t>
        </w:r>
      </w:ins>
      <w:ins w:id="53" w:author="Pranav Jha" w:date="2022-05-18T05:34:00Z">
        <w:r>
          <w:rPr>
            <w:color w:val="FF0000"/>
          </w:rPr>
          <w:t xml:space="preserve">also </w:t>
        </w:r>
      </w:ins>
      <w:ins w:id="54" w:author="Pranav Jha" w:date="2022-05-18T05:33:00Z">
        <w:r>
          <w:rPr>
            <w:color w:val="FF0000"/>
          </w:rPr>
          <w:t xml:space="preserve">between the MBSR and </w:t>
        </w:r>
      </w:ins>
      <w:ins w:id="55" w:author="Pranav Jha" w:date="2022-05-18T05:28:00Z">
        <w:r w:rsidRPr="00EF7660">
          <w:rPr>
            <w:color w:val="FF0000"/>
          </w:rPr>
          <w:t>other neighbo</w:t>
        </w:r>
      </w:ins>
      <w:ins w:id="56" w:author="Pranav Jha" w:date="2022-05-18T05:30:00Z">
        <w:r>
          <w:rPr>
            <w:color w:val="FF0000"/>
          </w:rPr>
          <w:t>u</w:t>
        </w:r>
      </w:ins>
      <w:ins w:id="57" w:author="Pranav Jha" w:date="2022-05-18T05:28:00Z">
        <w:r w:rsidRPr="00EF7660">
          <w:rPr>
            <w:color w:val="FF0000"/>
          </w:rPr>
          <w:t xml:space="preserve">ring </w:t>
        </w:r>
        <w:proofErr w:type="spellStart"/>
        <w:r w:rsidRPr="00EF7660">
          <w:rPr>
            <w:color w:val="FF0000"/>
          </w:rPr>
          <w:t>gNB</w:t>
        </w:r>
      </w:ins>
      <w:ins w:id="58" w:author="Pranav Jha" w:date="2022-05-18T05:30:00Z">
        <w:r>
          <w:rPr>
            <w:color w:val="FF0000"/>
          </w:rPr>
          <w:t>s</w:t>
        </w:r>
      </w:ins>
      <w:proofErr w:type="spellEnd"/>
      <w:ins w:id="59" w:author="Pranav Jha" w:date="2022-05-18T05:28:00Z">
        <w:r w:rsidRPr="00EF7660">
          <w:rPr>
            <w:color w:val="FF0000"/>
          </w:rPr>
          <w:t xml:space="preserve"> </w:t>
        </w:r>
      </w:ins>
      <w:ins w:id="60" w:author="Pranav Jha" w:date="2022-05-18T05:30:00Z">
        <w:r w:rsidRPr="00AF0E12">
          <w:rPr>
            <w:color w:val="FF0000"/>
          </w:rPr>
          <w:t>needs to be coordinated with RAN WGs</w:t>
        </w:r>
        <w:r>
          <w:rPr>
            <w:color w:val="FF0000"/>
          </w:rPr>
          <w:t>.</w:t>
        </w:r>
      </w:ins>
    </w:p>
    <w:bookmarkEnd w:id="15"/>
    <w:p w14:paraId="000000AC" w14:textId="78D29ED3" w:rsidR="00E16171" w:rsidRDefault="00A25B66" w:rsidP="00A25B66">
      <w:pPr>
        <w:keepLines/>
        <w:pBdr>
          <w:top w:val="nil"/>
          <w:left w:val="nil"/>
          <w:bottom w:val="nil"/>
          <w:right w:val="nil"/>
          <w:between w:val="nil"/>
        </w:pBdr>
        <w:ind w:left="1135" w:hanging="851"/>
      </w:pPr>
      <w:r>
        <w:t>There is no impact on interfaces and services</w:t>
      </w:r>
    </w:p>
    <w:p w14:paraId="4323FD83" w14:textId="77777777" w:rsidR="00A25B66" w:rsidRDefault="00A25B66" w:rsidP="00826A6C">
      <w:pPr>
        <w:keepLines/>
        <w:pBdr>
          <w:top w:val="nil"/>
          <w:left w:val="nil"/>
          <w:bottom w:val="nil"/>
          <w:right w:val="nil"/>
          <w:between w:val="nil"/>
        </w:pBdr>
        <w:ind w:left="1135" w:hanging="851"/>
      </w:pPr>
    </w:p>
    <w:p w14:paraId="000000AD"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r>
        <w:rPr>
          <w:b/>
          <w:color w:val="FF0000"/>
        </w:rPr>
        <w:t>END OF CHANGES</w:t>
      </w:r>
    </w:p>
    <w:p w14:paraId="000000AE" w14:textId="77777777" w:rsidR="00E16171" w:rsidRDefault="00E16171"/>
    <w:sectPr w:rsidR="00E16171">
      <w:headerReference w:type="even" r:id="rId18"/>
      <w:headerReference w:type="default" r:id="rId19"/>
      <w:footerReference w:type="default" r:id="rId20"/>
      <w:pgSz w:w="11906" w:h="16838"/>
      <w:pgMar w:top="1134" w:right="1134" w:bottom="1134" w:left="1134" w:header="73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65CC0" w14:textId="77777777" w:rsidR="00526D0A" w:rsidRDefault="00526D0A">
      <w:pPr>
        <w:spacing w:after="0"/>
      </w:pPr>
      <w:r>
        <w:separator/>
      </w:r>
    </w:p>
  </w:endnote>
  <w:endnote w:type="continuationSeparator" w:id="0">
    <w:p w14:paraId="3B63450A" w14:textId="77777777" w:rsidR="00526D0A" w:rsidRDefault="00526D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4" w14:textId="77777777" w:rsidR="00E16171" w:rsidRDefault="00EA2223">
    <w:pPr>
      <w:rPr>
        <w:rFonts w:ascii="Arial" w:eastAsia="Arial" w:hAnsi="Arial" w:cs="Arial"/>
        <w:b/>
        <w:i/>
        <w:sz w:val="18"/>
        <w:szCs w:val="18"/>
      </w:rPr>
    </w:pPr>
    <w:r>
      <w:rPr>
        <w:rFonts w:ascii="Arial" w:eastAsia="Arial" w:hAnsi="Arial" w:cs="Arial"/>
        <w:b/>
        <w:i/>
        <w:sz w:val="18"/>
        <w:szCs w:val="18"/>
      </w:rPr>
      <w:t>3GPP</w:t>
    </w:r>
  </w:p>
  <w:p w14:paraId="000000B5" w14:textId="77777777" w:rsidR="00E16171" w:rsidRDefault="00EA2223">
    <w:pPr>
      <w:rPr>
        <w:rFonts w:ascii="Arial" w:eastAsia="Arial" w:hAnsi="Arial" w:cs="Arial"/>
        <w:b/>
        <w:i/>
        <w:sz w:val="18"/>
        <w:szCs w:val="18"/>
      </w:rPr>
    </w:pPr>
    <w:r>
      <w:rPr>
        <w:rFonts w:ascii="Arial" w:eastAsia="Arial" w:hAnsi="Arial" w:cs="Arial"/>
        <w:b/>
        <w:i/>
        <w:sz w:val="18"/>
        <w:szCs w:val="18"/>
      </w:rPr>
      <w:t>SA WG2 TD</w:t>
    </w:r>
  </w:p>
  <w:p w14:paraId="000000B6" w14:textId="77777777" w:rsidR="00E16171" w:rsidRDefault="00E161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C3C7A" w14:textId="77777777" w:rsidR="00526D0A" w:rsidRDefault="00526D0A">
      <w:pPr>
        <w:spacing w:after="0"/>
      </w:pPr>
      <w:r>
        <w:separator/>
      </w:r>
    </w:p>
  </w:footnote>
  <w:footnote w:type="continuationSeparator" w:id="0">
    <w:p w14:paraId="2DBA7E58" w14:textId="77777777" w:rsidR="00526D0A" w:rsidRDefault="00526D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F" w14:textId="77777777" w:rsidR="00E16171" w:rsidRDefault="00E16171"/>
  <w:p w14:paraId="000000B0" w14:textId="77777777" w:rsidR="00E16171" w:rsidRDefault="00E161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1" w14:textId="77777777" w:rsidR="00E16171" w:rsidRDefault="00EA2223">
    <w:pPr>
      <w:rPr>
        <w:rFonts w:ascii="Arial" w:eastAsia="Arial" w:hAnsi="Arial" w:cs="Arial"/>
        <w:b/>
        <w:sz w:val="18"/>
        <w:szCs w:val="18"/>
      </w:rPr>
    </w:pPr>
    <w:r>
      <w:rPr>
        <w:rFonts w:ascii="Arial" w:eastAsia="Arial" w:hAnsi="Arial" w:cs="Arial"/>
        <w:b/>
        <w:sz w:val="18"/>
        <w:szCs w:val="18"/>
      </w:rPr>
      <w:t>SA WG2 Temporary Document</w:t>
    </w:r>
  </w:p>
  <w:p w14:paraId="000000B2" w14:textId="7FF6776B" w:rsidR="00E16171" w:rsidRDefault="00EA2223">
    <w:pPr>
      <w:jc w:val="center"/>
      <w:rPr>
        <w:rFonts w:ascii="Arial" w:eastAsia="Arial" w:hAnsi="Arial" w:cs="Arial"/>
        <w:b/>
        <w:sz w:val="18"/>
        <w:szCs w:val="18"/>
      </w:rPr>
    </w:pPr>
    <w:r>
      <w:rPr>
        <w:rFonts w:ascii="Arial" w:eastAsia="Arial" w:hAnsi="Arial" w:cs="Arial"/>
        <w:b/>
        <w:sz w:val="18"/>
        <w:szCs w:val="18"/>
      </w:rPr>
      <w:t xml:space="preserve">Page </w:t>
    </w: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074212">
      <w:rPr>
        <w:rFonts w:ascii="Arial" w:eastAsia="Arial" w:hAnsi="Arial" w:cs="Arial"/>
        <w:b/>
        <w:noProof/>
        <w:sz w:val="18"/>
        <w:szCs w:val="18"/>
      </w:rPr>
      <w:t>1</w:t>
    </w:r>
    <w:r>
      <w:rPr>
        <w:rFonts w:ascii="Arial" w:eastAsia="Arial" w:hAnsi="Arial" w:cs="Arial"/>
        <w:b/>
        <w:sz w:val="18"/>
        <w:szCs w:val="18"/>
      </w:rPr>
      <w:fldChar w:fldCharType="end"/>
    </w:r>
  </w:p>
  <w:p w14:paraId="000000B3" w14:textId="77777777" w:rsidR="00E16171" w:rsidRDefault="00E161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5D8"/>
    <w:multiLevelType w:val="multilevel"/>
    <w:tmpl w:val="8958664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15:restartNumberingAfterBreak="0">
    <w:nsid w:val="0E324901"/>
    <w:multiLevelType w:val="multilevel"/>
    <w:tmpl w:val="04EE68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C23D47"/>
    <w:multiLevelType w:val="multilevel"/>
    <w:tmpl w:val="6FDA6454"/>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1E2F1B0E"/>
    <w:multiLevelType w:val="multilevel"/>
    <w:tmpl w:val="616030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3A57F6"/>
    <w:multiLevelType w:val="multilevel"/>
    <w:tmpl w:val="7FC8A9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256A1991"/>
    <w:multiLevelType w:val="multilevel"/>
    <w:tmpl w:val="17E0385A"/>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 w15:restartNumberingAfterBreak="0">
    <w:nsid w:val="2B0E7813"/>
    <w:multiLevelType w:val="multilevel"/>
    <w:tmpl w:val="61C88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4957C07"/>
    <w:multiLevelType w:val="multilevel"/>
    <w:tmpl w:val="61C88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87B6007"/>
    <w:multiLevelType w:val="multilevel"/>
    <w:tmpl w:val="5636CE6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 w15:restartNumberingAfterBreak="0">
    <w:nsid w:val="4C7A3CA3"/>
    <w:multiLevelType w:val="multilevel"/>
    <w:tmpl w:val="01F20DF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4F2B73FD"/>
    <w:multiLevelType w:val="multilevel"/>
    <w:tmpl w:val="12DA98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C6952A1"/>
    <w:multiLevelType w:val="multilevel"/>
    <w:tmpl w:val="86144F66"/>
    <w:lvl w:ilvl="0">
      <w:start w:val="6"/>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2" w15:restartNumberingAfterBreak="0">
    <w:nsid w:val="76D171AE"/>
    <w:multiLevelType w:val="multilevel"/>
    <w:tmpl w:val="0394C03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776D74DA"/>
    <w:multiLevelType w:val="multilevel"/>
    <w:tmpl w:val="50C4EB84"/>
    <w:lvl w:ilvl="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038116101">
    <w:abstractNumId w:val="10"/>
  </w:num>
  <w:num w:numId="2" w16cid:durableId="161939767">
    <w:abstractNumId w:val="11"/>
  </w:num>
  <w:num w:numId="3" w16cid:durableId="634137578">
    <w:abstractNumId w:val="8"/>
  </w:num>
  <w:num w:numId="4" w16cid:durableId="1757630320">
    <w:abstractNumId w:val="0"/>
  </w:num>
  <w:num w:numId="5" w16cid:durableId="56441003">
    <w:abstractNumId w:val="4"/>
  </w:num>
  <w:num w:numId="6" w16cid:durableId="348332747">
    <w:abstractNumId w:val="6"/>
  </w:num>
  <w:num w:numId="7" w16cid:durableId="1007757881">
    <w:abstractNumId w:val="2"/>
  </w:num>
  <w:num w:numId="8" w16cid:durableId="798841914">
    <w:abstractNumId w:val="1"/>
  </w:num>
  <w:num w:numId="9" w16cid:durableId="1699313323">
    <w:abstractNumId w:val="13"/>
  </w:num>
  <w:num w:numId="10" w16cid:durableId="1860773243">
    <w:abstractNumId w:val="5"/>
  </w:num>
  <w:num w:numId="11" w16cid:durableId="1473790985">
    <w:abstractNumId w:val="9"/>
  </w:num>
  <w:num w:numId="12" w16cid:durableId="1731073918">
    <w:abstractNumId w:val="3"/>
  </w:num>
  <w:num w:numId="13" w16cid:durableId="2135828201">
    <w:abstractNumId w:val="12"/>
  </w:num>
  <w:num w:numId="14" w16cid:durableId="21202955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71"/>
    <w:rsid w:val="00005D28"/>
    <w:rsid w:val="00021FE5"/>
    <w:rsid w:val="000468C3"/>
    <w:rsid w:val="0004725A"/>
    <w:rsid w:val="000528B8"/>
    <w:rsid w:val="0005556D"/>
    <w:rsid w:val="00060DD2"/>
    <w:rsid w:val="000618BB"/>
    <w:rsid w:val="00074212"/>
    <w:rsid w:val="00081383"/>
    <w:rsid w:val="000835FD"/>
    <w:rsid w:val="0009269A"/>
    <w:rsid w:val="000A601C"/>
    <w:rsid w:val="000B1BE2"/>
    <w:rsid w:val="000C31A9"/>
    <w:rsid w:val="000C45C5"/>
    <w:rsid w:val="000C4649"/>
    <w:rsid w:val="000C76BE"/>
    <w:rsid w:val="000D0F3F"/>
    <w:rsid w:val="000E1448"/>
    <w:rsid w:val="000E395E"/>
    <w:rsid w:val="000E50F5"/>
    <w:rsid w:val="00103C56"/>
    <w:rsid w:val="00105C25"/>
    <w:rsid w:val="00107326"/>
    <w:rsid w:val="00126CF3"/>
    <w:rsid w:val="001272A9"/>
    <w:rsid w:val="00132C33"/>
    <w:rsid w:val="00152A35"/>
    <w:rsid w:val="00172211"/>
    <w:rsid w:val="00180770"/>
    <w:rsid w:val="00185240"/>
    <w:rsid w:val="00196FC5"/>
    <w:rsid w:val="0019740C"/>
    <w:rsid w:val="001A04F3"/>
    <w:rsid w:val="001A7991"/>
    <w:rsid w:val="001C2303"/>
    <w:rsid w:val="001E47BF"/>
    <w:rsid w:val="001E4961"/>
    <w:rsid w:val="001F1F7D"/>
    <w:rsid w:val="001F3331"/>
    <w:rsid w:val="00202659"/>
    <w:rsid w:val="002066ED"/>
    <w:rsid w:val="00215765"/>
    <w:rsid w:val="00217426"/>
    <w:rsid w:val="002340BE"/>
    <w:rsid w:val="0024610E"/>
    <w:rsid w:val="0025205E"/>
    <w:rsid w:val="00260625"/>
    <w:rsid w:val="00273C09"/>
    <w:rsid w:val="002C0164"/>
    <w:rsid w:val="002C2154"/>
    <w:rsid w:val="002C7C46"/>
    <w:rsid w:val="002E257F"/>
    <w:rsid w:val="002E63A9"/>
    <w:rsid w:val="002E7E13"/>
    <w:rsid w:val="003108C9"/>
    <w:rsid w:val="0031655A"/>
    <w:rsid w:val="0031720A"/>
    <w:rsid w:val="00330DF2"/>
    <w:rsid w:val="00340E26"/>
    <w:rsid w:val="00341125"/>
    <w:rsid w:val="003436B0"/>
    <w:rsid w:val="00355C32"/>
    <w:rsid w:val="00374F73"/>
    <w:rsid w:val="0038444A"/>
    <w:rsid w:val="00386E26"/>
    <w:rsid w:val="003935C7"/>
    <w:rsid w:val="003A2430"/>
    <w:rsid w:val="003C1141"/>
    <w:rsid w:val="003D2E9E"/>
    <w:rsid w:val="003D5DB0"/>
    <w:rsid w:val="003D5F57"/>
    <w:rsid w:val="003E3E0B"/>
    <w:rsid w:val="00401E0A"/>
    <w:rsid w:val="00410277"/>
    <w:rsid w:val="00422B56"/>
    <w:rsid w:val="00433303"/>
    <w:rsid w:val="00441F90"/>
    <w:rsid w:val="00442B40"/>
    <w:rsid w:val="00451954"/>
    <w:rsid w:val="00454A43"/>
    <w:rsid w:val="00456EDE"/>
    <w:rsid w:val="004812F2"/>
    <w:rsid w:val="00481343"/>
    <w:rsid w:val="00493504"/>
    <w:rsid w:val="004956BC"/>
    <w:rsid w:val="004964CA"/>
    <w:rsid w:val="00496506"/>
    <w:rsid w:val="004A067B"/>
    <w:rsid w:val="004B4BF8"/>
    <w:rsid w:val="004C1CD4"/>
    <w:rsid w:val="004C61EC"/>
    <w:rsid w:val="004D2C69"/>
    <w:rsid w:val="004F7C7A"/>
    <w:rsid w:val="005136B4"/>
    <w:rsid w:val="005211BF"/>
    <w:rsid w:val="005231C0"/>
    <w:rsid w:val="00526D0A"/>
    <w:rsid w:val="00531FF5"/>
    <w:rsid w:val="00532F2F"/>
    <w:rsid w:val="00541020"/>
    <w:rsid w:val="00552E2B"/>
    <w:rsid w:val="00553192"/>
    <w:rsid w:val="00556BEB"/>
    <w:rsid w:val="00556E21"/>
    <w:rsid w:val="00585962"/>
    <w:rsid w:val="005879FE"/>
    <w:rsid w:val="00591C60"/>
    <w:rsid w:val="005948EF"/>
    <w:rsid w:val="005963F7"/>
    <w:rsid w:val="005A5551"/>
    <w:rsid w:val="005A6334"/>
    <w:rsid w:val="005B61FA"/>
    <w:rsid w:val="005B636B"/>
    <w:rsid w:val="005C556F"/>
    <w:rsid w:val="00601C9E"/>
    <w:rsid w:val="00607548"/>
    <w:rsid w:val="00615AF1"/>
    <w:rsid w:val="00616DC5"/>
    <w:rsid w:val="00633514"/>
    <w:rsid w:val="0065127C"/>
    <w:rsid w:val="00657323"/>
    <w:rsid w:val="00661846"/>
    <w:rsid w:val="00684D42"/>
    <w:rsid w:val="0069099C"/>
    <w:rsid w:val="00691AC2"/>
    <w:rsid w:val="006C7A04"/>
    <w:rsid w:val="006D4F73"/>
    <w:rsid w:val="006F5C96"/>
    <w:rsid w:val="00700C83"/>
    <w:rsid w:val="0072018F"/>
    <w:rsid w:val="00723859"/>
    <w:rsid w:val="007710C7"/>
    <w:rsid w:val="0078457C"/>
    <w:rsid w:val="007858FC"/>
    <w:rsid w:val="007861DA"/>
    <w:rsid w:val="00786AE8"/>
    <w:rsid w:val="00791001"/>
    <w:rsid w:val="007A03B6"/>
    <w:rsid w:val="007A4DF1"/>
    <w:rsid w:val="007C2FF4"/>
    <w:rsid w:val="007C4FF4"/>
    <w:rsid w:val="007C6D8F"/>
    <w:rsid w:val="007D38F3"/>
    <w:rsid w:val="007E66DF"/>
    <w:rsid w:val="007F6AEA"/>
    <w:rsid w:val="00800A2A"/>
    <w:rsid w:val="00817395"/>
    <w:rsid w:val="008175CE"/>
    <w:rsid w:val="00820EE7"/>
    <w:rsid w:val="00826A6C"/>
    <w:rsid w:val="00842566"/>
    <w:rsid w:val="008706A8"/>
    <w:rsid w:val="00872658"/>
    <w:rsid w:val="00872ADE"/>
    <w:rsid w:val="00896F96"/>
    <w:rsid w:val="008B2E79"/>
    <w:rsid w:val="008C4D76"/>
    <w:rsid w:val="008D3553"/>
    <w:rsid w:val="008D3610"/>
    <w:rsid w:val="008E2E1A"/>
    <w:rsid w:val="008F58A7"/>
    <w:rsid w:val="00902189"/>
    <w:rsid w:val="00903AA6"/>
    <w:rsid w:val="00913433"/>
    <w:rsid w:val="00915B86"/>
    <w:rsid w:val="00916DE3"/>
    <w:rsid w:val="009200F2"/>
    <w:rsid w:val="009232D1"/>
    <w:rsid w:val="00930007"/>
    <w:rsid w:val="0093005F"/>
    <w:rsid w:val="00971ECD"/>
    <w:rsid w:val="00985899"/>
    <w:rsid w:val="009B2838"/>
    <w:rsid w:val="009C7698"/>
    <w:rsid w:val="009E607E"/>
    <w:rsid w:val="009E6A9B"/>
    <w:rsid w:val="009E7EE1"/>
    <w:rsid w:val="009F3CC5"/>
    <w:rsid w:val="00A25B66"/>
    <w:rsid w:val="00A26D11"/>
    <w:rsid w:val="00A5068B"/>
    <w:rsid w:val="00A55445"/>
    <w:rsid w:val="00A70018"/>
    <w:rsid w:val="00A75BE2"/>
    <w:rsid w:val="00A8312E"/>
    <w:rsid w:val="00A86F3D"/>
    <w:rsid w:val="00AA1710"/>
    <w:rsid w:val="00AA38E5"/>
    <w:rsid w:val="00AA56C9"/>
    <w:rsid w:val="00AB3B22"/>
    <w:rsid w:val="00AB5D32"/>
    <w:rsid w:val="00AD027F"/>
    <w:rsid w:val="00AD4404"/>
    <w:rsid w:val="00AF0E12"/>
    <w:rsid w:val="00AF2411"/>
    <w:rsid w:val="00AF3F8C"/>
    <w:rsid w:val="00B02F40"/>
    <w:rsid w:val="00B159FF"/>
    <w:rsid w:val="00B17608"/>
    <w:rsid w:val="00B2160E"/>
    <w:rsid w:val="00B259A1"/>
    <w:rsid w:val="00B3532C"/>
    <w:rsid w:val="00B357BF"/>
    <w:rsid w:val="00B372F5"/>
    <w:rsid w:val="00B37E81"/>
    <w:rsid w:val="00B41A89"/>
    <w:rsid w:val="00B522DD"/>
    <w:rsid w:val="00B556EB"/>
    <w:rsid w:val="00B66979"/>
    <w:rsid w:val="00B70EBE"/>
    <w:rsid w:val="00B75865"/>
    <w:rsid w:val="00B86B24"/>
    <w:rsid w:val="00B878BB"/>
    <w:rsid w:val="00BA6881"/>
    <w:rsid w:val="00BB4962"/>
    <w:rsid w:val="00BE2DB1"/>
    <w:rsid w:val="00C021DE"/>
    <w:rsid w:val="00C13A10"/>
    <w:rsid w:val="00C13DEA"/>
    <w:rsid w:val="00C15A3F"/>
    <w:rsid w:val="00C22364"/>
    <w:rsid w:val="00C34F02"/>
    <w:rsid w:val="00C36A86"/>
    <w:rsid w:val="00C404C3"/>
    <w:rsid w:val="00C4724A"/>
    <w:rsid w:val="00C4775A"/>
    <w:rsid w:val="00C50472"/>
    <w:rsid w:val="00C630E6"/>
    <w:rsid w:val="00C7331E"/>
    <w:rsid w:val="00C819C9"/>
    <w:rsid w:val="00C85CAD"/>
    <w:rsid w:val="00C875EF"/>
    <w:rsid w:val="00C91E77"/>
    <w:rsid w:val="00C92B36"/>
    <w:rsid w:val="00C96A12"/>
    <w:rsid w:val="00CA24B0"/>
    <w:rsid w:val="00CA6613"/>
    <w:rsid w:val="00CB4519"/>
    <w:rsid w:val="00CC39E7"/>
    <w:rsid w:val="00CE28F4"/>
    <w:rsid w:val="00CE5356"/>
    <w:rsid w:val="00CE6034"/>
    <w:rsid w:val="00CF3D62"/>
    <w:rsid w:val="00CF5C1B"/>
    <w:rsid w:val="00D02793"/>
    <w:rsid w:val="00D067B7"/>
    <w:rsid w:val="00D1455A"/>
    <w:rsid w:val="00D213EE"/>
    <w:rsid w:val="00D2440E"/>
    <w:rsid w:val="00D269C6"/>
    <w:rsid w:val="00D42284"/>
    <w:rsid w:val="00D6591E"/>
    <w:rsid w:val="00D67A8E"/>
    <w:rsid w:val="00D75B5F"/>
    <w:rsid w:val="00D90F40"/>
    <w:rsid w:val="00D95D36"/>
    <w:rsid w:val="00DB05BC"/>
    <w:rsid w:val="00DB74DF"/>
    <w:rsid w:val="00DD078E"/>
    <w:rsid w:val="00DD07E9"/>
    <w:rsid w:val="00DE0025"/>
    <w:rsid w:val="00E11F1E"/>
    <w:rsid w:val="00E121AC"/>
    <w:rsid w:val="00E16171"/>
    <w:rsid w:val="00E20C98"/>
    <w:rsid w:val="00E24618"/>
    <w:rsid w:val="00E24D23"/>
    <w:rsid w:val="00E42837"/>
    <w:rsid w:val="00E517AC"/>
    <w:rsid w:val="00E53D5B"/>
    <w:rsid w:val="00E5426B"/>
    <w:rsid w:val="00E80CF7"/>
    <w:rsid w:val="00EA2223"/>
    <w:rsid w:val="00EA2552"/>
    <w:rsid w:val="00EA3C57"/>
    <w:rsid w:val="00EB22D5"/>
    <w:rsid w:val="00ED6EAC"/>
    <w:rsid w:val="00EF7660"/>
    <w:rsid w:val="00F04144"/>
    <w:rsid w:val="00F1157F"/>
    <w:rsid w:val="00F14C0A"/>
    <w:rsid w:val="00F155F5"/>
    <w:rsid w:val="00F15AD6"/>
    <w:rsid w:val="00F16135"/>
    <w:rsid w:val="00F26CB9"/>
    <w:rsid w:val="00F4343C"/>
    <w:rsid w:val="00F55890"/>
    <w:rsid w:val="00F57115"/>
    <w:rsid w:val="00F671ED"/>
    <w:rsid w:val="00F87D9F"/>
    <w:rsid w:val="00F902BA"/>
    <w:rsid w:val="00FA2488"/>
    <w:rsid w:val="00FB7758"/>
    <w:rsid w:val="00FC5788"/>
    <w:rsid w:val="00FD423C"/>
    <w:rsid w:val="00FF0982"/>
    <w:rsid w:val="00FF3C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D61D3"/>
  <w15:docId w15:val="{0E80B178-9FF1-4041-968F-E436CC32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textAlignment w:val="baseline"/>
    </w:pPr>
    <w:rPr>
      <w:color w:val="000000"/>
      <w:lang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unhideWhenUsed/>
    <w:qFormat/>
    <w:pPr>
      <w:ind w:left="1701" w:hanging="1701"/>
      <w:outlineLvl w:val="4"/>
    </w:pPr>
    <w:rPr>
      <w:sz w:val="22"/>
    </w:rPr>
  </w:style>
  <w:style w:type="paragraph" w:styleId="Heading6">
    <w:name w:val="heading 6"/>
    <w:basedOn w:val="H6"/>
    <w:next w:val="Normal"/>
    <w:uiPriority w:val="9"/>
    <w:unhideWhenUsed/>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eastAsia="ja-JP"/>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DocumentMap">
    <w:name w:val="Document Map"/>
    <w:basedOn w:val="Normal"/>
    <w:link w:val="DocumentMapChar"/>
    <w:uiPriority w:val="99"/>
    <w:semiHidden/>
    <w:unhideWhenUsed/>
    <w:rsid w:val="007F6AEA"/>
    <w:pPr>
      <w:spacing w:after="0"/>
    </w:pPr>
    <w:rPr>
      <w:sz w:val="24"/>
      <w:szCs w:val="24"/>
    </w:rPr>
  </w:style>
  <w:style w:type="character" w:customStyle="1" w:styleId="DocumentMapChar">
    <w:name w:val="Document Map Char"/>
    <w:basedOn w:val="DefaultParagraphFont"/>
    <w:link w:val="DocumentMap"/>
    <w:uiPriority w:val="99"/>
    <w:semiHidden/>
    <w:rsid w:val="007F6AEA"/>
    <w:rPr>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yVcJXIZ9MBpXjudDbo/mGgIw4w==">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3502</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dc:creator>
  <cp:lastModifiedBy>Pranav Jha</cp:lastModifiedBy>
  <cp:revision>9</cp:revision>
  <dcterms:created xsi:type="dcterms:W3CDTF">2022-05-12T11:10:00Z</dcterms:created>
  <dcterms:modified xsi:type="dcterms:W3CDTF">2022-05-18T00:14:00Z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