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4B373DE"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02218</w:t>
      </w:r>
    </w:p>
    <w:p w14:paraId="01563314" w14:textId="4AC0C528"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016641DC"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p>
    <w:p w14:paraId="35973DE2" w14:textId="15412243"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494F75">
        <w:rPr>
          <w:rFonts w:ascii="Arial" w:hAnsi="Arial" w:cs="Arial"/>
          <w:b/>
          <w:bCs/>
          <w:lang w:val="en-US"/>
        </w:rPr>
        <w:t>New</w:t>
      </w:r>
      <w:r w:rsidR="0092647D" w:rsidRPr="0092647D">
        <w:rPr>
          <w:rFonts w:ascii="Arial" w:hAnsi="Arial" w:cs="Arial"/>
          <w:b/>
          <w:bCs/>
          <w:lang w:val="en-US"/>
        </w:rPr>
        <w:t xml:space="preserve"> </w:t>
      </w:r>
      <w:r w:rsidR="0092647D">
        <w:rPr>
          <w:rFonts w:ascii="Arial" w:hAnsi="Arial" w:cs="Arial"/>
          <w:b/>
          <w:bCs/>
          <w:lang w:val="en-US"/>
        </w:rPr>
        <w:t>s</w:t>
      </w:r>
      <w:r w:rsidR="00082424" w:rsidRPr="7FE3B52E">
        <w:rPr>
          <w:rFonts w:ascii="Arial" w:hAnsi="Arial" w:cs="Arial"/>
          <w:b/>
          <w:bCs/>
          <w:lang w:val="en-US"/>
        </w:rPr>
        <w:t>olution for KI</w:t>
      </w:r>
      <w:r w:rsidR="000F2EAA" w:rsidRPr="7FE3B52E">
        <w:rPr>
          <w:rFonts w:ascii="Arial" w:hAnsi="Arial" w:cs="Arial"/>
          <w:b/>
          <w:bCs/>
          <w:lang w:val="en-US"/>
        </w:rPr>
        <w:t>#</w:t>
      </w:r>
      <w:r w:rsidR="00CB1553">
        <w:rPr>
          <w:rFonts w:ascii="Arial" w:hAnsi="Arial" w:cs="Arial"/>
          <w:b/>
          <w:bCs/>
          <w:lang w:val="en-US"/>
        </w:rPr>
        <w:t>3</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0"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3" w:name="_Toc97526894"/>
      <w:bookmarkStart w:id="4" w:name="_Toc500949097"/>
      <w:bookmarkStart w:id="5" w:name="_Toc92875660"/>
      <w:bookmarkStart w:id="6" w:name="_Toc93070684"/>
      <w:bookmarkStart w:id="7" w:name="_Toc49966755"/>
      <w:bookmarkStart w:id="8" w:name="_Toc50390314"/>
      <w:bookmarkStart w:id="9" w:name="_Toc50450156"/>
      <w:bookmarkStart w:id="10" w:name="_Toc50450368"/>
      <w:bookmarkStart w:id="11" w:name="_Toc50451590"/>
      <w:bookmarkStart w:id="12" w:name="_Toc50451802"/>
      <w:bookmarkStart w:id="13" w:name="_Toc50464482"/>
      <w:bookmarkStart w:id="14" w:name="_Toc54378876"/>
      <w:bookmarkStart w:id="15" w:name="_Toc54776470"/>
      <w:bookmarkStart w:id="16" w:name="_Toc57373211"/>
      <w:bookmarkStart w:id="17" w:name="_Toc73524093"/>
      <w:bookmarkStart w:id="18" w:name="_Toc75324078"/>
      <w:bookmarkEnd w:id="1"/>
      <w:bookmarkEnd w:id="2"/>
      <w:r w:rsidRPr="004D3578">
        <w:t>2</w:t>
      </w:r>
      <w:r w:rsidRPr="004D3578">
        <w:tab/>
        <w:t>References</w:t>
      </w:r>
      <w:bookmarkEnd w:id="3"/>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19"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4E4EAA9" w14:textId="300CFEB7" w:rsidR="009C2801" w:rsidRDefault="00297567" w:rsidP="009C2801">
      <w:pPr>
        <w:pStyle w:val="EX"/>
        <w:rPr>
          <w:ins w:id="20" w:author="Paul Schliwa-Bertling" w:date="2022-03-22T09:37:00Z"/>
          <w:lang w:eastAsia="zh-CN"/>
        </w:rPr>
      </w:pPr>
      <w:ins w:id="21" w:author="Paul Schliwa-Bertling" w:date="2022-03-22T09:30:00Z">
        <w:r>
          <w:rPr>
            <w:lang w:eastAsia="zh-CN"/>
          </w:rPr>
          <w:t>[7]</w:t>
        </w:r>
        <w:r>
          <w:rPr>
            <w:lang w:eastAsia="zh-CN"/>
          </w:rPr>
          <w:tab/>
          <w:t>RFC 83</w:t>
        </w:r>
      </w:ins>
      <w:ins w:id="22" w:author="Paul Schliwa-Bertling" w:date="2022-03-22T09:31:00Z">
        <w:r>
          <w:rPr>
            <w:lang w:eastAsia="zh-CN"/>
          </w:rPr>
          <w:t>11</w:t>
        </w:r>
      </w:ins>
    </w:p>
    <w:p w14:paraId="4C7298BC" w14:textId="704099D9" w:rsidR="00297567" w:rsidRDefault="009C2801" w:rsidP="0033449C">
      <w:pPr>
        <w:pStyle w:val="EX"/>
        <w:rPr>
          <w:ins w:id="23" w:author="Paul Schliwa-Bertling" w:date="2022-03-22T09:38:00Z"/>
          <w:lang w:val="en-US" w:eastAsia="zh-CN"/>
        </w:rPr>
      </w:pPr>
      <w:ins w:id="24"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21BDFA06" w14:textId="40129B42" w:rsidR="001B7348" w:rsidRPr="00961D0C" w:rsidRDefault="009C2801" w:rsidP="001B7348">
      <w:pPr>
        <w:pStyle w:val="EX"/>
        <w:rPr>
          <w:ins w:id="25" w:author="Paul Schliwa-Bertling" w:date="2022-03-22T09:40:00Z"/>
          <w:lang w:val="en-US"/>
        </w:rPr>
      </w:pPr>
      <w:ins w:id="26" w:author="Paul Schliwa-Bertling" w:date="2022-03-22T09:38:00Z">
        <w:r>
          <w:rPr>
            <w:lang w:val="en-US" w:eastAsia="zh-CN"/>
          </w:rPr>
          <w:t>[9</w:t>
        </w:r>
      </w:ins>
      <w:ins w:id="27" w:author="Paul Schliwa-Bertling" w:date="2022-03-22T09:41:00Z">
        <w:r w:rsidR="001B7348">
          <w:rPr>
            <w:lang w:val="en-US" w:eastAsia="zh-CN"/>
          </w:rPr>
          <w:t>]</w:t>
        </w:r>
      </w:ins>
      <w:ins w:id="28" w:author="Paul Schliwa-Bertling" w:date="2022-03-22T09:40:00Z">
        <w:r w:rsidR="001B7348" w:rsidRPr="001B7348">
          <w:rPr>
            <w:lang w:val="en-US"/>
          </w:rPr>
          <w:t xml:space="preserve"> </w:t>
        </w:r>
      </w:ins>
      <w:ins w:id="29" w:author="Paul Schliwa-Bertling" w:date="2022-03-22T09:41:00Z">
        <w:r w:rsidR="001B7348">
          <w:rPr>
            <w:lang w:val="en-US"/>
          </w:rPr>
          <w:tab/>
        </w:r>
      </w:ins>
      <w:ins w:id="30"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r w:rsidR="001B7348">
          <w:rPr>
            <w:lang w:val="en-US"/>
          </w:rPr>
          <w:t xml:space="preserve"> , Briscoe et. al, Internet draft, IETF, Mar 2021, </w:t>
        </w:r>
        <w:r w:rsidR="001B7348" w:rsidRPr="00961D0C">
          <w:rPr>
            <w:lang w:val="en-US"/>
          </w:rPr>
          <w:t>https://tools.ietf.org/wg/tsvwg/draft-ietf-tsvwg-ecn-l4s-id/</w:t>
        </w:r>
      </w:ins>
    </w:p>
    <w:p w14:paraId="5BA57C1F" w14:textId="12F67751" w:rsidR="009C2801" w:rsidRDefault="00552BFB" w:rsidP="00552BFB">
      <w:pPr>
        <w:pStyle w:val="EX"/>
        <w:rPr>
          <w:ins w:id="31" w:author="Paul Schliwa-Bertling" w:date="2022-03-22T09:38:00Z"/>
          <w:lang w:val="en-US"/>
        </w:rPr>
      </w:pPr>
      <w:ins w:id="32" w:author="Paul Schliwa-Bertling" w:date="2022-03-22T09:48:00Z">
        <w:r>
          <w:rPr>
            <w:lang w:val="en-US"/>
          </w:rPr>
          <w:t>[1</w:t>
        </w:r>
      </w:ins>
      <w:ins w:id="33" w:author="Paul Schliwa-Bertling" w:date="2022-03-22T09:51:00Z">
        <w:r w:rsidR="005C43B1">
          <w:rPr>
            <w:lang w:val="en-US"/>
          </w:rPr>
          <w:t>0</w:t>
        </w:r>
      </w:ins>
      <w:ins w:id="34" w:author="Paul Schliwa-Bertling" w:date="2022-03-22T09:48:00Z">
        <w:r>
          <w:rPr>
            <w:lang w:val="en-US"/>
          </w:rPr>
          <w:t>]</w:t>
        </w:r>
      </w:ins>
      <w:ins w:id="35" w:author="Paul Schliwa-Bertling" w:date="2022-03-22T09:49:00Z">
        <w:r w:rsidRPr="00552BFB">
          <w:rPr>
            <w:lang w:val="en-US"/>
          </w:rPr>
          <w:t xml:space="preserve"> </w:t>
        </w:r>
        <w:r>
          <w:rPr>
            <w:lang w:val="en-US"/>
          </w:rPr>
          <w:tab/>
        </w:r>
        <w:r w:rsidRPr="00667999">
          <w:rPr>
            <w:lang w:val="en-US"/>
          </w:rPr>
          <w:t xml:space="preserve">Deployment of RITE mechanisms in use-case trial testbeds report, Ing-Jyh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ins>
      <w:ins w:id="36" w:author="Paul Schliwa-Bertling" w:date="2022-03-22T09:38:00Z">
        <w:r w:rsidR="009C2801">
          <w:rPr>
            <w:lang w:val="en-US" w:eastAsia="zh-CN"/>
          </w:rPr>
          <w:t>[10]</w:t>
        </w:r>
      </w:ins>
    </w:p>
    <w:p w14:paraId="4AAD3BA5" w14:textId="349FD364" w:rsidR="005C43B1" w:rsidRDefault="009C2801" w:rsidP="005C43B1">
      <w:pPr>
        <w:pStyle w:val="EX"/>
        <w:rPr>
          <w:ins w:id="37" w:author="Paul Schliwa-Bertling" w:date="2022-03-22T09:52:00Z"/>
          <w:lang w:eastAsia="zh-CN"/>
        </w:rPr>
      </w:pPr>
      <w:ins w:id="38" w:author="Paul Schliwa-Bertling" w:date="2022-03-22T09:38:00Z">
        <w:r>
          <w:rPr>
            <w:lang w:val="en-US" w:eastAsia="zh-CN"/>
          </w:rPr>
          <w:t>[11]</w:t>
        </w:r>
      </w:ins>
      <w:ins w:id="39" w:author="Paul Schliwa-Bertling" w:date="2022-03-22T09:51:00Z">
        <w:r w:rsidR="005C43B1" w:rsidRPr="005C43B1">
          <w:rPr>
            <w:lang w:eastAsia="zh-CN"/>
          </w:rPr>
          <w:t xml:space="preserve"> </w:t>
        </w:r>
        <w:r w:rsidR="005C43B1">
          <w:rPr>
            <w:lang w:eastAsia="zh-CN"/>
          </w:rPr>
          <w:tab/>
        </w:r>
        <w:r w:rsidR="005C43B1" w:rsidRPr="003E2A36">
          <w:rPr>
            <w:lang w:eastAsia="zh-CN"/>
          </w:rPr>
          <w:t xml:space="preserve">Data Center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p>
    <w:p w14:paraId="37F9B5A9" w14:textId="70939191" w:rsidR="005C43B1" w:rsidRDefault="005C43B1" w:rsidP="005C43B1">
      <w:pPr>
        <w:pStyle w:val="EX"/>
        <w:rPr>
          <w:ins w:id="40" w:author="Paul Schliwa-Bertling" w:date="2022-03-22T09:53:00Z"/>
          <w:lang w:eastAsia="zh-CN"/>
        </w:rPr>
      </w:pPr>
      <w:ins w:id="41" w:author="Paul Schliwa-Bertling" w:date="2022-03-22T09:52:00Z">
        <w:r>
          <w:rPr>
            <w:lang w:eastAsia="zh-CN"/>
          </w:rPr>
          <w:t>[12]</w:t>
        </w:r>
      </w:ins>
      <w:ins w:id="42" w:author="Paul Schliwa-Bertling" w:date="2022-03-22T09:53:00Z">
        <w:r w:rsidRPr="005C43B1">
          <w:rPr>
            <w:lang w:eastAsia="zh-CN"/>
          </w:rPr>
          <w:t xml:space="preserve"> </w:t>
        </w:r>
        <w:r>
          <w:rPr>
            <w:lang w:eastAsia="zh-CN"/>
          </w:rPr>
          <w:tab/>
        </w:r>
        <w:r w:rsidRPr="003E2A36">
          <w:rPr>
            <w:lang w:eastAsia="zh-CN"/>
          </w:rPr>
          <w:t xml:space="preserve">Data Center TCP (DCTCP): TCP Congestion Control for Data Centers, Bensley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5BFE0023" w14:textId="5E68423E" w:rsidR="005C43B1" w:rsidRDefault="005C43B1" w:rsidP="005C43B1">
      <w:pPr>
        <w:pStyle w:val="EX"/>
        <w:rPr>
          <w:ins w:id="43" w:author="Paul Schliwa-Bertling" w:date="2022-03-22T09:54:00Z"/>
          <w:lang w:eastAsia="zh-CN"/>
        </w:rPr>
      </w:pPr>
      <w:ins w:id="44" w:author="Paul Schliwa-Bertling" w:date="2022-03-22T09:53:00Z">
        <w:r>
          <w:rPr>
            <w:lang w:eastAsia="zh-CN"/>
          </w:rPr>
          <w:t>[</w:t>
        </w:r>
      </w:ins>
      <w:ins w:id="45" w:author="Paul Schliwa-Bertling" w:date="2022-03-22T09:54:00Z">
        <w:r>
          <w:rPr>
            <w:lang w:eastAsia="zh-CN"/>
          </w:rPr>
          <w:t>13]</w:t>
        </w:r>
        <w:r w:rsidRPr="005C43B1">
          <w:rPr>
            <w:lang w:eastAsia="zh-CN"/>
          </w:rPr>
          <w:t xml:space="preserve"> </w:t>
        </w:r>
        <w:r>
          <w:rPr>
            <w:lang w:eastAsia="zh-CN"/>
          </w:rPr>
          <w:tab/>
        </w:r>
        <w:r w:rsidRPr="003E2A36">
          <w:rPr>
            <w:lang w:eastAsia="zh-CN"/>
          </w:rPr>
          <w:t xml:space="preserve">Low Latency DOCSIS: Technology Overview, CableLabs,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5279D342" w14:textId="51237335" w:rsidR="00B46B59" w:rsidRDefault="005C43B1" w:rsidP="00B46B59">
      <w:pPr>
        <w:pStyle w:val="EX"/>
        <w:rPr>
          <w:ins w:id="46" w:author="Paul Schliwa-Bertling" w:date="2022-03-22T09:56:00Z"/>
          <w:lang w:eastAsia="zh-CN"/>
        </w:rPr>
      </w:pPr>
      <w:ins w:id="47" w:author="Paul Schliwa-Bertling" w:date="2022-03-22T09:55:00Z">
        <w:r>
          <w:rPr>
            <w:lang w:eastAsia="zh-CN"/>
          </w:rPr>
          <w:t>[14]</w:t>
        </w:r>
        <w:r w:rsidR="00B46B59" w:rsidRPr="00B46B59">
          <w:rPr>
            <w:lang w:eastAsia="zh-CN"/>
          </w:rPr>
          <w:t xml:space="preserve"> </w:t>
        </w:r>
        <w:r w:rsidR="00B46B59">
          <w:rPr>
            <w:lang w:eastAsia="zh-CN"/>
          </w:rPr>
          <w:tab/>
        </w:r>
        <w:r w:rsidR="00B46B59" w:rsidRPr="003E2A36">
          <w:rPr>
            <w:lang w:eastAsia="zh-CN"/>
          </w:rPr>
          <w:t xml:space="preserve">BBR v2: A Model-based Congestion Control – IETF 105 Update, Google, IETF 105, Montreal, July, 2019, </w:t>
        </w:r>
        <w:r w:rsidR="00B46B59" w:rsidRPr="003E2A36">
          <w:rPr>
            <w:lang w:eastAsia="zh-CN"/>
          </w:rPr>
          <w:fldChar w:fldCharType="begin"/>
        </w:r>
        <w:r w:rsidR="00B46B59" w:rsidRPr="003E2A36">
          <w:rPr>
            <w:lang w:eastAsia="zh-CN"/>
          </w:rPr>
          <w:instrText xml:space="preserve"> HYPERLINK "https://datatracker.ietf.org/meeting/105/materials/slides-105-iccrg-bbr-v2-a-model-based-congestion-control-00" </w:instrText>
        </w:r>
        <w:r w:rsidR="00B46B59" w:rsidRPr="003E2A36">
          <w:rPr>
            <w:lang w:eastAsia="zh-CN"/>
          </w:rPr>
          <w:fldChar w:fldCharType="separate"/>
        </w:r>
        <w:r w:rsidR="00B46B59" w:rsidRPr="003E2A36">
          <w:rPr>
            <w:lang w:eastAsia="zh-CN"/>
          </w:rPr>
          <w:t>https://datatracker.ietf.org/meeting/105/materials/slides-105-iccrg-bbr-v2-a-model-based-congestion-control-00</w:t>
        </w:r>
        <w:r w:rsidR="00B46B59" w:rsidRPr="003E2A36">
          <w:rPr>
            <w:lang w:eastAsia="zh-CN"/>
          </w:rPr>
          <w:fldChar w:fldCharType="end"/>
        </w:r>
      </w:ins>
    </w:p>
    <w:p w14:paraId="438135F5" w14:textId="0C262111" w:rsidR="009C2801" w:rsidDel="00BD2866" w:rsidRDefault="00B46B59" w:rsidP="00B46B59">
      <w:pPr>
        <w:pStyle w:val="EX"/>
        <w:rPr>
          <w:del w:id="48" w:author="Paul Schliwa-Bertling" w:date="2022-03-22T09:57:00Z"/>
          <w:lang w:eastAsia="zh-CN"/>
        </w:rPr>
      </w:pPr>
      <w:ins w:id="49" w:author="Paul Schliwa-Bertling" w:date="2022-03-22T09:56:00Z">
        <w:r>
          <w:rPr>
            <w:lang w:eastAsia="zh-CN"/>
          </w:rPr>
          <w:t>[15]</w:t>
        </w:r>
      </w:ins>
      <w:ins w:id="50" w:author="Paul Schliwa-Bertling" w:date="2022-03-22T09:57:00Z">
        <w:r w:rsidRPr="00B46B59">
          <w:rPr>
            <w:lang w:eastAsia="zh-CN"/>
          </w:rPr>
          <w:t xml:space="preserve"> </w:t>
        </w:r>
        <w:r>
          <w:rPr>
            <w:lang w:eastAsia="zh-CN"/>
          </w:rPr>
          <w:tab/>
        </w:r>
        <w:r w:rsidRPr="003E2A36">
          <w:rPr>
            <w:lang w:eastAsia="zh-CN"/>
          </w:rPr>
          <w:t xml:space="preserve">Self-Clocked Rate Adaptation for Multimedia, Johansson and Sarker,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40BF2C84" w14:textId="2F8CF75A" w:rsidR="0033449C" w:rsidRPr="00BD2866" w:rsidRDefault="00BD2866">
      <w:pPr>
        <w:pStyle w:val="EX"/>
        <w:rPr>
          <w:lang w:eastAsia="zh-CN"/>
        </w:rPr>
        <w:pPrChange w:id="51" w:author="Paul Schliwa-Bertling" w:date="2022-03-22T10:00:00Z">
          <w:pPr>
            <w:pStyle w:val="Heading2"/>
          </w:pPr>
        </w:pPrChange>
      </w:pPr>
      <w:ins w:id="52" w:author="Paul Schliwa-Bertling" w:date="2022-03-22T09:59:00Z">
        <w:r>
          <w:rPr>
            <w:lang w:eastAsia="zh-CN"/>
          </w:rPr>
          <w:t>[16]</w:t>
        </w:r>
      </w:ins>
      <w:ins w:id="53"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qdisc”,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011B94BB" w:rsidR="000F2EAA" w:rsidRPr="00E87FB5" w:rsidRDefault="000F2EAA" w:rsidP="000F2EAA">
      <w:pPr>
        <w:pStyle w:val="Heading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4"/>
      <w:bookmarkEnd w:id="5"/>
      <w:bookmarkEnd w:id="6"/>
      <w:r w:rsidR="007F5407">
        <w:rPr>
          <w:lang w:val="en-US"/>
        </w:rPr>
        <w:t xml:space="preserve">Use of L4S to </w:t>
      </w:r>
      <w:r w:rsidR="007F5407" w:rsidRPr="007F5407">
        <w:rPr>
          <w:lang w:val="en-US"/>
        </w:rPr>
        <w:t>enable codec/rate adaptation to meet requirements for services</w:t>
      </w:r>
    </w:p>
    <w:p w14:paraId="32479511" w14:textId="77777777" w:rsidR="000F2EAA" w:rsidRPr="00E87FB5" w:rsidRDefault="000F2EAA" w:rsidP="000F2EAA">
      <w:pPr>
        <w:pStyle w:val="Heading3"/>
        <w:rPr>
          <w:lang w:val="en-US"/>
        </w:rPr>
      </w:pPr>
      <w:bookmarkStart w:id="54" w:name="_Toc500949098"/>
      <w:bookmarkStart w:id="55" w:name="_Toc92875661"/>
      <w:bookmarkStart w:id="56" w:name="_Toc93070685"/>
      <w:r w:rsidRPr="00E87FB5">
        <w:rPr>
          <w:lang w:val="en-US"/>
        </w:rPr>
        <w:t>6.X.1</w:t>
      </w:r>
      <w:r w:rsidRPr="00E87FB5">
        <w:rPr>
          <w:lang w:val="en-US"/>
        </w:rPr>
        <w:tab/>
        <w:t>Key Issue mapping</w:t>
      </w:r>
      <w:bookmarkEnd w:id="54"/>
      <w:bookmarkEnd w:id="55"/>
      <w:bookmarkEnd w:id="56"/>
    </w:p>
    <w:p w14:paraId="7F2E8E5B" w14:textId="3555767E" w:rsidR="000F2EAA" w:rsidRPr="00E87FB5"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8182974" w14:textId="77777777" w:rsidR="000F2EAA" w:rsidRPr="00E87FB5" w:rsidRDefault="000F2EAA" w:rsidP="000F2EAA">
      <w:pPr>
        <w:pStyle w:val="Heading3"/>
        <w:rPr>
          <w:lang w:val="en-US"/>
        </w:rPr>
      </w:pPr>
      <w:bookmarkStart w:id="57" w:name="_Toc500949099"/>
      <w:bookmarkStart w:id="58" w:name="_Toc92875662"/>
      <w:bookmarkStart w:id="59" w:name="_Toc93070686"/>
      <w:r w:rsidRPr="00E87FB5">
        <w:rPr>
          <w:lang w:val="en-US"/>
        </w:rPr>
        <w:t>6.X.2</w:t>
      </w:r>
      <w:r w:rsidRPr="00E87FB5">
        <w:rPr>
          <w:lang w:val="en-US"/>
        </w:rPr>
        <w:tab/>
        <w:t>Description</w:t>
      </w:r>
      <w:bookmarkEnd w:id="57"/>
      <w:bookmarkEnd w:id="58"/>
      <w:bookmarkEnd w:id="59"/>
    </w:p>
    <w:p w14:paraId="11FB0C4D" w14:textId="59F36084" w:rsidR="000F2EAA" w:rsidRDefault="000F2EAA" w:rsidP="000F2EAA">
      <w:pPr>
        <w:pStyle w:val="EditorsNote"/>
        <w:rPr>
          <w:lang w:val="en-US"/>
        </w:rPr>
      </w:pPr>
      <w:bookmarkStart w:id="60"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24E6E459" w:rsidR="003853F7" w:rsidRDefault="00170B30" w:rsidP="00170B30">
      <w:r>
        <w:lastRenderedPageBreak/>
        <w:t xml:space="preserve">L4S, “Low Latency, Low Loss and Scalable Throughput”, is an AQM-like mechanism which, instead of dropping packets, uses </w:t>
      </w:r>
      <w:r w:rsidR="006221D6">
        <w:t xml:space="preserve">link state </w:t>
      </w:r>
      <w:r>
        <w:t>indications and rate adjustments proportional to the queue delay.</w:t>
      </w:r>
    </w:p>
    <w:p w14:paraId="0A84406E" w14:textId="4D158A62" w:rsidR="00FE6FC0" w:rsidRDefault="00170B30" w:rsidP="00BE2A59">
      <w:r>
        <w:t>L4S is subject to standardization in IETF [</w:t>
      </w:r>
      <w:r w:rsidR="00BD2866">
        <w:t>8</w:t>
      </w:r>
      <w:r>
        <w:t>], [</w:t>
      </w:r>
      <w:r w:rsidR="00BD2866">
        <w:t>9</w:t>
      </w:r>
      <w:r>
        <w:t>] and has wide support from major stakeholders in the industry. L4S has been demonstrated in the RITE EU project [</w:t>
      </w:r>
      <w:r w:rsidR="00BD2866">
        <w:t>10</w:t>
      </w:r>
      <w:r>
        <w:t>],[</w:t>
      </w:r>
      <w:r w:rsidR="00BD2866">
        <w:t>11</w:t>
      </w:r>
      <w:r>
        <w:t>] and L4S technology is already used in data centers today [</w:t>
      </w:r>
      <w:r w:rsidR="00BD2866">
        <w:t>12</w:t>
      </w:r>
      <w:r>
        <w:t>]. L4S is already supported by the DOCSIS standard [</w:t>
      </w:r>
      <w:r w:rsidR="00BD2866">
        <w:t>13</w:t>
      </w:r>
      <w:r>
        <w:t>]. Congestion control algorithms that support L4S are described in [</w:t>
      </w:r>
      <w:r w:rsidR="00317C9A">
        <w:t>12</w:t>
      </w:r>
      <w:r>
        <w:t>], [</w:t>
      </w:r>
      <w:r w:rsidR="00317C9A">
        <w:t>14</w:t>
      </w:r>
      <w:r>
        <w:t>], [</w:t>
      </w:r>
      <w:r w:rsidR="00317C9A">
        <w:t>15</w:t>
      </w:r>
      <w:r>
        <w:t>] and [</w:t>
      </w:r>
      <w:r w:rsidR="00317C9A">
        <w:t>16</w:t>
      </w:r>
      <w:r>
        <w:t>].</w:t>
      </w:r>
    </w:p>
    <w:p w14:paraId="6D0AA6A2" w14:textId="77777777" w:rsidR="00F727DF" w:rsidRDefault="00FE6FC0" w:rsidP="00BE2A59">
      <w:r>
        <w:t xml:space="preserve">In this solution the network is configured </w:t>
      </w:r>
      <w:r w:rsidR="001067B7">
        <w:t>by</w:t>
      </w:r>
      <w:r>
        <w:t xml:space="preserve"> existing means to map desired, L4S enabled packet flows on a pre-configured 5QI and thus QoS Flow. </w:t>
      </w:r>
    </w:p>
    <w:p w14:paraId="75866B74" w14:textId="72C9F9AE"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p>
    <w:p w14:paraId="26B416EE" w14:textId="77777777" w:rsidR="000C2443" w:rsidRDefault="000C2443" w:rsidP="000C2443">
      <w:pPr>
        <w:rPr>
          <w:lang w:val="en-US" w:eastAsia="ko-KR"/>
        </w:rPr>
      </w:pPr>
      <w:r>
        <w:rPr>
          <w:lang w:val="en-US" w:eastAsia="ko-KR"/>
        </w:rPr>
        <w:t>The solution is based on following two components:</w:t>
      </w:r>
    </w:p>
    <w:p w14:paraId="65E075C9" w14:textId="7D4FBBD1" w:rsidR="000C2443" w:rsidRDefault="000C2443" w:rsidP="000C2443">
      <w:pPr>
        <w:pStyle w:val="ListParagraph"/>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007A0EF6" w:rsidR="000C2443" w:rsidRDefault="000C2443" w:rsidP="000C2443">
      <w:pPr>
        <w:pStyle w:val="ListParagraph"/>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36F83328" w14:textId="77777777" w:rsidR="000C2443" w:rsidRPr="000C2443" w:rsidRDefault="000C2443" w:rsidP="00BE2A59">
      <w:pPr>
        <w:rPr>
          <w:lang w:val="en-US"/>
        </w:rPr>
      </w:pPr>
    </w:p>
    <w:bookmarkEnd w:id="60"/>
    <w:p w14:paraId="77D60005" w14:textId="48F642BA" w:rsidR="007476C8" w:rsidRDefault="007476C8" w:rsidP="007476C8">
      <w:pPr>
        <w:pStyle w:val="Heading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741A2AAF" w14:textId="4A05F7DE" w:rsidR="00693BFF" w:rsidRDefault="00962A9F" w:rsidP="007476C8">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p>
    <w:p w14:paraId="45137299" w14:textId="7FB5F2C1" w:rsidR="00E24A48" w:rsidRDefault="00E24A48" w:rsidP="00E24A48">
      <w:r w:rsidRPr="00BE2467">
        <w:t>NG-RAN make</w:t>
      </w:r>
      <w:r w:rsidR="00FE6FC0">
        <w:t>s</w:t>
      </w:r>
      <w:r w:rsidRPr="00BE2467">
        <w:t xml:space="preserve"> use of L4S marking of payload packets as specified in RFC 8311[</w:t>
      </w:r>
      <w:r w:rsidR="00115F7F">
        <w:t>7</w:t>
      </w:r>
      <w:r w:rsidRPr="00BE2467">
        <w:t>].</w:t>
      </w:r>
      <w:r>
        <w:t xml:space="preserve"> </w:t>
      </w:r>
      <w:r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162042A8" w14:textId="64CC3BF0" w:rsidR="00E24A48" w:rsidRDefault="00964365" w:rsidP="00E24A48">
      <w:r>
        <w:t xml:space="preserve">Below we provide L4S simulation results showing AR </w:t>
      </w:r>
      <w:r w:rsidR="006A3852">
        <w:t>application with heavy UL traffic</w:t>
      </w:r>
      <w:r w:rsidR="002806C2">
        <w:t xml:space="preserve"> over RTP/UDP. T</w:t>
      </w:r>
      <w:r w:rsidR="00590142">
        <w:t xml:space="preserve">he application streams </w:t>
      </w:r>
      <w:r w:rsidR="000750C0">
        <w:t xml:space="preserve">rate adaptive video with a bitrate range from 5 to 50Mbps. The SCReAM congestion control </w:t>
      </w:r>
      <w:r w:rsidR="00B51538">
        <w:t>RFC8298, handles the rate adaptation</w:t>
      </w:r>
      <w:r w:rsidR="00821FC0">
        <w:t xml:space="preserve">. </w:t>
      </w:r>
      <w:r w:rsidR="00B51538">
        <w:t xml:space="preserve">The </w:t>
      </w:r>
      <w:r w:rsidR="00821FC0">
        <w:t xml:space="preserve">SCReAM application </w:t>
      </w:r>
      <w:r w:rsidR="00426436">
        <w:t xml:space="preserve">with </w:t>
      </w:r>
      <w:r w:rsidR="00B51538">
        <w:t xml:space="preserve">L4S capability is </w:t>
      </w:r>
      <w:r w:rsidR="000556E7">
        <w:t xml:space="preserve">found in running code at </w:t>
      </w:r>
      <w:hyperlink r:id="rId12" w:history="1">
        <w:r w:rsidR="000556E7" w:rsidRPr="00E92D5C">
          <w:rPr>
            <w:rStyle w:val="Hyperlink"/>
          </w:rPr>
          <w:t>https://github.com/EricssonResearch/scream</w:t>
        </w:r>
      </w:hyperlink>
      <w:r w:rsidR="000556E7">
        <w:t xml:space="preserve">.  </w:t>
      </w:r>
    </w:p>
    <w:p w14:paraId="6A64D877" w14:textId="77777777" w:rsidR="00172754" w:rsidRDefault="0007158E" w:rsidP="00E24A48">
      <w:r>
        <w:t xml:space="preserve">The simulated network deployment </w:t>
      </w:r>
      <w:r w:rsidR="00BB2223">
        <w:t xml:space="preserve">is 21 cells with 1800 MHz TDD, </w:t>
      </w:r>
      <w:r w:rsidR="00265157">
        <w:t>the bandwi</w:t>
      </w:r>
      <w:r w:rsidR="005F620B">
        <w:t>dth is 20MHz</w:t>
      </w:r>
      <w:r w:rsidR="00132C26">
        <w:t xml:space="preserve"> and the cell radius is 167m</w:t>
      </w:r>
      <w:r w:rsidR="005F620B">
        <w:t xml:space="preserve">. </w:t>
      </w:r>
      <w:r w:rsidR="00C7373E">
        <w:t>15 AR users are ran</w:t>
      </w:r>
      <w:r w:rsidR="00115F7E">
        <w:t xml:space="preserve">domly placed in the </w:t>
      </w:r>
      <w:r w:rsidR="00353E9B">
        <w:t xml:space="preserve">simulated deployment. </w:t>
      </w:r>
      <w:r w:rsidR="001C3E92">
        <w:t xml:space="preserve">The transport network RTT is </w:t>
      </w:r>
      <w:r w:rsidR="00F41CEF">
        <w:t>10ms.</w:t>
      </w:r>
      <w:r w:rsidR="00BB2223">
        <w:t xml:space="preserve"> </w:t>
      </w:r>
      <w:r w:rsidR="00311994">
        <w:fldChar w:fldCharType="begin"/>
      </w:r>
      <w:r w:rsidR="00311994">
        <w:instrText xml:space="preserve"> REF _Ref98846716 \h </w:instrText>
      </w:r>
      <w:r w:rsidR="00311994">
        <w:fldChar w:fldCharType="separate"/>
      </w:r>
      <w:r w:rsidR="00311994">
        <w:t xml:space="preserve">Figure </w:t>
      </w:r>
      <w:r w:rsidR="00311994">
        <w:rPr>
          <w:noProof/>
        </w:rPr>
        <w:t>1</w:t>
      </w:r>
      <w:r w:rsidR="00311994">
        <w:fldChar w:fldCharType="end"/>
      </w:r>
      <w:r w:rsidR="00311994">
        <w:t xml:space="preserve"> shows a trace for one </w:t>
      </w:r>
      <w:r w:rsidR="00D143BB">
        <w:t>AR user from two different simulation rounds</w:t>
      </w:r>
      <w:r w:rsidR="00172754">
        <w:t xml:space="preserve">. </w:t>
      </w:r>
    </w:p>
    <w:p w14:paraId="25D59F6B" w14:textId="51AFEFCE" w:rsidR="00476CD7" w:rsidRDefault="00476CD7" w:rsidP="00E24A48"/>
    <w:p w14:paraId="644AB98F" w14:textId="77777777" w:rsidR="00476CD7" w:rsidRDefault="00C37CDF" w:rsidP="00476CD7">
      <w:pPr>
        <w:keepNext/>
      </w:pPr>
      <w:r>
        <w:rPr>
          <w:noProof/>
        </w:rPr>
        <w:drawing>
          <wp:inline distT="0" distB="0" distL="0" distR="0" wp14:anchorId="4F907E4D" wp14:editId="1BDB0104">
            <wp:extent cx="6120130" cy="234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2343705"/>
                    </a:xfrm>
                    <a:prstGeom prst="rect">
                      <a:avLst/>
                    </a:prstGeom>
                    <a:noFill/>
                  </pic:spPr>
                </pic:pic>
              </a:graphicData>
            </a:graphic>
          </wp:inline>
        </w:drawing>
      </w:r>
    </w:p>
    <w:p w14:paraId="19D417E9" w14:textId="1B4C70E2" w:rsidR="00120C15" w:rsidRDefault="00476CD7" w:rsidP="00476CD7">
      <w:pPr>
        <w:pStyle w:val="Caption"/>
      </w:pPr>
      <w:bookmarkStart w:id="61" w:name="_Ref98846716"/>
      <w:r>
        <w:t xml:space="preserve">Figure </w:t>
      </w:r>
      <w:r>
        <w:fldChar w:fldCharType="begin"/>
      </w:r>
      <w:r>
        <w:instrText>SEQ Figure \* ARABIC</w:instrText>
      </w:r>
      <w:r>
        <w:fldChar w:fldCharType="separate"/>
      </w:r>
      <w:r>
        <w:rPr>
          <w:noProof/>
        </w:rPr>
        <w:t>1</w:t>
      </w:r>
      <w:r>
        <w:fldChar w:fldCharType="end"/>
      </w:r>
      <w:bookmarkEnd w:id="61"/>
      <w:r>
        <w:t xml:space="preserve"> Example trace for one AR user showing bitrate and delay. Left is L4S disabled, right is L4S enabled</w:t>
      </w:r>
    </w:p>
    <w:p w14:paraId="5BEC77FC" w14:textId="65700580" w:rsidR="00AB72E3" w:rsidRDefault="00AB72E3" w:rsidP="00172754"/>
    <w:p w14:paraId="56390803" w14:textId="1E5972AA" w:rsidR="00172754" w:rsidRDefault="00172754" w:rsidP="00172754">
      <w:r>
        <w:t xml:space="preserve">In the first simulation round L4S is disabled, in the second round </w:t>
      </w:r>
      <w:r w:rsidR="00DC71BE">
        <w:t>L4S is enabled. All other settings</w:t>
      </w:r>
      <w:r w:rsidR="00AA09D3">
        <w:t>,</w:t>
      </w:r>
      <w:r w:rsidR="00DC71BE">
        <w:t xml:space="preserve"> initial location, movement is identical. The example shows that </w:t>
      </w:r>
      <w:r w:rsidR="00CF17C4">
        <w:t xml:space="preserve">L4S greatly </w:t>
      </w:r>
      <w:r w:rsidR="00336F3F">
        <w:t xml:space="preserve">helps the SCReAM rate adaptation to </w:t>
      </w:r>
      <w:r w:rsidR="00CF17C4">
        <w:t xml:space="preserve">reduce the e2e delay. </w:t>
      </w:r>
      <w:r w:rsidR="00717BBF">
        <w:t xml:space="preserve">For and end user, this </w:t>
      </w:r>
      <w:r w:rsidR="001F2735">
        <w:t>improvement would manifest in a much more stable AR experience</w:t>
      </w:r>
      <w:r w:rsidR="00245D6F">
        <w:t>.</w:t>
      </w:r>
    </w:p>
    <w:p w14:paraId="5F1A84DB" w14:textId="434D8343" w:rsidR="00A87FC6" w:rsidRDefault="00107CD7" w:rsidP="00172754">
      <w:r>
        <w:fldChar w:fldCharType="begin"/>
      </w:r>
      <w:r>
        <w:instrText xml:space="preserve"> REF _Ref98849017 \h </w:instrText>
      </w:r>
      <w:r>
        <w:fldChar w:fldCharType="separate"/>
      </w:r>
      <w:r>
        <w:t xml:space="preserve">Figure </w:t>
      </w:r>
      <w:r>
        <w:rPr>
          <w:noProof/>
        </w:rPr>
        <w:t>2</w:t>
      </w:r>
      <w:r>
        <w:fldChar w:fldCharType="end"/>
      </w:r>
      <w:r>
        <w:t xml:space="preserve"> shows the </w:t>
      </w:r>
      <w:r w:rsidR="00ED1BC0">
        <w:t xml:space="preserve">CDF of the IP-packet delay, this illustrates that </w:t>
      </w:r>
      <w:r w:rsidR="00794753">
        <w:t xml:space="preserve">the low IP packet delay with L4S shown in </w:t>
      </w:r>
      <w:r w:rsidR="00794753">
        <w:fldChar w:fldCharType="begin"/>
      </w:r>
      <w:r w:rsidR="00794753">
        <w:instrText xml:space="preserve"> REF _Ref98846716 \h </w:instrText>
      </w:r>
      <w:r w:rsidR="00794753">
        <w:fldChar w:fldCharType="separate"/>
      </w:r>
      <w:r w:rsidR="00794753">
        <w:t xml:space="preserve">Figure </w:t>
      </w:r>
      <w:r w:rsidR="00794753">
        <w:rPr>
          <w:noProof/>
        </w:rPr>
        <w:t>1</w:t>
      </w:r>
      <w:r w:rsidR="00794753">
        <w:fldChar w:fldCharType="end"/>
      </w:r>
      <w:r w:rsidR="00794753">
        <w:t>.</w:t>
      </w:r>
    </w:p>
    <w:p w14:paraId="4F7CB7A2" w14:textId="77777777" w:rsidR="00AB72E3" w:rsidRDefault="00AB72E3" w:rsidP="00172754"/>
    <w:p w14:paraId="4DDD9928" w14:textId="77777777" w:rsidR="00A87FC6" w:rsidRDefault="00A87FC6" w:rsidP="00A87FC6">
      <w:pPr>
        <w:keepNext/>
      </w:pPr>
      <w:r w:rsidRPr="00A87FC6">
        <w:rPr>
          <w:noProof/>
        </w:rPr>
        <w:drawing>
          <wp:inline distT="0" distB="0" distL="0" distR="0" wp14:anchorId="009C271F" wp14:editId="01957761">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34000" cy="4000500"/>
                    </a:xfrm>
                    <a:prstGeom prst="rect">
                      <a:avLst/>
                    </a:prstGeom>
                  </pic:spPr>
                </pic:pic>
              </a:graphicData>
            </a:graphic>
          </wp:inline>
        </w:drawing>
      </w:r>
    </w:p>
    <w:p w14:paraId="26424763" w14:textId="77CFBF10" w:rsidR="00AB72E3" w:rsidRDefault="00A87FC6" w:rsidP="00A87FC6">
      <w:pPr>
        <w:pStyle w:val="Caption"/>
      </w:pPr>
      <w:bookmarkStart w:id="62" w:name="_Ref98849017"/>
      <w:r>
        <w:t xml:space="preserve">Figure </w:t>
      </w:r>
      <w:fldSimple w:instr=" SEQ Figure \* ARABIC ">
        <w:r>
          <w:rPr>
            <w:noProof/>
          </w:rPr>
          <w:t>2</w:t>
        </w:r>
      </w:fldSimple>
      <w:bookmarkEnd w:id="62"/>
      <w:r>
        <w:t xml:space="preserve"> CDF IP-packet delay</w:t>
      </w:r>
    </w:p>
    <w:p w14:paraId="471F7F11" w14:textId="77777777" w:rsidR="005B46ED" w:rsidRDefault="005B46ED">
      <w:pPr>
        <w:overflowPunct/>
        <w:autoSpaceDE/>
        <w:autoSpaceDN/>
        <w:adjustRightInd/>
        <w:spacing w:after="0"/>
        <w:textAlignment w:val="auto"/>
      </w:pPr>
      <w:r>
        <w:br w:type="page"/>
      </w:r>
    </w:p>
    <w:p w14:paraId="40BAE324" w14:textId="45D5466F" w:rsidR="00717BBF" w:rsidRDefault="00091F26" w:rsidP="00172754">
      <w:r>
        <w:lastRenderedPageBreak/>
        <w:fldChar w:fldCharType="begin"/>
      </w:r>
      <w:r>
        <w:instrText xml:space="preserve"> REF _Ref98847098 \h </w:instrText>
      </w:r>
      <w:r>
        <w:fldChar w:fldCharType="separate"/>
      </w:r>
      <w:r w:rsidR="00A87FC6">
        <w:t xml:space="preserve">Figure </w:t>
      </w:r>
      <w:r w:rsidR="00A87FC6">
        <w:rPr>
          <w:noProof/>
        </w:rPr>
        <w:t>3</w:t>
      </w:r>
      <w:r>
        <w:fldChar w:fldCharType="end"/>
      </w:r>
      <w:r>
        <w:t xml:space="preserve"> </w:t>
      </w:r>
      <w:r w:rsidR="00717BBF">
        <w:t xml:space="preserve">further </w:t>
      </w:r>
      <w:r w:rsidR="0076500E">
        <w:t>exemplif</w:t>
      </w:r>
      <w:r>
        <w:t>ies</w:t>
      </w:r>
      <w:r w:rsidR="00654B04">
        <w:t xml:space="preserve"> the improvement that L4S gives for rate adaptive applications. It shows a CDF</w:t>
      </w:r>
      <w:r w:rsidR="00B907F6">
        <w:t xml:space="preserve"> of</w:t>
      </w:r>
      <w:r w:rsidR="00654B04">
        <w:t xml:space="preserve"> </w:t>
      </w:r>
      <w:r w:rsidR="00B063F9">
        <w:t xml:space="preserve">the 95%-ile tail latency for all 15 AR users. </w:t>
      </w:r>
      <w:r w:rsidR="00717743">
        <w:t xml:space="preserve">Without L4S the 95%-ile tail latency is </w:t>
      </w:r>
      <w:r w:rsidR="00B56BF1">
        <w:t>up to 90ms for the worst</w:t>
      </w:r>
      <w:r w:rsidR="005B46ED">
        <w:t>-</w:t>
      </w:r>
      <w:r w:rsidR="00B56BF1">
        <w:t xml:space="preserve">off AR user, whereas with </w:t>
      </w:r>
      <w:r w:rsidR="000F3648">
        <w:t xml:space="preserve">L4S it is </w:t>
      </w:r>
      <w:r w:rsidR="004D0264">
        <w:t>19ms.</w:t>
      </w:r>
    </w:p>
    <w:p w14:paraId="258978E8" w14:textId="367E70D4" w:rsidR="00375587" w:rsidRDefault="00375587" w:rsidP="00E24A48"/>
    <w:p w14:paraId="06908C08" w14:textId="23959C93" w:rsidR="00375587" w:rsidRDefault="00375587" w:rsidP="00E24A48"/>
    <w:p w14:paraId="777659F1" w14:textId="77777777" w:rsidR="0076500E" w:rsidRDefault="00F41CEF" w:rsidP="0076500E">
      <w:pPr>
        <w:keepNext/>
      </w:pPr>
      <w:r>
        <w:rPr>
          <w:noProof/>
        </w:rPr>
        <w:drawing>
          <wp:inline distT="0" distB="0" distL="0" distR="0" wp14:anchorId="0983574D" wp14:editId="0EB8D980">
            <wp:extent cx="5334000" cy="4000500"/>
            <wp:effectExtent l="0" t="0" r="0" b="0"/>
            <wp:docPr id="6" name="Picture 5">
              <a:extLst xmlns:a="http://schemas.openxmlformats.org/drawingml/2006/main">
                <a:ext uri="{FF2B5EF4-FFF2-40B4-BE49-F238E27FC236}">
                  <a16:creationId xmlns:a16="http://schemas.microsoft.com/office/drawing/2014/main" id="{9B09B467-BB31-4A0C-8E01-370545C78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B09B467-BB31-4A0C-8E01-370545C7827C}"/>
                        </a:ext>
                      </a:extLst>
                    </pic:cNvPr>
                    <pic:cNvPicPr>
                      <a:picLocks noChangeAspect="1"/>
                    </pic:cNvPicPr>
                  </pic:nvPicPr>
                  <pic:blipFill>
                    <a:blip r:embed="rId15"/>
                    <a:stretch>
                      <a:fillRect/>
                    </a:stretch>
                  </pic:blipFill>
                  <pic:spPr>
                    <a:xfrm>
                      <a:off x="0" y="0"/>
                      <a:ext cx="5334000" cy="4000500"/>
                    </a:xfrm>
                    <a:prstGeom prst="rect">
                      <a:avLst/>
                    </a:prstGeom>
                  </pic:spPr>
                </pic:pic>
              </a:graphicData>
            </a:graphic>
          </wp:inline>
        </w:drawing>
      </w:r>
    </w:p>
    <w:p w14:paraId="116176CD" w14:textId="41F5C238" w:rsidR="00120C15" w:rsidRDefault="0076500E" w:rsidP="0076500E">
      <w:pPr>
        <w:pStyle w:val="Caption"/>
      </w:pPr>
      <w:bookmarkStart w:id="63" w:name="_Ref98847098"/>
      <w:r>
        <w:t xml:space="preserve">Figure </w:t>
      </w:r>
      <w:fldSimple w:instr=" SEQ Figure \* ARABIC ">
        <w:r w:rsidR="00A87FC6">
          <w:rPr>
            <w:noProof/>
          </w:rPr>
          <w:t>3</w:t>
        </w:r>
      </w:fldSimple>
      <w:bookmarkEnd w:id="63"/>
      <w:r w:rsidR="00A43B0F">
        <w:t xml:space="preserve"> CDF of </w:t>
      </w:r>
      <w:r w:rsidR="00E30456">
        <w:t>95%-ile IP</w:t>
      </w:r>
      <w:r w:rsidR="00452C3F">
        <w:t>-</w:t>
      </w:r>
      <w:r w:rsidR="00E30456">
        <w:t>packet delay</w:t>
      </w:r>
      <w:r w:rsidR="00452C3F">
        <w:t xml:space="preserve"> for all 15 AR users</w:t>
      </w:r>
    </w:p>
    <w:p w14:paraId="27321156" w14:textId="07F107EA" w:rsidR="00E30456" w:rsidRDefault="008D61A5" w:rsidP="00E30456">
      <w:r>
        <w:t xml:space="preserve">The example above shows that L4S greatly helps applications to reduce </w:t>
      </w:r>
      <w:r w:rsidR="0018163A">
        <w:t xml:space="preserve">e2e delay in </w:t>
      </w:r>
      <w:r w:rsidR="00B51C68">
        <w:t xml:space="preserve">high load </w:t>
      </w:r>
      <w:r w:rsidR="0018163A">
        <w:t>situation</w:t>
      </w:r>
      <w:r w:rsidR="00B51C68">
        <w:t>s</w:t>
      </w:r>
      <w:r w:rsidR="000879C8">
        <w:t>. T</w:t>
      </w:r>
      <w:r w:rsidR="0018163A">
        <w:t>he example use</w:t>
      </w:r>
      <w:r w:rsidR="00B51C68">
        <w:t>s</w:t>
      </w:r>
      <w:r w:rsidR="0018163A">
        <w:t xml:space="preserve"> SCReAM for the application rate adaptation</w:t>
      </w:r>
      <w:r w:rsidR="00CD3396">
        <w:t>. L4S is however not limited to SCReAM but also works for other transport protocols like TCP and QUIC</w:t>
      </w:r>
      <w:r w:rsidR="008B34EA">
        <w:t xml:space="preserve"> with congestion control algorithms like Prague and BBRv2.</w:t>
      </w:r>
      <w:r w:rsidR="0018163A">
        <w:t xml:space="preserve"> </w:t>
      </w:r>
    </w:p>
    <w:p w14:paraId="2ECA5688" w14:textId="77777777" w:rsidR="00E30456" w:rsidRPr="00E30456" w:rsidRDefault="00E30456" w:rsidP="00E30456"/>
    <w:p w14:paraId="55D4B903" w14:textId="07AD390A" w:rsidR="00E24A48" w:rsidRDefault="00E24A48" w:rsidP="00E24A48">
      <w:pPr>
        <w:pStyle w:val="Heading3"/>
      </w:pPr>
      <w:r>
        <w:t>6.X.</w:t>
      </w:r>
      <w:r w:rsidR="00FE7BA8">
        <w:t>2</w:t>
      </w:r>
      <w:r>
        <w:t xml:space="preserve">.2 </w:t>
      </w:r>
      <w:r w:rsidR="00EF1EF5">
        <w:t>Enablement of</w:t>
      </w:r>
      <w:r>
        <w:t xml:space="preserve"> using L4S</w:t>
      </w:r>
    </w:p>
    <w:p w14:paraId="76BB99CF" w14:textId="77777777" w:rsidR="008C60D4" w:rsidRDefault="008C60D4" w:rsidP="007476C8"/>
    <w:p w14:paraId="18E7517E" w14:textId="74AD8243" w:rsidR="008C60D4" w:rsidRDefault="008C60D4" w:rsidP="008C60D4">
      <w:r>
        <w:t>To enable L4S, a separate QoS flow is used for L4S traffic</w:t>
      </w:r>
      <w:r w:rsidR="00FF237F">
        <w:t>.</w:t>
      </w:r>
      <w:r w:rsidR="00EA284E">
        <w:t xml:space="preserve"> </w:t>
      </w:r>
      <w:r w:rsidR="00FF237F">
        <w:t>I</w:t>
      </w:r>
      <w:r w:rsidR="00EA284E">
        <w:t xml:space="preserve">n context of this descriptive text for readability reasons, we refer to it as </w:t>
      </w:r>
      <w:r w:rsidR="00FF237F">
        <w:t xml:space="preserve">to </w:t>
      </w:r>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r w:rsidR="00A2492F">
        <w:t xml:space="preserve">Namely, </w:t>
      </w:r>
      <w:r w:rsidR="00A81E7D">
        <w:t>use of</w:t>
      </w:r>
      <w:r>
        <w:t xml:space="preserve"> </w:t>
      </w:r>
      <w:r w:rsidR="00FF237F">
        <w:t xml:space="preserve">a </w:t>
      </w:r>
      <w:r>
        <w:t xml:space="preserve">certain QoS flow for L4S </w:t>
      </w:r>
      <w:r w:rsidR="00FF237F">
        <w:t>traffic</w:t>
      </w:r>
      <w:r w:rsidR="00F004B3">
        <w:t>, enabling</w:t>
      </w:r>
      <w:r>
        <w:t xml:space="preserve"> L4S treatment in NG-RAN, is </w:t>
      </w:r>
      <w:r w:rsidR="005E00E2">
        <w:t>achieved</w:t>
      </w:r>
      <w:r>
        <w:t xml:space="preserve"> </w:t>
      </w:r>
      <w:r w:rsidR="00AB2D2C">
        <w:t xml:space="preserve">via </w:t>
      </w:r>
      <w:r>
        <w:t>a preconfigured 5QI value. One or several 5QI</w:t>
      </w:r>
      <w:r w:rsidR="00CC6355">
        <w:t>(s)</w:t>
      </w:r>
      <w:r>
        <w:t xml:space="preserve"> can be </w:t>
      </w:r>
      <w:r w:rsidR="00CC6355">
        <w:t>defined</w:t>
      </w:r>
      <w:r>
        <w:t xml:space="preserve"> for this purpose by the operator in a deployment. </w:t>
      </w:r>
    </w:p>
    <w:p w14:paraId="7D2E1BA5" w14:textId="7AE80CD2" w:rsidR="008C60D4" w:rsidRDefault="008C60D4" w:rsidP="008C60D4">
      <w:r>
        <w:t xml:space="preserve">There are 3 main principles to establish a </w:t>
      </w:r>
      <w:r w:rsidR="00DB0469">
        <w:t xml:space="preserve">L4S </w:t>
      </w:r>
      <w:r>
        <w:t>QoS flow within a PDU session:</w:t>
      </w:r>
    </w:p>
    <w:p w14:paraId="6CE79714" w14:textId="649A29A3" w:rsidR="008C60D4" w:rsidRDefault="008C60D4" w:rsidP="008C60D4">
      <w:pPr>
        <w:pStyle w:val="B1"/>
      </w:pPr>
      <w:r>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0B9BCA23" w14:textId="48C9DBE2" w:rsidR="008C60D4" w:rsidRDefault="008C60D4" w:rsidP="008C60D4">
      <w:pPr>
        <w:pStyle w:val="B1"/>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72A65B88" w14:textId="0151EA9E" w:rsidR="008C60D4" w:rsidRDefault="008C60D4" w:rsidP="008C60D4">
      <w:pPr>
        <w:pStyle w:val="B1"/>
      </w:pPr>
      <w:r>
        <w:lastRenderedPageBreak/>
        <w:t>-</w:t>
      </w:r>
      <w:r>
        <w:tab/>
        <w:t>Dynamically based on AF request: The AF makes an authorization request either via NEF (untrusted) or directly to PCF, which triggers a Session modification procedure as per clause 4.3.3 in TS 23.502 [3]</w:t>
      </w:r>
      <w:r w:rsidR="00B907F6">
        <w:t>.</w:t>
      </w:r>
      <w:r>
        <w:t xml:space="preserve"> </w:t>
      </w:r>
    </w:p>
    <w:p w14:paraId="731260CC" w14:textId="200A5378" w:rsidR="008C60D4" w:rsidRPr="00304D20" w:rsidRDefault="008C60D4" w:rsidP="008C60D4">
      <w:pPr>
        <w:rPr>
          <w:lang w:val="en-US"/>
        </w:rPr>
      </w:pPr>
      <w:r w:rsidRPr="00304D20">
        <w:rPr>
          <w:lang w:val="en-US"/>
        </w:rPr>
        <w:t>The provided filters by SMF in the QoS rule in UE and PDR in UPF to identify traffic to be routed onto the L4S QoS flow can either be the L4S bits (ECN bits) in the IP packet header or IP addresses of the XR service.</w:t>
      </w:r>
    </w:p>
    <w:p w14:paraId="64BD1E69" w14:textId="77777777" w:rsidR="008C60D4" w:rsidRPr="00B81649" w:rsidRDefault="008C60D4" w:rsidP="007476C8">
      <w:pPr>
        <w:rPr>
          <w:lang w:val="en-US"/>
        </w:rPr>
      </w:pPr>
    </w:p>
    <w:p w14:paraId="1A19ECDE" w14:textId="77777777" w:rsidR="000C2443" w:rsidRPr="00E87FB5" w:rsidRDefault="000C2443" w:rsidP="000C2443">
      <w:pPr>
        <w:pStyle w:val="Heading3"/>
        <w:rPr>
          <w:lang w:val="en-US"/>
        </w:rPr>
      </w:pPr>
      <w:bookmarkStart w:id="64" w:name="_Toc92875663"/>
      <w:bookmarkStart w:id="65" w:name="_Toc93070687"/>
      <w:bookmarkStart w:id="66" w:name="_Toc326248711"/>
      <w:bookmarkStart w:id="67" w:name="_Toc510604409"/>
      <w:bookmarkStart w:id="68" w:name="_Toc92875664"/>
      <w:bookmarkStart w:id="69" w:name="_Toc93070688"/>
      <w:r w:rsidRPr="00E87FB5">
        <w:rPr>
          <w:lang w:val="en-US"/>
        </w:rPr>
        <w:t>6.X.3</w:t>
      </w:r>
      <w:r w:rsidRPr="00E87FB5">
        <w:rPr>
          <w:lang w:val="en-US"/>
        </w:rPr>
        <w:tab/>
        <w:t>Procedures</w:t>
      </w:r>
      <w:bookmarkEnd w:id="64"/>
      <w:bookmarkEnd w:id="65"/>
    </w:p>
    <w:p w14:paraId="6FA0BE9D" w14:textId="77777777" w:rsidR="000C2443" w:rsidRDefault="000C2443" w:rsidP="000C2443">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78ACD951" w14:textId="77777777" w:rsidR="000C2443" w:rsidRDefault="000C2443" w:rsidP="000F2EAA">
      <w:pPr>
        <w:pStyle w:val="Heading3"/>
        <w:rPr>
          <w:lang w:val="en-US" w:eastAsia="zh-CN"/>
        </w:rPr>
      </w:pPr>
    </w:p>
    <w:p w14:paraId="4673808A" w14:textId="0DEA82E9" w:rsidR="000F2EAA" w:rsidRPr="00E87FB5" w:rsidRDefault="000F2EAA" w:rsidP="000F2EAA">
      <w:pPr>
        <w:pStyle w:val="Heading3"/>
        <w:rPr>
          <w:lang w:val="en-US" w:eastAsia="zh-CN"/>
        </w:rPr>
      </w:pPr>
      <w:r w:rsidRPr="00E87FB5">
        <w:rPr>
          <w:lang w:val="en-US" w:eastAsia="zh-CN"/>
        </w:rPr>
        <w:t>6.X.4</w:t>
      </w:r>
      <w:r w:rsidRPr="00E87FB5">
        <w:rPr>
          <w:lang w:val="en-US" w:eastAsia="zh-CN"/>
        </w:rPr>
        <w:tab/>
      </w:r>
      <w:bookmarkEnd w:id="66"/>
      <w:bookmarkEnd w:id="67"/>
      <w:bookmarkEnd w:id="68"/>
      <w:r w:rsidRPr="00E87FB5">
        <w:rPr>
          <w:lang w:val="en-US"/>
        </w:rPr>
        <w:t>Impacts on services, entities and interfaces</w:t>
      </w:r>
      <w:bookmarkEnd w:id="69"/>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0F11A203" w14:textId="057C8688" w:rsidR="000F1EB0" w:rsidRDefault="000F1EB0" w:rsidP="000F1EB0">
      <w:r w:rsidRPr="000F1EB0">
        <w:t>NG-RAN</w:t>
      </w:r>
      <w:r>
        <w:t xml:space="preserve">: support for L4S </w:t>
      </w:r>
      <w:r w:rsidRPr="00BE2467">
        <w:t>marking of payload packets as specified in RFC 8311[</w:t>
      </w:r>
      <w:r w:rsidR="0E8A659C">
        <w:t>7</w:t>
      </w:r>
      <w:r w:rsidRPr="00BE2467">
        <w:t>].</w:t>
      </w:r>
    </w:p>
    <w:p w14:paraId="0C39D3DC" w14:textId="77777777" w:rsidR="005165A0" w:rsidRPr="000F1EB0" w:rsidRDefault="005165A0" w:rsidP="000F1EB0"/>
    <w:bookmarkEnd w:id="7"/>
    <w:bookmarkEnd w:id="8"/>
    <w:bookmarkEnd w:id="9"/>
    <w:bookmarkEnd w:id="10"/>
    <w:bookmarkEnd w:id="11"/>
    <w:bookmarkEnd w:id="12"/>
    <w:bookmarkEnd w:id="13"/>
    <w:bookmarkEnd w:id="14"/>
    <w:bookmarkEnd w:id="15"/>
    <w:bookmarkEnd w:id="16"/>
    <w:bookmarkEnd w:id="17"/>
    <w:bookmarkEnd w:id="18"/>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B249" w14:textId="77777777" w:rsidR="006E7FCE" w:rsidRDefault="006E7FCE">
      <w:r>
        <w:separator/>
      </w:r>
    </w:p>
    <w:p w14:paraId="33997602" w14:textId="77777777" w:rsidR="006E7FCE" w:rsidRDefault="006E7FCE"/>
  </w:endnote>
  <w:endnote w:type="continuationSeparator" w:id="0">
    <w:p w14:paraId="3AE9EEB4" w14:textId="77777777" w:rsidR="006E7FCE" w:rsidRDefault="006E7FCE">
      <w:r>
        <w:continuationSeparator/>
      </w:r>
    </w:p>
    <w:p w14:paraId="3B7745DC" w14:textId="77777777" w:rsidR="006E7FCE" w:rsidRDefault="006E7FCE"/>
  </w:endnote>
  <w:endnote w:type="continuationNotice" w:id="1">
    <w:p w14:paraId="7F31FE1D" w14:textId="77777777" w:rsidR="006E7FCE" w:rsidRDefault="006E7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695AD" w14:textId="77777777" w:rsidR="006E7FCE" w:rsidRDefault="006E7FCE">
      <w:r>
        <w:separator/>
      </w:r>
    </w:p>
    <w:p w14:paraId="0718FF5E" w14:textId="77777777" w:rsidR="006E7FCE" w:rsidRDefault="006E7FCE"/>
  </w:footnote>
  <w:footnote w:type="continuationSeparator" w:id="0">
    <w:p w14:paraId="36AA1B83" w14:textId="77777777" w:rsidR="006E7FCE" w:rsidRDefault="006E7FCE">
      <w:r>
        <w:continuationSeparator/>
      </w:r>
    </w:p>
    <w:p w14:paraId="36EE421D" w14:textId="77777777" w:rsidR="006E7FCE" w:rsidRDefault="006E7FCE"/>
  </w:footnote>
  <w:footnote w:type="continuationNotice" w:id="1">
    <w:p w14:paraId="416A4961" w14:textId="77777777" w:rsidR="006E7FCE" w:rsidRDefault="006E7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pt;height:16pt" o:bullet="t">
        <v:imagedata r:id="rId1" o:title="art7234"/>
      </v:shape>
    </w:pict>
  </w:numPicBullet>
  <w:numPicBullet w:numPicBulletId="1">
    <w:pict>
      <v:shape id="_x0000_i1045" type="#_x0000_t75" style="width:16pt;height:1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5"/>
  </w:num>
  <w:num w:numId="5">
    <w:abstractNumId w:val="26"/>
  </w:num>
  <w:num w:numId="6">
    <w:abstractNumId w:val="14"/>
  </w:num>
  <w:num w:numId="7">
    <w:abstractNumId w:val="25"/>
  </w:num>
  <w:num w:numId="8">
    <w:abstractNumId w:val="28"/>
  </w:num>
  <w:num w:numId="9">
    <w:abstractNumId w:val="57"/>
  </w:num>
  <w:num w:numId="10">
    <w:abstractNumId w:val="54"/>
  </w:num>
  <w:num w:numId="11">
    <w:abstractNumId w:val="34"/>
  </w:num>
  <w:num w:numId="12">
    <w:abstractNumId w:val="6"/>
  </w:num>
  <w:num w:numId="13">
    <w:abstractNumId w:val="19"/>
  </w:num>
  <w:num w:numId="14">
    <w:abstractNumId w:val="4"/>
  </w:num>
  <w:num w:numId="15">
    <w:abstractNumId w:val="2"/>
  </w:num>
  <w:num w:numId="16">
    <w:abstractNumId w:val="20"/>
  </w:num>
  <w:num w:numId="17">
    <w:abstractNumId w:val="53"/>
  </w:num>
  <w:num w:numId="18">
    <w:abstractNumId w:val="47"/>
  </w:num>
  <w:num w:numId="19">
    <w:abstractNumId w:val="17"/>
  </w:num>
  <w:num w:numId="20">
    <w:abstractNumId w:val="24"/>
  </w:num>
  <w:num w:numId="21">
    <w:abstractNumId w:val="32"/>
  </w:num>
  <w:num w:numId="22">
    <w:abstractNumId w:val="8"/>
  </w:num>
  <w:num w:numId="23">
    <w:abstractNumId w:val="33"/>
  </w:num>
  <w:num w:numId="24">
    <w:abstractNumId w:val="38"/>
  </w:num>
  <w:num w:numId="25">
    <w:abstractNumId w:val="18"/>
  </w:num>
  <w:num w:numId="26">
    <w:abstractNumId w:val="31"/>
  </w:num>
  <w:num w:numId="27">
    <w:abstractNumId w:val="1"/>
  </w:num>
  <w:num w:numId="28">
    <w:abstractNumId w:val="56"/>
  </w:num>
  <w:num w:numId="29">
    <w:abstractNumId w:val="60"/>
  </w:num>
  <w:num w:numId="30">
    <w:abstractNumId w:val="21"/>
  </w:num>
  <w:num w:numId="31">
    <w:abstractNumId w:val="3"/>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9"/>
  </w:num>
  <w:num w:numId="41">
    <w:abstractNumId w:val="42"/>
  </w:num>
  <w:num w:numId="42">
    <w:abstractNumId w:val="48"/>
  </w:num>
  <w:num w:numId="43">
    <w:abstractNumId w:val="13"/>
  </w:num>
  <w:num w:numId="44">
    <w:abstractNumId w:val="10"/>
  </w:num>
  <w:num w:numId="45">
    <w:abstractNumId w:val="58"/>
  </w:num>
  <w:num w:numId="46">
    <w:abstractNumId w:val="36"/>
  </w:num>
  <w:num w:numId="47">
    <w:abstractNumId w:val="30"/>
  </w:num>
  <w:num w:numId="48">
    <w:abstractNumId w:val="15"/>
  </w:num>
  <w:num w:numId="49">
    <w:abstractNumId w:val="11"/>
  </w:num>
  <w:num w:numId="50">
    <w:abstractNumId w:val="49"/>
  </w:num>
  <w:num w:numId="51">
    <w:abstractNumId w:val="39"/>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2"/>
  </w:num>
  <w:num w:numId="58">
    <w:abstractNumId w:val="12"/>
  </w:num>
  <w:num w:numId="59">
    <w:abstractNumId w:val="35"/>
  </w:num>
  <w:num w:numId="60">
    <w:abstractNumId w:val="16"/>
  </w:num>
  <w:num w:numId="6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748"/>
    <w:rsid w:val="0057683F"/>
    <w:rsid w:val="00576F70"/>
    <w:rsid w:val="005774C7"/>
    <w:rsid w:val="00577D83"/>
    <w:rsid w:val="00580650"/>
    <w:rsid w:val="005816B6"/>
    <w:rsid w:val="00581C35"/>
    <w:rsid w:val="00582750"/>
    <w:rsid w:val="005827C3"/>
    <w:rsid w:val="005860AC"/>
    <w:rsid w:val="0058699D"/>
    <w:rsid w:val="00587292"/>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7F6"/>
    <w:rsid w:val="00B90A18"/>
    <w:rsid w:val="00B91E98"/>
    <w:rsid w:val="00B9643B"/>
    <w:rsid w:val="00BA156B"/>
    <w:rsid w:val="00BA179E"/>
    <w:rsid w:val="00BA345C"/>
    <w:rsid w:val="00BA4763"/>
    <w:rsid w:val="00BA524A"/>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ithub.com/EricssonResearch/scre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10903</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Ericsson-March26</cp:lastModifiedBy>
  <cp:revision>6</cp:revision>
  <dcterms:created xsi:type="dcterms:W3CDTF">2022-03-29T09:28:00Z</dcterms:created>
  <dcterms:modified xsi:type="dcterms:W3CDTF">2022-03-29T19:30:00Z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