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74F8" w:rsidRPr="004474F8">
        <w:rPr>
          <w:rFonts w:ascii="Arial" w:hAnsi="Arial" w:cs="Arial"/>
          <w:b/>
          <w:bCs/>
          <w:i/>
          <w:sz w:val="28"/>
          <w:szCs w:val="24"/>
        </w:rPr>
        <w:t>S2-2200282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8F27A8" w:rsidRPr="00F07446">
        <w:rPr>
          <w:color w:val="000000"/>
          <w:lang w:val="en-US"/>
        </w:rPr>
        <w:t xml:space="preserve">Reply LS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F27A8" w:rsidRPr="00F07446">
        <w:rPr>
          <w:color w:val="000000"/>
          <w:lang w:val="en-US"/>
        </w:rPr>
        <w:t>Reply LS</w:t>
      </w:r>
      <w:r w:rsidR="008F27A8">
        <w:rPr>
          <w:color w:val="000000"/>
          <w:lang w:val="en-US"/>
        </w:rPr>
        <w:t xml:space="preserve"> (</w:t>
      </w:r>
      <w:r w:rsidR="004474F8" w:rsidRPr="004474F8">
        <w:rPr>
          <w:color w:val="000000"/>
          <w:lang w:val="en-US"/>
        </w:rPr>
        <w:t>S2-2200054</w:t>
      </w:r>
      <w:r w:rsidR="004474F8">
        <w:rPr>
          <w:color w:val="000000"/>
          <w:lang w:val="en-US"/>
        </w:rPr>
        <w:t>/</w:t>
      </w:r>
      <w:r w:rsidR="008F27A8">
        <w:rPr>
          <w:color w:val="000000"/>
          <w:lang w:val="en-US"/>
        </w:rPr>
        <w:t>C4-216381)</w:t>
      </w:r>
      <w:r w:rsidR="008F27A8" w:rsidRPr="00F07446">
        <w:rPr>
          <w:color w:val="000000"/>
          <w:lang w:val="en-US"/>
        </w:rPr>
        <w:t xml:space="preserve">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8F27A8">
        <w:rPr>
          <w:color w:val="000000"/>
        </w:rPr>
        <w:t xml:space="preserve">Release </w:t>
      </w:r>
      <w:r w:rsidR="008F27A8" w:rsidRPr="008F27A8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F27A8" w:rsidRPr="002C7415">
        <w:t>SBIProtoc17</w:t>
      </w:r>
      <w:r w:rsidR="008F27A8">
        <w:t>, TEI17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F27A8">
        <w:rPr>
          <w:b w:val="0"/>
        </w:rPr>
        <w:t>CT4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8F27A8">
        <w:rPr>
          <w:lang w:val="fr-FR"/>
        </w:rPr>
        <w:t>CT1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27A8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27A8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F27A8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81125" w:rsidRDefault="00881125" w:rsidP="0088112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CT4</w:t>
      </w:r>
      <w:r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answers to the CT4 questions.</w:t>
      </w:r>
    </w:p>
    <w:p w:rsidR="00881125" w:rsidRDefault="00881125" w:rsidP="00881125">
      <w:pPr>
        <w:rPr>
          <w:rFonts w:ascii="Arial" w:hAnsi="Arial" w:cs="Arial"/>
          <w:i/>
          <w:iCs/>
          <w:color w:val="FF0000"/>
        </w:rPr>
      </w:pPr>
    </w:p>
    <w:p w:rsidR="00881125" w:rsidRPr="00082385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lang w:eastAsia="en-GB"/>
        </w:rPr>
        <w:t xml:space="preserve">Previous </w:t>
      </w:r>
      <w:r w:rsidRPr="00082385">
        <w:rPr>
          <w:rFonts w:ascii="Times New Roman" w:eastAsia="宋体" w:hAnsi="Times New Roman" w:hint="eastAsia"/>
          <w:lang w:eastAsia="en-GB"/>
        </w:rPr>
        <w:t>S</w:t>
      </w:r>
      <w:r w:rsidRPr="00082385">
        <w:rPr>
          <w:rFonts w:ascii="Times New Roman" w:eastAsia="宋体" w:hAnsi="Times New Roman"/>
          <w:lang w:eastAsia="en-GB"/>
        </w:rPr>
        <w: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t>
      </w:r>
    </w:p>
    <w:p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>: Which procedures</w:t>
      </w:r>
      <w:r>
        <w:rPr>
          <w:rFonts w:ascii="Times New Roman" w:eastAsia="宋体" w:hAnsi="Times New Roman"/>
          <w:lang w:eastAsia="en-GB"/>
        </w:rPr>
        <w:t xml:space="preserve">/messages </w:t>
      </w:r>
      <w:r w:rsidRPr="00082385">
        <w:rPr>
          <w:rFonts w:ascii="Times New Roman" w:eastAsia="宋体" w:hAnsi="Times New Roman"/>
          <w:lang w:eastAsia="en-GB"/>
        </w:rPr>
        <w:t>do not require an immediate response from the UE? Practically, in which use case is it possible to apply Asynchronous Type Communication?</w:t>
      </w:r>
    </w:p>
    <w:p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b/>
          <w:lang w:eastAsia="en-GB"/>
        </w:rPr>
        <w:t>SA2 Answer A</w:t>
      </w:r>
      <w:r w:rsidRPr="00881125">
        <w:rPr>
          <w:rFonts w:ascii="Times New Roman" w:eastAsia="宋体" w:hAnsi="Times New Roman"/>
          <w:lang w:eastAsia="en-GB"/>
        </w:rPr>
        <w:t>:</w:t>
      </w:r>
      <w:r>
        <w:rPr>
          <w:rFonts w:ascii="Times New Roman" w:eastAsia="宋体" w:hAnsi="Times New Roman"/>
          <w:lang w:eastAsia="en-GB"/>
        </w:rPr>
        <w:t xml:space="preserve"> </w:t>
      </w:r>
      <w:r w:rsidR="00B3025A">
        <w:rPr>
          <w:rFonts w:ascii="Times New Roman" w:eastAsia="宋体" w:hAnsi="Times New Roman"/>
          <w:lang w:eastAsia="en-GB"/>
        </w:rPr>
        <w:t xml:space="preserve">SA2 has not limit ATC to specific procedures/messages. The use case could be any scenario that does not need the UE immediate reaction. </w:t>
      </w:r>
      <w:ins w:id="0" w:author="Huawei3" w:date="2022-02-16T20:05:00Z">
        <w:r w:rsidR="00D4788A">
          <w:rPr>
            <w:rFonts w:ascii="Times New Roman" w:eastAsia="宋体" w:hAnsi="Times New Roman"/>
            <w:lang w:eastAsia="en-GB"/>
          </w:rPr>
          <w:t xml:space="preserve">SA2 has discussed several use cases. </w:t>
        </w:r>
      </w:ins>
      <w:r>
        <w:rPr>
          <w:rFonts w:ascii="Times New Roman" w:eastAsia="宋体" w:hAnsi="Times New Roman"/>
          <w:lang w:eastAsia="en-GB"/>
        </w:rPr>
        <w:t xml:space="preserve">For example, the QoS rule modification/deletion in idle mode does not need immediate response from the UE as there is no traffic at all when the UE is in idle mode. </w:t>
      </w:r>
      <w:r w:rsidR="00B3025A">
        <w:rPr>
          <w:rFonts w:ascii="Times New Roman" w:eastAsia="宋体" w:hAnsi="Times New Roman"/>
          <w:lang w:eastAsia="en-GB"/>
        </w:rPr>
        <w:t xml:space="preserve">For another example, PMIC for the DS-TT does not need an </w:t>
      </w:r>
      <w:r w:rsidR="00B3025A" w:rsidRPr="00082385">
        <w:rPr>
          <w:rFonts w:ascii="Times New Roman" w:eastAsia="宋体" w:hAnsi="Times New Roman"/>
          <w:lang w:eastAsia="en-GB"/>
        </w:rPr>
        <w:t>immediate response from the UE</w:t>
      </w:r>
      <w:r w:rsidR="00B3025A">
        <w:rPr>
          <w:rFonts w:ascii="Times New Roman" w:eastAsia="宋体" w:hAnsi="Times New Roman"/>
          <w:lang w:eastAsia="en-GB"/>
        </w:rPr>
        <w:t xml:space="preserve"> as the configuration from TSN AF (or CNC) needs to be trans</w:t>
      </w:r>
      <w:r w:rsidR="00B52A5D">
        <w:rPr>
          <w:rFonts w:ascii="Times New Roman" w:eastAsia="宋体" w:hAnsi="Times New Roman"/>
          <w:lang w:eastAsia="en-GB"/>
        </w:rPr>
        <w:t xml:space="preserve">ferred to all the ports anyway. </w:t>
      </w:r>
      <w:ins w:id="1" w:author="Huawei3" w:date="2022-02-16T21:16:00Z">
        <w:r w:rsidR="00F3483F">
          <w:rPr>
            <w:rFonts w:ascii="Times New Roman" w:eastAsia="宋体" w:hAnsi="Times New Roman"/>
            <w:lang w:eastAsia="en-GB"/>
          </w:rPr>
          <w:t>S</w:t>
        </w:r>
      </w:ins>
      <w:ins w:id="2" w:author="Huawei3" w:date="2022-02-16T19:45:00Z">
        <w:r w:rsidR="00B52A5D">
          <w:rPr>
            <w:rFonts w:ascii="Times New Roman" w:eastAsia="宋体" w:hAnsi="Times New Roman"/>
            <w:lang w:eastAsia="en-GB"/>
          </w:rPr>
          <w:t>ome companies think</w:t>
        </w:r>
      </w:ins>
      <w:ins w:id="3" w:author="Huawei3" w:date="2022-02-16T20:06:00Z">
        <w:r w:rsidR="00D4788A">
          <w:rPr>
            <w:rFonts w:ascii="Times New Roman" w:eastAsia="宋体" w:hAnsi="Times New Roman"/>
            <w:lang w:eastAsia="en-GB"/>
          </w:rPr>
          <w:t xml:space="preserve"> it is not necessary</w:t>
        </w:r>
      </w:ins>
      <w:ins w:id="4" w:author="Huawei3" w:date="2022-02-16T19:45:00Z">
        <w:r w:rsidR="00B52A5D">
          <w:rPr>
            <w:rFonts w:ascii="Times New Roman" w:eastAsia="宋体" w:hAnsi="Times New Roman"/>
            <w:lang w:eastAsia="en-GB"/>
          </w:rPr>
          <w:t xml:space="preserve"> to specify the use cases and the general </w:t>
        </w:r>
      </w:ins>
      <w:ins w:id="5" w:author="Huawei3" w:date="2022-02-16T19:46:00Z">
        <w:r w:rsidR="00B52A5D">
          <w:rPr>
            <w:rFonts w:ascii="Times New Roman" w:eastAsia="宋体" w:hAnsi="Times New Roman"/>
            <w:lang w:eastAsia="en-GB"/>
          </w:rPr>
          <w:t>description</w:t>
        </w:r>
      </w:ins>
      <w:ins w:id="6" w:author="Huawei3" w:date="2022-02-16T20:06:00Z">
        <w:r w:rsidR="00D4788A">
          <w:rPr>
            <w:rFonts w:ascii="Times New Roman" w:eastAsia="宋体" w:hAnsi="Times New Roman"/>
            <w:lang w:eastAsia="en-GB"/>
          </w:rPr>
          <w:t xml:space="preserve"> in clause 5.23 of TS 23.501</w:t>
        </w:r>
      </w:ins>
      <w:ins w:id="7" w:author="Huawei3" w:date="2022-02-16T19:46:00Z">
        <w:r w:rsidR="00B52A5D">
          <w:rPr>
            <w:rFonts w:ascii="Times New Roman" w:eastAsia="宋体" w:hAnsi="Times New Roman"/>
            <w:lang w:eastAsia="en-GB"/>
          </w:rPr>
          <w:t xml:space="preserve"> is enough.</w:t>
        </w:r>
      </w:ins>
      <w:ins w:id="8" w:author="Huawei3" w:date="2022-02-16T21:10:00Z">
        <w:r w:rsidR="00F3483F">
          <w:rPr>
            <w:rFonts w:ascii="Times New Roman" w:eastAsia="宋体" w:hAnsi="Times New Roman"/>
            <w:lang w:eastAsia="en-GB"/>
          </w:rPr>
          <w:t xml:space="preserve"> </w:t>
        </w:r>
      </w:ins>
      <w:ins w:id="9" w:author="Huawei3" w:date="2022-02-16T21:16:00Z">
        <w:r w:rsidR="00F3483F">
          <w:rPr>
            <w:rFonts w:ascii="Times New Roman" w:eastAsia="宋体" w:hAnsi="Times New Roman"/>
            <w:lang w:eastAsia="en-GB"/>
          </w:rPr>
          <w:t>However</w:t>
        </w:r>
      </w:ins>
      <w:ins w:id="10" w:author="Huawei3" w:date="2022-02-16T21:10:00Z">
        <w:r w:rsidR="00F3483F">
          <w:rPr>
            <w:rFonts w:ascii="Times New Roman" w:eastAsia="宋体" w:hAnsi="Times New Roman"/>
            <w:lang w:eastAsia="en-GB"/>
          </w:rPr>
          <w:t xml:space="preserve">, </w:t>
        </w:r>
      </w:ins>
      <w:ins w:id="11" w:author="Huawei3" w:date="2022-02-16T21:21:00Z">
        <w:r w:rsidR="00CF4C49">
          <w:rPr>
            <w:rFonts w:ascii="Times New Roman" w:eastAsia="宋体" w:hAnsi="Times New Roman"/>
            <w:lang w:eastAsia="en-GB"/>
          </w:rPr>
          <w:t>a few</w:t>
        </w:r>
      </w:ins>
      <w:ins w:id="12" w:author="Huawei3" w:date="2022-02-16T21:10:00Z">
        <w:r w:rsidR="00F3483F">
          <w:rPr>
            <w:rFonts w:ascii="Times New Roman" w:eastAsia="宋体" w:hAnsi="Times New Roman"/>
            <w:lang w:eastAsia="en-GB"/>
          </w:rPr>
          <w:t xml:space="preserve"> companies think </w:t>
        </w:r>
      </w:ins>
      <w:ins w:id="13" w:author="Huawei3" w:date="2022-02-16T21:30:00Z">
        <w:r w:rsidR="00CF4C49">
          <w:rPr>
            <w:rFonts w:ascii="Times New Roman" w:eastAsia="宋体" w:hAnsi="Times New Roman"/>
            <w:lang w:eastAsia="en-GB"/>
          </w:rPr>
          <w:t xml:space="preserve">ATC cannot </w:t>
        </w:r>
      </w:ins>
      <w:ins w:id="14" w:author="Huawei3" w:date="2022-02-16T21:31:00Z">
        <w:r w:rsidR="00151F0C">
          <w:rPr>
            <w:rFonts w:ascii="Times New Roman" w:eastAsia="宋体" w:hAnsi="Times New Roman"/>
            <w:lang w:eastAsia="en-GB"/>
          </w:rPr>
          <w:t xml:space="preserve">be safely used in </w:t>
        </w:r>
      </w:ins>
      <w:ins w:id="15" w:author="Huawei3" w:date="2022-02-16T21:10:00Z">
        <w:r w:rsidR="00F3483F">
          <w:rPr>
            <w:rFonts w:ascii="Times New Roman" w:eastAsia="宋体" w:hAnsi="Times New Roman"/>
            <w:lang w:eastAsia="en-GB"/>
          </w:rPr>
          <w:t xml:space="preserve">the discussed </w:t>
        </w:r>
      </w:ins>
      <w:ins w:id="16" w:author="Huawei3" w:date="2022-02-16T21:11:00Z">
        <w:r w:rsidR="00F3483F">
          <w:rPr>
            <w:rFonts w:ascii="Times New Roman" w:eastAsia="宋体" w:hAnsi="Times New Roman"/>
            <w:lang w:eastAsia="en-GB"/>
          </w:rPr>
          <w:t>use cases</w:t>
        </w:r>
      </w:ins>
      <w:ins w:id="17" w:author="Huawei3" w:date="2022-02-16T21:30:00Z">
        <w:r w:rsidR="00CF4C49">
          <w:rPr>
            <w:rFonts w:ascii="Times New Roman" w:eastAsia="宋体" w:hAnsi="Times New Roman"/>
            <w:lang w:eastAsia="en-GB"/>
          </w:rPr>
          <w:t xml:space="preserve"> </w:t>
        </w:r>
      </w:ins>
      <w:ins w:id="18" w:author="Huawei3" w:date="2022-02-16T21:31:00Z">
        <w:r w:rsidR="00CF4C49">
          <w:rPr>
            <w:rFonts w:ascii="Times New Roman" w:eastAsia="宋体" w:hAnsi="Times New Roman"/>
            <w:lang w:eastAsia="en-GB"/>
          </w:rPr>
          <w:t>based on stage 3 arguments</w:t>
        </w:r>
      </w:ins>
      <w:ins w:id="19" w:author="Huawei3" w:date="2022-02-16T21:32:00Z">
        <w:r w:rsidR="00151F0C">
          <w:rPr>
            <w:rFonts w:ascii="Times New Roman" w:eastAsia="宋体" w:hAnsi="Times New Roman"/>
            <w:lang w:eastAsia="en-GB"/>
          </w:rPr>
          <w:t>, which cannot be judged in SA2</w:t>
        </w:r>
      </w:ins>
      <w:ins w:id="20" w:author="Huawei3" w:date="2022-02-16T21:11:00Z">
        <w:r w:rsidR="00F3483F">
          <w:rPr>
            <w:rFonts w:ascii="Times New Roman" w:eastAsia="宋体" w:hAnsi="Times New Roman"/>
            <w:lang w:eastAsia="en-GB"/>
          </w:rPr>
          <w:t>.</w:t>
        </w:r>
      </w:ins>
      <w:ins w:id="21" w:author="Huawei3" w:date="2022-02-16T21:31:00Z">
        <w:r w:rsidR="00151F0C">
          <w:rPr>
            <w:rFonts w:ascii="Times New Roman" w:eastAsia="宋体" w:hAnsi="Times New Roman"/>
            <w:lang w:eastAsia="en-GB"/>
          </w:rPr>
          <w:t xml:space="preserve"> </w:t>
        </w:r>
        <w:r w:rsidR="00CF4C49">
          <w:rPr>
            <w:rFonts w:ascii="Times New Roman" w:eastAsia="宋体" w:hAnsi="Times New Roman"/>
            <w:lang w:eastAsia="en-GB"/>
          </w:rPr>
          <w:t xml:space="preserve"> </w:t>
        </w:r>
      </w:ins>
      <w:bookmarkStart w:id="22" w:name="_GoBack"/>
      <w:bookmarkEnd w:id="22"/>
    </w:p>
    <w:p w:rsidR="00881125" w:rsidRPr="00CC3C58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lang w:eastAsia="en-GB"/>
        </w:rPr>
        <w:t xml:space="preserve">Previous </w:t>
      </w:r>
      <w:r w:rsidRPr="00CC3C58">
        <w:rPr>
          <w:rFonts w:ascii="Times New Roman" w:eastAsia="宋体" w:hAnsi="Times New Roman" w:hint="eastAsia"/>
          <w:lang w:eastAsia="en-GB"/>
        </w:rPr>
        <w:t>S</w:t>
      </w:r>
      <w:r w:rsidRPr="00CC3C58">
        <w:rPr>
          <w:rFonts w:ascii="Times New Roman" w:eastAsia="宋体" w:hAnsi="Times New Roman"/>
          <w:lang w:eastAsia="en-GB"/>
        </w:rPr>
        <w:t>A2 Answer 4: Please also see Answer 1. In principle, ATC could be allowed also on MT Data assuming delivering mtData does not require immediate response from UE.</w:t>
      </w:r>
    </w:p>
    <w:p w:rsidR="00881125" w:rsidRPr="001B3B73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 xml:space="preserve">: </w:t>
      </w:r>
      <w:r w:rsidRPr="00CC3C58">
        <w:rPr>
          <w:rFonts w:ascii="Times New Roman" w:eastAsia="宋体" w:hAnsi="Times New Roman"/>
          <w:lang w:eastAsia="en-GB"/>
        </w:rPr>
        <w:t>How can the SMF be aware of whether the mtData requir</w:t>
      </w:r>
      <w:r>
        <w:rPr>
          <w:rFonts w:ascii="Times New Roman" w:eastAsia="宋体" w:hAnsi="Times New Roman"/>
          <w:lang w:eastAsia="en-GB"/>
        </w:rPr>
        <w:t>es an immediate response or not</w:t>
      </w:r>
      <w:r w:rsidRPr="00082385">
        <w:rPr>
          <w:rFonts w:ascii="Times New Roman" w:eastAsia="宋体" w:hAnsi="Times New Roman"/>
          <w:lang w:eastAsia="en-GB"/>
        </w:rPr>
        <w:t>?</w:t>
      </w:r>
    </w:p>
    <w:p w:rsidR="00B3025A" w:rsidRDefault="00B3025A" w:rsidP="00B3025A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b/>
          <w:lang w:eastAsia="en-GB"/>
        </w:rPr>
        <w:t>SA2 Answer B</w:t>
      </w:r>
      <w:r w:rsidRPr="00881125">
        <w:rPr>
          <w:rFonts w:ascii="Times New Roman" w:eastAsia="宋体" w:hAnsi="Times New Roman"/>
          <w:lang w:eastAsia="en-GB"/>
        </w:rPr>
        <w:t>:</w:t>
      </w:r>
      <w:r>
        <w:rPr>
          <w:rFonts w:ascii="Times New Roman" w:eastAsia="宋体" w:hAnsi="Times New Roman"/>
          <w:lang w:eastAsia="en-GB"/>
        </w:rPr>
        <w:t xml:space="preserve"> The SMF could be aware of this based on configuration, e.g. DNN/S-NSSAI.</w:t>
      </w:r>
      <w:ins w:id="23" w:author="Huawei3" w:date="2022-02-16T21:11:00Z">
        <w:r w:rsidR="00F3483F">
          <w:rPr>
            <w:rFonts w:ascii="Times New Roman" w:eastAsia="宋体" w:hAnsi="Times New Roman"/>
            <w:lang w:eastAsia="en-GB"/>
          </w:rPr>
          <w:t xml:space="preserve"> Howev</w:t>
        </w:r>
      </w:ins>
      <w:ins w:id="24" w:author="Huawei3" w:date="2022-02-16T21:12:00Z">
        <w:r w:rsidR="00F3483F">
          <w:rPr>
            <w:rFonts w:ascii="Times New Roman" w:eastAsia="宋体" w:hAnsi="Times New Roman"/>
            <w:lang w:eastAsia="en-GB"/>
          </w:rPr>
          <w:t xml:space="preserve">er, there could be DNN/S-NSSAI where the applications have different requirements. In that case, </w:t>
        </w:r>
      </w:ins>
      <w:del w:id="25" w:author="Huawei3" w:date="2022-02-16T21:11:00Z">
        <w:r w:rsidDel="00F3483F">
          <w:rPr>
            <w:rFonts w:ascii="Times New Roman" w:eastAsia="宋体" w:hAnsi="Times New Roman"/>
            <w:lang w:eastAsia="en-GB"/>
          </w:rPr>
          <w:delText xml:space="preserve"> </w:delText>
        </w:r>
      </w:del>
      <w:ins w:id="26" w:author="Huawei3" w:date="2022-02-16T21:15:00Z">
        <w:r w:rsidR="00F3483F">
          <w:rPr>
            <w:rFonts w:ascii="Times New Roman" w:eastAsia="宋体" w:hAnsi="Times New Roman"/>
            <w:lang w:eastAsia="en-GB"/>
          </w:rPr>
          <w:t>the SMF should not use the DNN/S-NSSAI to make the decision.</w:t>
        </w:r>
      </w:ins>
    </w:p>
    <w:p w:rsidR="00463675" w:rsidRPr="00B3025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4474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025A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</w:t>
      </w:r>
      <w:r w:rsidRPr="004474F8">
        <w:rPr>
          <w:rFonts w:ascii="Arial" w:hAnsi="Arial" w:cs="Arial"/>
          <w:b/>
        </w:rPr>
        <w:t>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4474F8">
        <w:rPr>
          <w:rFonts w:ascii="Arial" w:hAnsi="Arial" w:cs="Arial"/>
          <w:b/>
        </w:rPr>
        <w:t xml:space="preserve">ACTION: </w:t>
      </w:r>
      <w:r w:rsidRPr="004474F8">
        <w:rPr>
          <w:rFonts w:ascii="Arial" w:hAnsi="Arial" w:cs="Arial"/>
          <w:b/>
        </w:rPr>
        <w:tab/>
      </w:r>
      <w:r w:rsidR="0045420C" w:rsidRPr="004474F8">
        <w:rPr>
          <w:rFonts w:ascii="Arial" w:hAnsi="Arial" w:cs="Arial"/>
          <w:color w:val="000000"/>
        </w:rPr>
        <w:t>SA</w:t>
      </w:r>
      <w:r w:rsidR="006F1B00" w:rsidRPr="004474F8">
        <w:rPr>
          <w:rFonts w:ascii="Arial" w:hAnsi="Arial" w:cs="Arial"/>
          <w:color w:val="000000"/>
        </w:rPr>
        <w:t>2</w:t>
      </w:r>
      <w:r w:rsidRPr="004474F8">
        <w:rPr>
          <w:rFonts w:ascii="Arial" w:hAnsi="Arial" w:cs="Arial"/>
          <w:color w:val="000000"/>
        </w:rPr>
        <w:t xml:space="preserve"> asks </w:t>
      </w:r>
      <w:r w:rsidR="00B3025A" w:rsidRPr="004474F8">
        <w:rPr>
          <w:rFonts w:ascii="Arial" w:hAnsi="Arial" w:cs="Arial"/>
          <w:color w:val="000000"/>
        </w:rPr>
        <w:t>CT4</w:t>
      </w:r>
      <w:r w:rsidR="006E17FC" w:rsidRPr="004474F8">
        <w:rPr>
          <w:rFonts w:ascii="Arial" w:hAnsi="Arial" w:cs="Arial"/>
          <w:color w:val="000000"/>
        </w:rPr>
        <w:t xml:space="preserve"> group to </w:t>
      </w:r>
    </w:p>
    <w:p w:rsidR="00463675" w:rsidRPr="008F27A8" w:rsidRDefault="00B3025A">
      <w:pPr>
        <w:rPr>
          <w:rFonts w:ascii="Arial" w:hAnsi="Arial" w:cs="Arial"/>
          <w:i/>
          <w:iCs/>
        </w:rPr>
      </w:pPr>
      <w:r w:rsidRPr="008F27A8">
        <w:rPr>
          <w:rFonts w:ascii="Arial" w:hAnsi="Arial" w:cs="Arial"/>
        </w:rPr>
        <w:t xml:space="preserve">Take the above information into account and update their </w:t>
      </w:r>
      <w:r w:rsidR="008F27A8" w:rsidRPr="008F27A8">
        <w:rPr>
          <w:rFonts w:ascii="Arial" w:hAnsi="Arial" w:cs="Arial"/>
        </w:rPr>
        <w:t>specifications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D1F" w:rsidRDefault="00D04D1F">
      <w:r>
        <w:separator/>
      </w:r>
    </w:p>
  </w:endnote>
  <w:endnote w:type="continuationSeparator" w:id="0">
    <w:p w:rsidR="00D04D1F" w:rsidRDefault="00D04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D1F" w:rsidRDefault="00D04D1F">
      <w:r>
        <w:separator/>
      </w:r>
    </w:p>
  </w:footnote>
  <w:footnote w:type="continuationSeparator" w:id="0">
    <w:p w:rsidR="00D04D1F" w:rsidRDefault="00D04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923"/>
    <w:rsid w:val="000534DD"/>
    <w:rsid w:val="00076BB0"/>
    <w:rsid w:val="000E7FEC"/>
    <w:rsid w:val="000F08AB"/>
    <w:rsid w:val="000F4E43"/>
    <w:rsid w:val="00130D6F"/>
    <w:rsid w:val="00144B78"/>
    <w:rsid w:val="00151F0C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474F8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1125"/>
    <w:rsid w:val="00895E01"/>
    <w:rsid w:val="008B2BBD"/>
    <w:rsid w:val="008C2107"/>
    <w:rsid w:val="008D6007"/>
    <w:rsid w:val="008F1776"/>
    <w:rsid w:val="008F27A8"/>
    <w:rsid w:val="00906004"/>
    <w:rsid w:val="00923E7C"/>
    <w:rsid w:val="009933DA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025A"/>
    <w:rsid w:val="00B31FE9"/>
    <w:rsid w:val="00B52A5D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F4C49"/>
    <w:rsid w:val="00D03F4E"/>
    <w:rsid w:val="00D04D1F"/>
    <w:rsid w:val="00D4788A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52363"/>
    <w:rsid w:val="00E74294"/>
    <w:rsid w:val="00E87510"/>
    <w:rsid w:val="00EC13E9"/>
    <w:rsid w:val="00ED6CD9"/>
    <w:rsid w:val="00EE2C25"/>
    <w:rsid w:val="00EE3074"/>
    <w:rsid w:val="00F248C0"/>
    <w:rsid w:val="00F25264"/>
    <w:rsid w:val="00F3483F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rsid w:val="00881125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52A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52A5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LS on Support of Asynchronous Type Communication in N1N2Mes</vt:lpstr>
      <vt:lpstr>Response to:	Reply LS (S2-2200054/C4-216381) on Support of Asynchronous Type Com</vt:lpstr>
      <vt:lpstr>Release:	Release 17</vt:lpstr>
      <vt:lpstr>Work Item:	SBIProtoc17, TEI17</vt:lpstr>
      <vt:lpstr>Attachments:	None</vt:lpstr>
    </vt:vector>
  </TitlesOfParts>
  <Company>ETSI Sophia Antipolis</Company>
  <LinksUpToDate>false</LinksUpToDate>
  <CharactersWithSpaces>2922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2</cp:revision>
  <cp:lastPrinted>2002-04-23T08:10:00Z</cp:lastPrinted>
  <dcterms:created xsi:type="dcterms:W3CDTF">2022-02-16T13:41:00Z</dcterms:created>
  <dcterms:modified xsi:type="dcterms:W3CDTF">2022-02-16T13:41:00Z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(3)4NCFaC3CWWB2HwXMyR9RDltrqJkaWwqXq6cpOdWu9pC1UHk2uvIGGYFXf86S3oaMHez+gtuy
AxDAohEPSXUmBvrrLkxOpvmG2OPbp7z7uOc/k15u7DGUoJLU2Ghy0K9hfpwUQaIF50AGMtLf
eUF+vOojd2JU83SQ9ftU4mK5wtppNneNxrdkc+/6iG8P2ZoUy2W5JQmLTY2OJquEb/6e/nDa
y1Lul0/JGHFOQS33hi</vt:lpwstr>
  </property>
  <property fmtid="{D5CDD505-2E9C-101B-9397-08002B2CF9AE}" pid="7" name="_2015_ms_pID_7253431">
    <vt:lpwstr>4NM961F0cohn6/j6a+6uycEPGrS3nk61oScoaVPYv4SOIqedTtRQWY
cjRhdGZMfkpWGblRWk3r9jF+oq7D2tVvohA24nTnNhz56AL0sN0oGI1vIx0o1q+J9+Sz/+N/
u5f3QYIecWnhSELxTXKfk/lHnv3g1Hqg1SC0SABxxuRSkhB5GZ9CNABEZltwQePeXJLsLNFE
XrYgpAEHpwxcARB56aEHS0fU6k4DgUDVbCY0</vt:lpwstr>
  </property>
  <property fmtid="{D5CDD505-2E9C-101B-9397-08002B2CF9AE}" pid="8" name="_2015_ms_pID_7253432">
    <vt:lpwstr>mQ==</vt:lpwstr>
  </property>
</Properties>
</file>