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r>
        <w:rPr>
          <w:b/>
          <w:i/>
          <w:noProof/>
          <w:sz w:val="28"/>
        </w:rPr>
        <w:tab/>
      </w:r>
      <w:hyperlink r:id="rId9" w:history="1">
        <w:r>
          <w:rPr>
            <w:b/>
            <w:noProof/>
            <w:sz w:val="24"/>
          </w:rPr>
          <w:t>S2-2108480</w:t>
        </w:r>
      </w:hyperlink>
      <w:ins w:id="0" w:author="Myungjune@LGE_r01" w:date="2021-11-16T08:24:00Z">
        <w:r>
          <w:rPr>
            <w:b/>
            <w:noProof/>
            <w:sz w:val="24"/>
          </w:rPr>
          <w:t>r0</w:t>
        </w:r>
      </w:ins>
      <w:ins w:id="1" w:author="Myungjune@LGE_r03" w:date="2021-11-16T20:21:00Z">
        <w:r>
          <w:rPr>
            <w:b/>
            <w:noProof/>
            <w:sz w:val="24"/>
          </w:rPr>
          <w:t>3</w:t>
        </w:r>
      </w:ins>
    </w:p>
    <w:p>
      <w:pPr>
        <w:pStyle w:val="CRCoverPage"/>
        <w:tabs>
          <w:tab w:val="right" w:pos="9639"/>
        </w:tabs>
        <w:outlineLvl w:val="0"/>
        <w:rPr>
          <w:b/>
          <w:noProof/>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noProof/>
          <w:sz w:val="24"/>
        </w:rPr>
        <w:t>,</w:t>
      </w:r>
      <w:fldSimple w:instr=" DOCPROPERTY  StartDate  \* MERGEFORMAT ">
        <w:r>
          <w:rPr>
            <w:b/>
            <w:noProof/>
            <w:sz w:val="24"/>
          </w:rPr>
          <w:t xml:space="preserve"> </w:t>
        </w:r>
        <w:r>
          <w:rPr>
            <w:b/>
            <w:sz w:val="24"/>
            <w:lang w:val="en-US"/>
          </w:rPr>
          <w:t xml:space="preserve">November 15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(revision 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0654</w:t>
            </w:r>
            <w:r>
              <w:t xml:space="preserve"> </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bookmarkStart w:id="2" w:name="_GoBack"/>
            <w:bookmarkEnd w:id="2"/>
            <w:ins w:id="3" w:author="Myungjune@LGE_r03" w:date="2021-11-16T20:26:00Z">
              <w:r>
                <w:rPr>
                  <w:b/>
                  <w:noProof/>
                  <w:sz w:val="28"/>
                </w:rPr>
                <w:t>3</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Extending MA PDU Session Control information in the PCC Rule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ins w:id="5" w:author="Myungjune@LGE_rev2" w:date="2021-11-08T13:18:00Z">
              <w:r>
                <w:t>[</w:t>
              </w:r>
            </w:ins>
            <w:r>
              <w:t>Ericsson, Lenovo, Motorola Mobility</w:t>
            </w:r>
            <w:ins w:id="6" w:author="Myungjune@LGE_rev2" w:date="2021-11-08T13:18:00Z">
              <w:r>
                <w:t>]</w:t>
              </w:r>
            </w:ins>
            <w:ins w:id="7" w:author="Myungjune@LGE_rev2" w:date="2021-11-08T11:57:00Z">
              <w: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i/>
                <w:noProof/>
                <w:sz w:val="18"/>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MA PDU Session Control Information in the PCC Rule does not contain the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MA PDU Session Control Information in the PCC Rule is extended with both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Incomplete specification of the PCC Rule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6.1.3.20, 6.3.1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8" w:author="Myungjune@LGE_rev2" w:date="2021-11-08T11:57:00Z"/>
                <w:noProof/>
                <w:lang w:eastAsia="ko-KR"/>
              </w:rPr>
            </w:pPr>
            <w:ins w:id="9" w:author="Myungjune@LGE_rev2" w:date="2021-11-08T11:57:00Z">
              <w:r>
                <w:rPr>
                  <w:rFonts w:hint="eastAsia"/>
                  <w:noProof/>
                  <w:lang w:eastAsia="ko-KR"/>
                </w:rPr>
                <w:t>In re</w:t>
              </w:r>
              <w:r>
                <w:rPr>
                  <w:noProof/>
                  <w:lang w:eastAsia="ko-KR"/>
                </w:rPr>
                <w:t xml:space="preserve">v2, (compared to S2-2107828, </w:t>
              </w:r>
              <w:r>
                <w:rPr>
                  <w:noProof/>
                  <w:highlight w:val="yellow"/>
                  <w:lang w:eastAsia="ko-KR"/>
                </w:rPr>
                <w:t>all chagens are highlihted in yellow)</w:t>
              </w:r>
            </w:ins>
          </w:p>
          <w:p>
            <w:pPr>
              <w:pStyle w:val="CRCoverPage"/>
              <w:numPr>
                <w:ilvl w:val="0"/>
                <w:numId w:val="12"/>
              </w:numPr>
              <w:spacing w:after="0"/>
              <w:rPr>
                <w:ins w:id="10" w:author="Myungjune@LGE_rev2" w:date="2021-11-08T11:57:00Z"/>
                <w:noProof/>
                <w:lang w:eastAsia="ko-KR"/>
              </w:rPr>
            </w:pPr>
            <w:ins w:id="11" w:author="Myungjune@LGE_rev2" w:date="2021-11-08T11:57:00Z">
              <w:r>
                <w:rPr>
                  <w:noProof/>
                  <w:lang w:eastAsia="ko-KR"/>
                </w:rPr>
                <w:t xml:space="preserve">Clarify that PCF </w:t>
              </w:r>
            </w:ins>
            <w:ins w:id="12" w:author="Myungjune@LGE_r01" w:date="2021-11-16T08:22:00Z">
              <w:r>
                <w:rPr>
                  <w:noProof/>
                  <w:highlight w:val="green"/>
                  <w:lang w:eastAsia="ko-KR"/>
                </w:rPr>
                <w:t>s</w:t>
              </w:r>
            </w:ins>
            <w:ins w:id="13" w:author="Myungjune@LGE_r02" w:date="2021-11-16T17:59:00Z">
              <w:r>
                <w:rPr>
                  <w:noProof/>
                  <w:highlight w:val="cyan"/>
                  <w:lang w:eastAsia="ko-KR"/>
                </w:rPr>
                <w:t>h</w:t>
              </w:r>
            </w:ins>
            <w:ins w:id="14" w:author="Myungjune@LGE_r01" w:date="2021-11-16T08:22:00Z">
              <w:r>
                <w:rPr>
                  <w:noProof/>
                  <w:highlight w:val="green"/>
                  <w:lang w:eastAsia="ko-KR"/>
                </w:rPr>
                <w:t>all</w:t>
              </w:r>
            </w:ins>
            <w:ins w:id="15" w:author="Myungjune@LGE_rev2" w:date="2021-11-08T11:57:00Z">
              <w:r>
                <w:rPr>
                  <w:noProof/>
                  <w:lang w:eastAsia="ko-KR"/>
                </w:rPr>
                <w:t xml:space="preserve"> provide </w:t>
              </w:r>
            </w:ins>
            <w:ins w:id="16" w:author="Myungjune@LGE_r01" w:date="2021-11-16T08:22:00Z">
              <w:r>
                <w:rPr>
                  <w:noProof/>
                  <w:highlight w:val="green"/>
                  <w:lang w:eastAsia="ko-KR"/>
                </w:rPr>
                <w:t>the same</w:t>
              </w:r>
              <w:r>
                <w:rPr>
                  <w:noProof/>
                  <w:lang w:eastAsia="ko-KR"/>
                </w:rPr>
                <w:t xml:space="preserve"> </w:t>
              </w:r>
            </w:ins>
            <w:ins w:id="17" w:author="Myungjune@LGE_rev2" w:date="2021-11-08T11:57:00Z">
              <w:r>
                <w:rPr>
                  <w:noProof/>
                  <w:lang w:eastAsia="ko-KR"/>
                </w:rPr>
                <w:t>Steering Mode Indicator for uplink and downlink direction</w:t>
              </w:r>
              <w:r>
                <w:rPr>
                  <w:noProof/>
                  <w:highlight w:val="green"/>
                  <w:lang w:eastAsia="ko-KR"/>
                </w:rPr>
                <w:t>.</w:t>
              </w:r>
            </w:ins>
          </w:p>
          <w:p>
            <w:pPr>
              <w:pStyle w:val="CRCoverPage"/>
              <w:numPr>
                <w:ilvl w:val="0"/>
                <w:numId w:val="12"/>
              </w:numPr>
              <w:spacing w:after="0"/>
              <w:rPr>
                <w:rFonts w:hint="eastAsia"/>
                <w:noProof/>
                <w:lang w:eastAsia="ko-KR"/>
              </w:rPr>
            </w:pPr>
            <w:ins w:id="18" w:author="Myungjune@LGE_rev2" w:date="2021-11-08T11:57:00Z">
              <w:r>
                <w:rPr>
                  <w:noProof/>
                  <w:lang w:eastAsia="ko-KR"/>
                </w:rPr>
                <w:t>Clarify that PCF can provide different threshold values for uplink and downlink direction.</w:t>
              </w:r>
            </w:ins>
          </w:p>
        </w:tc>
      </w:tr>
    </w:tbl>
    <w:p>
      <w:pPr>
        <w:pStyle w:val="CRCoverPage"/>
        <w:spacing w:after="0"/>
        <w:rPr>
          <w:noProof/>
          <w:sz w:val="8"/>
          <w:szCs w:val="8"/>
        </w:rPr>
      </w:pPr>
    </w:p>
    <w:p>
      <w:pPr>
        <w:rPr>
          <w:noProof/>
        </w:rPr>
        <w:sectPr>
          <w:headerReference w:type="even" r:id="rId13"/>
          <w:footnotePr>
            <w:numRestart w:val="eachSect"/>
          </w:footnotePr>
          <w:pgSz w:w="11907" w:h="16840" w:code="9"/>
          <w:pgMar w:top="1418" w:right="1134" w:bottom="1134" w:left="1134" w:header="680" w:footer="567" w:gutter="0"/>
          <w:cols w:space="720"/>
        </w:sectPr>
      </w:pPr>
    </w:p>
    <w:p>
      <w:pPr>
        <w:jc w:val="center"/>
        <w:rPr>
          <w:color w:val="FF0000"/>
          <w:sz w:val="36"/>
        </w:rPr>
      </w:pPr>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75429329"/>
      <w:r>
        <w:rPr>
          <w:color w:val="FF0000"/>
          <w:sz w:val="36"/>
        </w:rPr>
        <w:lastRenderedPageBreak/>
        <w:t>*************** First change ***************</w:t>
      </w:r>
    </w:p>
    <w:p>
      <w:pPr>
        <w:pStyle w:val="4"/>
      </w:pPr>
      <w:bookmarkStart w:id="27" w:name="_Toc19197356"/>
      <w:bookmarkStart w:id="28" w:name="_Toc27896509"/>
      <w:bookmarkStart w:id="29" w:name="_Toc36192677"/>
      <w:bookmarkStart w:id="30" w:name="_Toc37076408"/>
      <w:bookmarkStart w:id="31" w:name="_Toc45194854"/>
      <w:bookmarkStart w:id="32" w:name="_Toc47594266"/>
      <w:bookmarkStart w:id="33" w:name="_Toc51836897"/>
      <w:bookmarkStart w:id="34" w:name="_Toc75429287"/>
      <w:r>
        <w:t>6.1.3.20</w:t>
      </w:r>
      <w:r>
        <w:tab/>
        <w:t>Access Traffic Steering, Switching and Splitting</w:t>
      </w:r>
      <w:bookmarkEnd w:id="27"/>
      <w:bookmarkEnd w:id="28"/>
      <w:bookmarkEnd w:id="29"/>
      <w:bookmarkEnd w:id="30"/>
      <w:bookmarkEnd w:id="31"/>
      <w:bookmarkEnd w:id="32"/>
      <w:bookmarkEnd w:id="33"/>
      <w:bookmarkEnd w:id="34"/>
    </w:p>
    <w:p>
      <w:r>
        <w:t>As specified in TS 23.501 [2], the Access Traffic Steering, Switching and Splitting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r>
        <w:t>The PCF is informed of the ATSSS capabilities of a MA PDU Session by the SMF, as defined in clause 5.32.2 of TS 23.501 [2]. The ATSSS capabilities are both the Steering Mode and the Steering Functionality.</w:t>
      </w:r>
    </w:p>
    <w:p>
      <w:r>
        <w:t>The PCF control of Access Traffic Steering, Switching and Splitting for a detected service data flow (SDF) is enabled by including Multi-Access PDU (MA PDU) Session Control information in the PCC rule. This allows the PCF to control:</w:t>
      </w:r>
    </w:p>
    <w:p>
      <w:pPr>
        <w:pStyle w:val="B1"/>
      </w:pPr>
      <w:r>
        <w:t>-</w:t>
      </w:r>
      <w:r>
        <w:tab/>
        <w:t>The Steering Mode that is used to steer/switch/split the detected SDF. The available Steering Modes are defined in TS 23.501 [2].</w:t>
      </w:r>
    </w:p>
    <w:p>
      <w:pPr>
        <w:pStyle w:val="B1"/>
      </w:pPr>
      <w:r>
        <w:t>-</w:t>
      </w:r>
      <w:r>
        <w:tab/>
        <w:t>The Steering Functionality that is used for the detected SDF, e.g. the MPTCP functionality or the ATSSS-LL functionality defined in TS 23.501 [2].</w:t>
      </w:r>
    </w:p>
    <w:p>
      <w:pPr>
        <w:pStyle w:val="B1"/>
        <w:rPr>
          <w:ins w:id="35" w:author="Ericsson User" w:date="2021-10-10T18:34:00Z"/>
        </w:rPr>
      </w:pPr>
      <w:ins w:id="36" w:author="Ericsson User" w:date="2021-10-10T18:34:00Z">
        <w:r>
          <w:t>-</w:t>
        </w:r>
        <w:r>
          <w:tab/>
          <w:t xml:space="preserve">The Steering Mode Indicator authorized for the detected SDF.   </w:t>
        </w:r>
      </w:ins>
    </w:p>
    <w:p>
      <w:pPr>
        <w:pStyle w:val="B1"/>
      </w:pPr>
      <w:ins w:id="37" w:author="Ericsson User" w:date="2021-09-15T10:33:00Z">
        <w:r>
          <w:t>-</w:t>
        </w:r>
        <w:r>
          <w:tab/>
        </w:r>
      </w:ins>
      <w:ins w:id="38" w:author="Ericsson User" w:date="2021-09-22T18:00:00Z">
        <w:r>
          <w:t xml:space="preserve">The </w:t>
        </w:r>
      </w:ins>
      <w:ins w:id="39" w:author="Ericsson User" w:date="2021-09-15T10:33:00Z">
        <w:r>
          <w:t>Threshold values for RTT and Packet</w:t>
        </w:r>
      </w:ins>
      <w:ins w:id="40" w:author="Ericsson User" w:date="2021-09-15T10:34:00Z">
        <w:r>
          <w:t xml:space="preserve"> Loss Rate authorized for the detected SDF.</w:t>
        </w:r>
      </w:ins>
    </w:p>
    <w:p>
      <w:pPr>
        <w:pStyle w:val="B1"/>
      </w:pPr>
      <w:r>
        <w:t>-</w:t>
      </w:r>
      <w:r>
        <w:tab/>
      </w:r>
      <w:ins w:id="41" w:author="Ericsson User" w:date="2021-09-22T18:00:00Z">
        <w:r>
          <w:t xml:space="preserve">The </w:t>
        </w:r>
      </w:ins>
      <w:r>
        <w:t>Charging information depending on what Access Type is used for a detected SDF.</w:t>
      </w:r>
    </w:p>
    <w:p>
      <w:pPr>
        <w:pStyle w:val="B1"/>
      </w:pPr>
      <w:r>
        <w:t>-</w:t>
      </w:r>
      <w:r>
        <w:tab/>
      </w:r>
      <w:ins w:id="42" w:author="Ericsson User" w:date="2021-09-22T18:00:00Z">
        <w:r>
          <w:t xml:space="preserve">The </w:t>
        </w:r>
      </w:ins>
      <w:r>
        <w:t>Usage Monitoring information depending on what Access Type is used for a detected SDF.</w:t>
      </w:r>
    </w:p>
    <w:p>
      <w:r>
        <w:t>The rest of the information in the PCC Rule apply to the SDF as such and are not dependent on what Access Type is used for a packet.</w:t>
      </w:r>
    </w:p>
    <w:p>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r>
        <w:t>The MA PDU Session Control information in a PCC rule may contain only one of the following Steering Mode Indicators:</w:t>
      </w:r>
    </w:p>
    <w:p>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
        <w:t>The PCF may also provide URSP rules to the UE for instructing the UE to establish a MA PDU Session, as described in clause 6.6.2.</w:t>
      </w:r>
    </w:p>
    <w:p>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
        <w:t>These PCC Rules are used by the SMF to generate an ATSSS rule for the UE and an N4 rule for the UPF to route the non-MPTCP traffic of the MA PDU Session in the uplink and downlink direction respectively.</w:t>
      </w:r>
    </w:p>
    <w:p>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pPr>
        <w:jc w:val="center"/>
        <w:rPr>
          <w:color w:val="FF0000"/>
          <w:sz w:val="36"/>
        </w:rPr>
      </w:pPr>
      <w:r>
        <w:rPr>
          <w:color w:val="FF0000"/>
          <w:sz w:val="36"/>
        </w:rPr>
        <w:t>*************** Next change ***************</w:t>
      </w:r>
    </w:p>
    <w:p>
      <w:pPr>
        <w:pStyle w:val="3"/>
      </w:pPr>
    </w:p>
    <w:p>
      <w:pPr>
        <w:pStyle w:val="3"/>
      </w:pPr>
      <w:r>
        <w:t>6.3.1</w:t>
      </w:r>
      <w:r>
        <w:tab/>
        <w:t>General</w:t>
      </w:r>
      <w:bookmarkEnd w:id="19"/>
      <w:bookmarkEnd w:id="20"/>
      <w:bookmarkEnd w:id="21"/>
      <w:bookmarkEnd w:id="22"/>
      <w:bookmarkEnd w:id="23"/>
      <w:bookmarkEnd w:id="24"/>
      <w:bookmarkEnd w:id="25"/>
      <w:bookmarkEnd w:id="26"/>
    </w:p>
    <w:p>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
        <w:t>Two different types of PCC rules exist: Dynamic rules and predefined rules. The dynamic PCC rules are provisioned by the PCF to the SMF, while the predefined PCC rules are configured into the SMF, as described in TS 23.501 [2], and only referenced by the PCF.</w:t>
      </w:r>
    </w:p>
    <w:p>
      <w:pPr>
        <w:pStyle w:val="NO"/>
      </w:pPr>
      <w:r>
        <w:t>NOTE 1:</w:t>
      </w:r>
      <w:r>
        <w:tab/>
        <w:t>The procedure for provisioning predefined PCC rules is out of scope for this specification.</w:t>
      </w:r>
    </w:p>
    <w:p>
      <w:r>
        <w:t>The operator defines the PCC rules.</w:t>
      </w:r>
    </w:p>
    <w:p>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trPr>
          <w:cantSplit/>
          <w:tblHeader/>
        </w:trPr>
        <w:tc>
          <w:tcPr>
            <w:tcW w:w="1612" w:type="dxa"/>
          </w:tcPr>
          <w:p>
            <w:pPr>
              <w:pStyle w:val="TAH"/>
            </w:pPr>
            <w:r>
              <w:lastRenderedPageBreak/>
              <w:t>Information name</w:t>
            </w:r>
          </w:p>
        </w:tc>
        <w:tc>
          <w:tcPr>
            <w:tcW w:w="3278" w:type="dxa"/>
          </w:tcPr>
          <w:p>
            <w:pPr>
              <w:pStyle w:val="TAH"/>
            </w:pPr>
            <w:r>
              <w:t>Description</w:t>
            </w:r>
          </w:p>
        </w:tc>
        <w:tc>
          <w:tcPr>
            <w:tcW w:w="1364" w:type="dxa"/>
          </w:tcPr>
          <w:p>
            <w:pPr>
              <w:pStyle w:val="TAH"/>
            </w:pPr>
            <w:r>
              <w:t>Category</w:t>
            </w:r>
          </w:p>
        </w:tc>
        <w:tc>
          <w:tcPr>
            <w:tcW w:w="1748" w:type="dxa"/>
          </w:tcPr>
          <w:p>
            <w:pPr>
              <w:pStyle w:val="TAH"/>
            </w:pPr>
            <w:r>
              <w:t>PCF permitted to modify for a dynamic PCC rule in the SMF</w:t>
            </w:r>
          </w:p>
        </w:tc>
        <w:tc>
          <w:tcPr>
            <w:tcW w:w="1627" w:type="dxa"/>
          </w:tcPr>
          <w:p>
            <w:pPr>
              <w:pStyle w:val="TAH"/>
            </w:pPr>
            <w:r>
              <w:t>Differences compared with table 6.3. in TS 23.203 [4]</w:t>
            </w:r>
          </w:p>
        </w:tc>
      </w:tr>
      <w:tr>
        <w:trPr>
          <w:cantSplit/>
        </w:trPr>
        <w:tc>
          <w:tcPr>
            <w:tcW w:w="1612" w:type="dxa"/>
          </w:tcPr>
          <w:p>
            <w:pPr>
              <w:pStyle w:val="TAL"/>
              <w:rPr>
                <w:szCs w:val="18"/>
              </w:rPr>
            </w:pPr>
            <w:r>
              <w:rPr>
                <w:szCs w:val="18"/>
              </w:rPr>
              <w:t>Rule identifier</w:t>
            </w:r>
          </w:p>
        </w:tc>
        <w:tc>
          <w:tcPr>
            <w:tcW w:w="3278" w:type="dxa"/>
          </w:tcPr>
          <w:p>
            <w:pPr>
              <w:pStyle w:val="TAL"/>
              <w:rPr>
                <w:szCs w:val="18"/>
              </w:rPr>
            </w:pPr>
            <w:r>
              <w:rPr>
                <w:szCs w:val="18"/>
              </w:rPr>
              <w:t xml:space="preserve">Uniquely identifies the PCC rule, within a PDU </w:t>
            </w:r>
            <w:r>
              <w:rPr>
                <w:noProof/>
                <w:szCs w:val="18"/>
              </w:rPr>
              <w:t>Session</w:t>
            </w:r>
            <w:r>
              <w:rPr>
                <w:szCs w:val="18"/>
              </w:rPr>
              <w:t>.</w:t>
            </w:r>
          </w:p>
          <w:p>
            <w:pPr>
              <w:pStyle w:val="TAL"/>
              <w:rPr>
                <w:szCs w:val="18"/>
              </w:rPr>
            </w:pPr>
            <w:r>
              <w:rPr>
                <w:szCs w:val="18"/>
              </w:rPr>
              <w:t>It is used between PCF and SMF for referencing PCC rules.</w:t>
            </w:r>
          </w:p>
        </w:tc>
        <w:tc>
          <w:tcPr>
            <w:tcW w:w="1364" w:type="dxa"/>
          </w:tcPr>
          <w:p>
            <w:pPr>
              <w:pStyle w:val="TAL"/>
              <w:rPr>
                <w:szCs w:val="18"/>
              </w:rPr>
            </w:pPr>
            <w:r>
              <w:rPr>
                <w:szCs w:val="18"/>
              </w:rPr>
              <w:t>Mandatory</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Service data flow detection</w:t>
            </w:r>
          </w:p>
        </w:tc>
        <w:tc>
          <w:tcPr>
            <w:tcW w:w="3278" w:type="dxa"/>
          </w:tcPr>
          <w:p>
            <w:pPr>
              <w:pStyle w:val="TAL"/>
              <w:rPr>
                <w:i/>
                <w:szCs w:val="18"/>
              </w:rPr>
            </w:pPr>
            <w:r>
              <w:rPr>
                <w:i/>
                <w:szCs w:val="18"/>
              </w:rPr>
              <w:t>This part defines the method for detecting packets belonging to a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Precedence</w:t>
            </w:r>
          </w:p>
        </w:tc>
        <w:tc>
          <w:tcPr>
            <w:tcW w:w="3278" w:type="dxa"/>
          </w:tcPr>
          <w:p>
            <w:pPr>
              <w:pStyle w:val="TAL"/>
              <w:rPr>
                <w:szCs w:val="18"/>
              </w:rPr>
            </w:pPr>
            <w:r>
              <w:rPr>
                <w:szCs w:val="18"/>
              </w:rPr>
              <w:t>Determines the order, in which the service data flow templates are applied at service data flow detection, enforcement and charging. (NOTE 1).</w:t>
            </w:r>
          </w:p>
        </w:tc>
        <w:tc>
          <w:tcPr>
            <w:tcW w:w="1364" w:type="dxa"/>
          </w:tcPr>
          <w:p>
            <w:pPr>
              <w:pStyle w:val="TAL"/>
              <w:rPr>
                <w:szCs w:val="18"/>
              </w:rPr>
            </w:pPr>
            <w:r>
              <w:rPr>
                <w:szCs w:val="18"/>
              </w:rPr>
              <w:t>Conditional (NOTE 2)</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data flow template</w:t>
            </w:r>
          </w:p>
        </w:tc>
        <w:tc>
          <w:tcPr>
            <w:tcW w:w="3278" w:type="dxa"/>
          </w:tcPr>
          <w:p>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pPr>
              <w:pStyle w:val="TAL"/>
              <w:rPr>
                <w:szCs w:val="18"/>
              </w:rPr>
            </w:pPr>
            <w:r>
              <w:rPr>
                <w:szCs w:val="18"/>
              </w:rPr>
              <w:t>Mandatory (NOTE 3)</w:t>
            </w:r>
          </w:p>
        </w:tc>
        <w:tc>
          <w:tcPr>
            <w:tcW w:w="1748" w:type="dxa"/>
          </w:tcPr>
          <w:p>
            <w:pPr>
              <w:pStyle w:val="TAL"/>
              <w:rPr>
                <w:szCs w:val="18"/>
              </w:rPr>
            </w:pPr>
            <w:r>
              <w:rPr>
                <w:szCs w:val="18"/>
              </w:rPr>
              <w:t>Conditional</w:t>
            </w:r>
          </w:p>
          <w:p>
            <w:pPr>
              <w:pStyle w:val="TAL"/>
              <w:rPr>
                <w:szCs w:val="18"/>
              </w:rPr>
            </w:pPr>
            <w:r>
              <w:rPr>
                <w:szCs w:val="18"/>
              </w:rPr>
              <w:t>(NOTE 4)</w:t>
            </w:r>
          </w:p>
        </w:tc>
        <w:tc>
          <w:tcPr>
            <w:tcW w:w="1627" w:type="dxa"/>
          </w:tcPr>
          <w:p>
            <w:pPr>
              <w:keepNext/>
              <w:keepLines/>
              <w:tabs>
                <w:tab w:val="left" w:pos="6062"/>
              </w:tabs>
              <w:spacing w:after="0"/>
              <w:rPr>
                <w:rFonts w:ascii="Arial" w:hAnsi="Arial"/>
                <w:sz w:val="18"/>
                <w:szCs w:val="18"/>
              </w:rPr>
            </w:pPr>
            <w:r>
              <w:rPr>
                <w:rFonts w:ascii="Arial" w:hAnsi="Arial"/>
                <w:sz w:val="18"/>
                <w:szCs w:val="18"/>
              </w:rPr>
              <w:t>Modified</w:t>
            </w:r>
          </w:p>
          <w:p>
            <w:pPr>
              <w:pStyle w:val="TAL"/>
              <w:rPr>
                <w:szCs w:val="18"/>
              </w:rPr>
            </w:pPr>
            <w:r>
              <w:rPr>
                <w:szCs w:val="18"/>
              </w:rPr>
              <w:t>(packet filters for Ethernet PDU traffic added)</w:t>
            </w:r>
          </w:p>
        </w:tc>
      </w:tr>
      <w:tr>
        <w:trPr>
          <w:cantSplit/>
        </w:trPr>
        <w:tc>
          <w:tcPr>
            <w:tcW w:w="1612" w:type="dxa"/>
          </w:tcPr>
          <w:p>
            <w:pPr>
              <w:pStyle w:val="TAL"/>
              <w:rPr>
                <w:szCs w:val="18"/>
              </w:rPr>
            </w:pPr>
            <w:r>
              <w:rPr>
                <w:szCs w:val="18"/>
              </w:rPr>
              <w:t>Mute for notification</w:t>
            </w:r>
          </w:p>
        </w:tc>
        <w:tc>
          <w:tcPr>
            <w:tcW w:w="3278" w:type="dxa"/>
          </w:tcPr>
          <w:p>
            <w:pPr>
              <w:pStyle w:val="TAL"/>
              <w:rPr>
                <w:szCs w:val="18"/>
              </w:rPr>
            </w:pPr>
            <w:r>
              <w:rPr>
                <w:szCs w:val="18"/>
              </w:rPr>
              <w:t>Defines whether application's start or stop notification is to be muted.</w:t>
            </w:r>
          </w:p>
        </w:tc>
        <w:tc>
          <w:tcPr>
            <w:tcW w:w="1364" w:type="dxa"/>
          </w:tcPr>
          <w:p>
            <w:pPr>
              <w:pStyle w:val="TAL"/>
              <w:rPr>
                <w:szCs w:val="18"/>
              </w:rPr>
            </w:pPr>
            <w:r>
              <w:rPr>
                <w:szCs w:val="18"/>
              </w:rPr>
              <w:t>Conditional (NOTE 5)</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Charging</w:t>
            </w:r>
          </w:p>
        </w:tc>
        <w:tc>
          <w:tcPr>
            <w:tcW w:w="3278" w:type="dxa"/>
          </w:tcPr>
          <w:p>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Charging key</w:t>
            </w:r>
          </w:p>
          <w:p>
            <w:pPr>
              <w:pStyle w:val="TAL"/>
              <w:rPr>
                <w:szCs w:val="18"/>
              </w:rPr>
            </w:pPr>
            <w:r>
              <w:rPr>
                <w:szCs w:val="18"/>
              </w:rPr>
              <w:t>(NOTE 22)</w:t>
            </w:r>
          </w:p>
        </w:tc>
        <w:tc>
          <w:tcPr>
            <w:tcW w:w="3278" w:type="dxa"/>
          </w:tcPr>
          <w:p>
            <w:pPr>
              <w:pStyle w:val="TAL"/>
              <w:rPr>
                <w:szCs w:val="18"/>
              </w:rPr>
            </w:pPr>
            <w:r>
              <w:rPr>
                <w:szCs w:val="18"/>
              </w:rPr>
              <w:t>The charging system (CHF) uses the charging key to determine the tariff to apply to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identifier</w:t>
            </w:r>
          </w:p>
        </w:tc>
        <w:tc>
          <w:tcPr>
            <w:tcW w:w="3278" w:type="dxa"/>
          </w:tcPr>
          <w:p>
            <w:pPr>
              <w:pStyle w:val="TAL"/>
              <w:rPr>
                <w:szCs w:val="18"/>
              </w:rPr>
            </w:pPr>
            <w:r>
              <w:rPr>
                <w:szCs w:val="18"/>
              </w:rPr>
              <w:t>The identity of the service or service component the service data flow in a rule relates to.</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Sponsor Identifier</w:t>
            </w:r>
          </w:p>
        </w:tc>
        <w:tc>
          <w:tcPr>
            <w:tcW w:w="3278" w:type="dxa"/>
          </w:tcPr>
          <w:p>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Service Provider Identifier</w:t>
            </w:r>
          </w:p>
        </w:tc>
        <w:tc>
          <w:tcPr>
            <w:tcW w:w="3278" w:type="dxa"/>
          </w:tcPr>
          <w:p>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Charging method</w:t>
            </w:r>
          </w:p>
        </w:tc>
        <w:tc>
          <w:tcPr>
            <w:tcW w:w="3278" w:type="dxa"/>
          </w:tcPr>
          <w:p>
            <w:pPr>
              <w:pStyle w:val="TAL"/>
              <w:rPr>
                <w:szCs w:val="18"/>
              </w:rPr>
            </w:pPr>
            <w:r>
              <w:rPr>
                <w:szCs w:val="18"/>
              </w:rPr>
              <w:t>Indicates the required charging method for the PCC rule.</w:t>
            </w:r>
          </w:p>
          <w:p>
            <w:pPr>
              <w:pStyle w:val="TAL"/>
              <w:rPr>
                <w:szCs w:val="18"/>
              </w:rPr>
            </w:pPr>
            <w:r>
              <w:rPr>
                <w:szCs w:val="18"/>
              </w:rPr>
              <w:t>Values: online or offline or neither.</w:t>
            </w:r>
          </w:p>
        </w:tc>
        <w:tc>
          <w:tcPr>
            <w:tcW w:w="1364" w:type="dxa"/>
          </w:tcPr>
          <w:p>
            <w:pPr>
              <w:pStyle w:val="TAL"/>
              <w:rPr>
                <w:szCs w:val="18"/>
              </w:rPr>
            </w:pPr>
            <w:r>
              <w:rPr>
                <w:szCs w:val="18"/>
              </w:rPr>
              <w:t>Conditional</w:t>
            </w:r>
            <w:r>
              <w:rPr>
                <w:szCs w:val="18"/>
              </w:rPr>
              <w:br/>
              <w:t>(NOTE</w:t>
            </w:r>
            <w:r>
              <w:t> </w:t>
            </w:r>
            <w:r>
              <w:rPr>
                <w:szCs w:val="18"/>
              </w:rPr>
              <w:t>7)</w:t>
            </w:r>
          </w:p>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noProof/>
              </w:rPr>
              <w:t>Service Data flow handling while requesting credit</w:t>
            </w:r>
          </w:p>
        </w:tc>
        <w:tc>
          <w:tcPr>
            <w:tcW w:w="3278" w:type="dxa"/>
          </w:tcPr>
          <w:p>
            <w:pPr>
              <w:pStyle w:val="TAL"/>
              <w:rPr>
                <w:szCs w:val="18"/>
              </w:rPr>
            </w:pPr>
            <w:r>
              <w:rPr>
                <w:szCs w:val="18"/>
              </w:rPr>
              <w:t>Indicates whether the service data flow is allowed to start while the SMF is waiting for the response to the credit request.</w:t>
            </w:r>
          </w:p>
          <w:p>
            <w:pPr>
              <w:pStyle w:val="TAL"/>
              <w:rPr>
                <w:szCs w:val="18"/>
              </w:rPr>
            </w:pPr>
            <w:r>
              <w:rPr>
                <w:szCs w:val="18"/>
              </w:rPr>
              <w:t>Only applicable for charging method online.</w:t>
            </w:r>
          </w:p>
          <w:p>
            <w:pPr>
              <w:pStyle w:val="TAL"/>
              <w:rPr>
                <w:szCs w:val="18"/>
              </w:rPr>
            </w:pPr>
            <w:r>
              <w:rPr>
                <w:szCs w:val="18"/>
              </w:rPr>
              <w:t>Values: blocking or non-blocking</w:t>
            </w:r>
          </w:p>
        </w:tc>
        <w:tc>
          <w:tcPr>
            <w:tcW w:w="1364" w:type="dxa"/>
          </w:tcPr>
          <w:p>
            <w:pPr>
              <w:pStyle w:val="TAL"/>
              <w:rPr>
                <w:szCs w:val="18"/>
              </w:rPr>
            </w:pPr>
          </w:p>
        </w:tc>
        <w:tc>
          <w:tcPr>
            <w:tcW w:w="1748" w:type="dxa"/>
          </w:tcPr>
          <w:p>
            <w:pPr>
              <w:pStyle w:val="TAL"/>
            </w:pPr>
            <w:r>
              <w:t>No</w:t>
            </w:r>
          </w:p>
        </w:tc>
        <w:tc>
          <w:tcPr>
            <w:tcW w:w="1627" w:type="dxa"/>
          </w:tcPr>
          <w:p>
            <w:pPr>
              <w:pStyle w:val="TAL"/>
            </w:pPr>
            <w:r>
              <w:t>New</w:t>
            </w:r>
          </w:p>
        </w:tc>
      </w:tr>
      <w:tr>
        <w:trPr>
          <w:cantSplit/>
        </w:trPr>
        <w:tc>
          <w:tcPr>
            <w:tcW w:w="1612" w:type="dxa"/>
          </w:tcPr>
          <w:p>
            <w:pPr>
              <w:pStyle w:val="TAL"/>
              <w:rPr>
                <w:szCs w:val="18"/>
              </w:rPr>
            </w:pPr>
            <w:r>
              <w:rPr>
                <w:szCs w:val="18"/>
              </w:rPr>
              <w:lastRenderedPageBreak/>
              <w:t>Measurement method</w:t>
            </w:r>
          </w:p>
        </w:tc>
        <w:tc>
          <w:tcPr>
            <w:tcW w:w="3278" w:type="dxa"/>
          </w:tcPr>
          <w:p>
            <w:pPr>
              <w:pStyle w:val="TAL"/>
              <w:rPr>
                <w:szCs w:val="18"/>
              </w:rPr>
            </w:pPr>
            <w:r>
              <w:rPr>
                <w:szCs w:val="18"/>
              </w:rPr>
              <w:t>Indicates whether the service data flow data volume, duration, combined volume/duration or event shall be measured.</w:t>
            </w:r>
          </w:p>
          <w:p>
            <w:pPr>
              <w:pStyle w:val="TAL"/>
              <w:rPr>
                <w:szCs w:val="18"/>
              </w:rPr>
            </w:pPr>
            <w:r>
              <w:rPr>
                <w:szCs w:val="18"/>
              </w:rPr>
              <w:t>This is applicable to reporting, if the charging method is online or offline.</w:t>
            </w:r>
          </w:p>
          <w:p>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Function Record Information</w:t>
            </w:r>
          </w:p>
        </w:tc>
        <w:tc>
          <w:tcPr>
            <w:tcW w:w="3278" w:type="dxa"/>
          </w:tcPr>
          <w:p>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Service Identifier Level Reporting</w:t>
            </w:r>
          </w:p>
        </w:tc>
        <w:tc>
          <w:tcPr>
            <w:tcW w:w="3278" w:type="dxa"/>
          </w:tcPr>
          <w:p>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pPr>
              <w:pStyle w:val="TAL"/>
              <w:rPr>
                <w:szCs w:val="18"/>
              </w:rPr>
            </w:pPr>
            <w:r>
              <w:rPr>
                <w:szCs w:val="18"/>
              </w:rPr>
              <w:t>Values: mandated or not required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Policy control</w:t>
            </w:r>
          </w:p>
        </w:tc>
        <w:tc>
          <w:tcPr>
            <w:tcW w:w="3278" w:type="dxa"/>
          </w:tcPr>
          <w:p>
            <w:pPr>
              <w:pStyle w:val="TAL"/>
              <w:rPr>
                <w:i/>
                <w:szCs w:val="18"/>
              </w:rPr>
            </w:pPr>
            <w:r>
              <w:rPr>
                <w:i/>
                <w:szCs w:val="18"/>
              </w:rPr>
              <w:t>This part defines how to apply policy control for the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Gate status</w:t>
            </w:r>
          </w:p>
        </w:tc>
        <w:tc>
          <w:tcPr>
            <w:tcW w:w="3278" w:type="dxa"/>
          </w:tcPr>
          <w:p>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5G QoS Identifier (5QI)</w:t>
            </w:r>
          </w:p>
        </w:tc>
        <w:tc>
          <w:tcPr>
            <w:tcW w:w="3278" w:type="dxa"/>
          </w:tcPr>
          <w:p>
            <w:pPr>
              <w:pStyle w:val="TAL"/>
              <w:rPr>
                <w:szCs w:val="18"/>
              </w:rPr>
            </w:pPr>
            <w:r>
              <w:rPr>
                <w:szCs w:val="18"/>
              </w:rPr>
              <w:t>The 5QI authorized for the service data flow.</w:t>
            </w:r>
          </w:p>
        </w:tc>
        <w:tc>
          <w:tcPr>
            <w:tcW w:w="1364" w:type="dxa"/>
          </w:tcPr>
          <w:p>
            <w:pPr>
              <w:pStyle w:val="TAL"/>
              <w:rPr>
                <w:szCs w:val="18"/>
              </w:rPr>
            </w:pPr>
            <w:r>
              <w:rPr>
                <w:szCs w:val="18"/>
              </w:rPr>
              <w:t>Conditional</w:t>
            </w:r>
            <w:r>
              <w:rPr>
                <w:szCs w:val="18"/>
              </w:rPr>
              <w:br/>
              <w:t>(NOTE 10)</w:t>
            </w:r>
          </w:p>
          <w:p>
            <w:pPr>
              <w:pStyle w:val="TAL"/>
              <w:rPr>
                <w:szCs w:val="18"/>
              </w:rPr>
            </w:pPr>
          </w:p>
        </w:tc>
        <w:tc>
          <w:tcPr>
            <w:tcW w:w="1748" w:type="dxa"/>
          </w:tcPr>
          <w:p>
            <w:pPr>
              <w:pStyle w:val="TAL"/>
            </w:pPr>
            <w:r>
              <w:t>Yes</w:t>
            </w:r>
          </w:p>
        </w:tc>
        <w:tc>
          <w:tcPr>
            <w:tcW w:w="1627" w:type="dxa"/>
          </w:tcPr>
          <w:p>
            <w:pPr>
              <w:keepNext/>
              <w:keepLines/>
              <w:tabs>
                <w:tab w:val="left" w:pos="6062"/>
              </w:tabs>
              <w:spacing w:after="0"/>
            </w:pPr>
            <w:r>
              <w:t>Modified</w:t>
            </w:r>
          </w:p>
          <w:p>
            <w:pPr>
              <w:pStyle w:val="TAL"/>
            </w:pPr>
            <w:r>
              <w:t>(corresponds to QCI in TS 23.203 [4])</w:t>
            </w:r>
          </w:p>
        </w:tc>
      </w:tr>
      <w:tr>
        <w:trPr>
          <w:cantSplit/>
        </w:trPr>
        <w:tc>
          <w:tcPr>
            <w:tcW w:w="1612" w:type="dxa"/>
          </w:tcPr>
          <w:p>
            <w:pPr>
              <w:pStyle w:val="TAL"/>
              <w:rPr>
                <w:szCs w:val="18"/>
              </w:rPr>
            </w:pPr>
            <w:r>
              <w:t>QoS Notification Control (QNC)</w:t>
            </w:r>
          </w:p>
        </w:tc>
        <w:tc>
          <w:tcPr>
            <w:tcW w:w="3278" w:type="dxa"/>
          </w:tcPr>
          <w:p>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pPr>
              <w:pStyle w:val="TAL"/>
              <w:rPr>
                <w:szCs w:val="18"/>
              </w:rPr>
            </w:pPr>
            <w:r>
              <w:rPr>
                <w:szCs w:val="18"/>
              </w:rPr>
              <w:t>Conditional</w:t>
            </w:r>
            <w:r>
              <w:rPr>
                <w:szCs w:val="18"/>
              </w:rPr>
              <w:br/>
              <w:t>(NOTE 15)</w:t>
            </w:r>
          </w:p>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pPr>
              <w:pStyle w:val="TAL"/>
            </w:pPr>
            <w:r>
              <w:t xml:space="preserve">Indicates </w:t>
            </w:r>
            <w:r>
              <w:rPr>
                <w:rFonts w:hint="eastAsia"/>
              </w:rPr>
              <w:t>to apply r</w:t>
            </w:r>
            <w:r>
              <w:t>eflective QoS for the SDF.</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UL-maximum bitrate</w:t>
            </w:r>
          </w:p>
        </w:tc>
        <w:tc>
          <w:tcPr>
            <w:tcW w:w="3278" w:type="dxa"/>
          </w:tcPr>
          <w:p>
            <w:pPr>
              <w:pStyle w:val="TAL"/>
            </w:pPr>
            <w:r>
              <w:t>The uplink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DL-maximum bitrate</w:t>
            </w:r>
          </w:p>
        </w:tc>
        <w:tc>
          <w:tcPr>
            <w:tcW w:w="3278" w:type="dxa"/>
          </w:tcPr>
          <w:p>
            <w:pPr>
              <w:pStyle w:val="TAL"/>
            </w:pPr>
            <w:r>
              <w:t>The downlink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UL-guaranteed bitrate</w:t>
            </w:r>
          </w:p>
        </w:tc>
        <w:tc>
          <w:tcPr>
            <w:tcW w:w="3278" w:type="dxa"/>
          </w:tcPr>
          <w:p>
            <w:pPr>
              <w:pStyle w:val="TAL"/>
            </w:pPr>
            <w:r>
              <w:t>The uplink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DL-guaranteed bitrate</w:t>
            </w:r>
          </w:p>
        </w:tc>
        <w:tc>
          <w:tcPr>
            <w:tcW w:w="3278" w:type="dxa"/>
          </w:tcPr>
          <w:p>
            <w:pPr>
              <w:pStyle w:val="TAL"/>
            </w:pPr>
            <w:r>
              <w:t>The downlink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 sharing indication</w:t>
            </w:r>
          </w:p>
        </w:tc>
        <w:tc>
          <w:tcPr>
            <w:tcW w:w="3278" w:type="dxa"/>
          </w:tcPr>
          <w:p>
            <w:pPr>
              <w:pStyle w:val="TAL"/>
              <w:rPr>
                <w:szCs w:val="18"/>
              </w:rPr>
            </w:pPr>
            <w:r>
              <w:rPr>
                <w:szCs w:val="18"/>
              </w:rPr>
              <w:t>Indicates resource sharing in uplink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DL sharing indication</w:t>
            </w:r>
          </w:p>
        </w:tc>
        <w:tc>
          <w:tcPr>
            <w:tcW w:w="3278" w:type="dxa"/>
          </w:tcPr>
          <w:p>
            <w:pPr>
              <w:pStyle w:val="TAL"/>
              <w:rPr>
                <w:szCs w:val="18"/>
              </w:rPr>
            </w:pPr>
            <w:r>
              <w:rPr>
                <w:szCs w:val="18"/>
              </w:rPr>
              <w:t>Indicates resource sharing in downlink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Redirect</w:t>
            </w:r>
          </w:p>
        </w:tc>
        <w:tc>
          <w:tcPr>
            <w:tcW w:w="3278" w:type="dxa"/>
          </w:tcPr>
          <w:p>
            <w:pPr>
              <w:pStyle w:val="TAL"/>
              <w:rPr>
                <w:szCs w:val="18"/>
              </w:rPr>
            </w:pPr>
            <w:r>
              <w:rPr>
                <w:szCs w:val="18"/>
              </w:rPr>
              <w:t>Redirect state of the service data flow (enabled/disabled)</w:t>
            </w:r>
          </w:p>
        </w:tc>
        <w:tc>
          <w:tcPr>
            <w:tcW w:w="1364" w:type="dxa"/>
          </w:tcPr>
          <w:p>
            <w:pPr>
              <w:pStyle w:val="TAL"/>
              <w:rPr>
                <w:szCs w:val="18"/>
              </w:rPr>
            </w:pPr>
            <w:r>
              <w:rPr>
                <w:szCs w:val="18"/>
              </w:rPr>
              <w:t>Conditional (NOTE 8)</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Redirect Destination</w:t>
            </w:r>
          </w:p>
        </w:tc>
        <w:tc>
          <w:tcPr>
            <w:tcW w:w="3278" w:type="dxa"/>
          </w:tcPr>
          <w:p>
            <w:pPr>
              <w:pStyle w:val="TAL"/>
              <w:rPr>
                <w:szCs w:val="18"/>
              </w:rPr>
            </w:pPr>
            <w:r>
              <w:rPr>
                <w:szCs w:val="18"/>
              </w:rPr>
              <w:t>Controlled Address to which the service data flow is redirected when redirect is enabled</w:t>
            </w:r>
          </w:p>
        </w:tc>
        <w:tc>
          <w:tcPr>
            <w:tcW w:w="1364" w:type="dxa"/>
          </w:tcPr>
          <w:p>
            <w:pPr>
              <w:pStyle w:val="TAL"/>
              <w:rPr>
                <w:szCs w:val="18"/>
              </w:rPr>
            </w:pPr>
            <w:r>
              <w:rPr>
                <w:szCs w:val="18"/>
              </w:rPr>
              <w:t>Conditional</w:t>
            </w:r>
          </w:p>
          <w:p>
            <w:pPr>
              <w:pStyle w:val="TAL"/>
              <w:rPr>
                <w:szCs w:val="18"/>
              </w:rPr>
            </w:pPr>
            <w:r>
              <w:rPr>
                <w:szCs w:val="18"/>
              </w:rPr>
              <w:t>(NOTE 9)</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ARP</w:t>
            </w:r>
          </w:p>
        </w:tc>
        <w:tc>
          <w:tcPr>
            <w:tcW w:w="3278" w:type="dxa"/>
          </w:tcPr>
          <w:p>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pPr>
              <w:pStyle w:val="TAL"/>
              <w:rPr>
                <w:szCs w:val="18"/>
              </w:rPr>
            </w:pPr>
            <w:r>
              <w:rPr>
                <w:szCs w:val="18"/>
              </w:rPr>
              <w:t>Conditional</w:t>
            </w:r>
            <w:r>
              <w:rPr>
                <w:szCs w:val="18"/>
              </w:rPr>
              <w:br/>
              <w:t>(NOTE 10)</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lastRenderedPageBreak/>
              <w:t>Bind to QoS Flow associated with the default QoS rule</w:t>
            </w:r>
          </w:p>
        </w:tc>
        <w:tc>
          <w:tcPr>
            <w:tcW w:w="3278" w:type="dxa"/>
          </w:tcPr>
          <w:p>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pPr>
              <w:pStyle w:val="TAL"/>
              <w:rPr>
                <w:szCs w:val="18"/>
              </w:rPr>
            </w:pPr>
          </w:p>
        </w:tc>
        <w:tc>
          <w:tcPr>
            <w:tcW w:w="1748" w:type="dxa"/>
          </w:tcPr>
          <w:p>
            <w:pPr>
              <w:pStyle w:val="TAL"/>
            </w:pPr>
            <w:r>
              <w:t>Yes</w:t>
            </w:r>
          </w:p>
        </w:tc>
        <w:tc>
          <w:tcPr>
            <w:tcW w:w="1627" w:type="dxa"/>
          </w:tcPr>
          <w:p>
            <w:pPr>
              <w:pStyle w:val="TAL"/>
            </w:pPr>
            <w:r>
              <w:t xml:space="preserve">Modified (corresponds to bind to the default bearer in TS 23.203 [4]) </w:t>
            </w:r>
          </w:p>
        </w:tc>
      </w:tr>
      <w:tr>
        <w:trPr>
          <w:cantSplit/>
        </w:trPr>
        <w:tc>
          <w:tcPr>
            <w:tcW w:w="1612" w:type="dxa"/>
          </w:tcPr>
          <w:p>
            <w:pPr>
              <w:pStyle w:val="TAL"/>
            </w:pPr>
            <w:r>
              <w:t>Bind to QoS Flow associated with the default QoS rule and apply PCC rule parameters</w:t>
            </w:r>
          </w:p>
        </w:tc>
        <w:tc>
          <w:tcPr>
            <w:tcW w:w="3278" w:type="dxa"/>
          </w:tcPr>
          <w:p>
            <w:pPr>
              <w:pStyle w:val="TAL"/>
            </w:pPr>
            <w:r>
              <w:t>Indicates that the dynamic PCC rule shall always have its binding with the QoS Flow associated with the default QoS rule.</w:t>
            </w:r>
          </w:p>
          <w:p>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pPr>
              <w:pStyle w:val="TAL"/>
              <w:rPr>
                <w:szCs w:val="18"/>
              </w:rPr>
            </w:pPr>
            <w:r>
              <w:rPr>
                <w:szCs w:val="18"/>
              </w:rPr>
              <w:t>Conditional</w:t>
            </w:r>
            <w:r>
              <w:rPr>
                <w:szCs w:val="18"/>
              </w:rPr>
              <w:br/>
              <w:t>(NOTE 17)</w:t>
            </w: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rPr>
                <w:szCs w:val="18"/>
              </w:rPr>
              <w:t>PS to CS session continuity</w:t>
            </w:r>
          </w:p>
        </w:tc>
        <w:tc>
          <w:tcPr>
            <w:tcW w:w="3278" w:type="dxa"/>
          </w:tcPr>
          <w:p>
            <w:pPr>
              <w:pStyle w:val="TAL"/>
            </w:pPr>
            <w:r>
              <w:t xml:space="preserve">Indicates whether the service data flow is a candidate for </w:t>
            </w:r>
            <w:proofErr w:type="spellStart"/>
            <w:r>
              <w:t>vSRVCC</w:t>
            </w:r>
            <w:proofErr w:type="spellEnd"/>
            <w:r>
              <w:t>.</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rPr>
            </w:pPr>
            <w:r>
              <w:rPr>
                <w:rFonts w:eastAsia="SimSun" w:hint="eastAsia"/>
                <w:szCs w:val="18"/>
                <w:lang w:eastAsia="zh-CN"/>
              </w:rPr>
              <w:t>Priority Level</w:t>
            </w:r>
          </w:p>
        </w:tc>
        <w:tc>
          <w:tcPr>
            <w:tcW w:w="3278" w:type="dxa"/>
          </w:tcPr>
          <w:p>
            <w:pPr>
              <w:pStyle w:val="TAL"/>
              <w:rPr>
                <w:szCs w:val="18"/>
              </w:rPr>
            </w:pPr>
            <w:r>
              <w:t xml:space="preserve">Indicates a priority in scheduling resources among QoS Flows </w:t>
            </w:r>
            <w:r>
              <w:rPr>
                <w:szCs w:val="18"/>
              </w:rPr>
              <w:t>(NOTE 14)</w:t>
            </w:r>
            <w:r>
              <w:t>.</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Maximum Data Burst Volume</w:t>
            </w:r>
          </w:p>
        </w:tc>
        <w:tc>
          <w:tcPr>
            <w:tcW w:w="3278" w:type="dxa"/>
          </w:tcPr>
          <w:p>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szCs w:val="18"/>
              </w:rPr>
              <w:t>Disable UE notifications at changes related to Alternative QoS Profiles</w:t>
            </w:r>
          </w:p>
        </w:tc>
        <w:tc>
          <w:tcPr>
            <w:tcW w:w="3278" w:type="dxa"/>
          </w:tcPr>
          <w:p>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pPr>
              <w:pStyle w:val="TAL"/>
              <w:rPr>
                <w:szCs w:val="18"/>
              </w:rPr>
            </w:pPr>
            <w:r>
              <w:rPr>
                <w:szCs w:val="18"/>
              </w:rPr>
              <w:t>Conditional</w:t>
            </w:r>
          </w:p>
          <w:p>
            <w:pPr>
              <w:pStyle w:val="TAL"/>
              <w:rPr>
                <w:szCs w:val="18"/>
              </w:rPr>
            </w:pPr>
            <w:r>
              <w:rPr>
                <w:szCs w:val="18"/>
              </w:rPr>
              <w:t>(NOTE 25)</w:t>
            </w: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b/>
                <w:szCs w:val="18"/>
              </w:rPr>
            </w:pPr>
            <w:r>
              <w:rPr>
                <w:b/>
                <w:szCs w:val="18"/>
              </w:rPr>
              <w:t>Access Network Information Reporting</w:t>
            </w:r>
          </w:p>
        </w:tc>
        <w:tc>
          <w:tcPr>
            <w:tcW w:w="3278" w:type="dxa"/>
          </w:tcPr>
          <w:p>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User Location Report</w:t>
            </w:r>
          </w:p>
        </w:tc>
        <w:tc>
          <w:tcPr>
            <w:tcW w:w="3278" w:type="dxa"/>
          </w:tcPr>
          <w:p>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 xml:space="preserve">UE </w:t>
            </w:r>
            <w:r>
              <w:rPr>
                <w:noProof/>
                <w:szCs w:val="18"/>
              </w:rPr>
              <w:t>Timezone</w:t>
            </w:r>
            <w:r>
              <w:rPr>
                <w:szCs w:val="18"/>
              </w:rPr>
              <w:t xml:space="preserve"> Report</w:t>
            </w:r>
          </w:p>
        </w:tc>
        <w:tc>
          <w:tcPr>
            <w:tcW w:w="3278" w:type="dxa"/>
          </w:tcPr>
          <w:p>
            <w:pPr>
              <w:pStyle w:val="TAL"/>
              <w:rPr>
                <w:szCs w:val="18"/>
              </w:rPr>
            </w:pPr>
            <w:r>
              <w:rPr>
                <w:szCs w:val="18"/>
              </w:rPr>
              <w:t>The time zone of the UE is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Usage Monitoring Control</w:t>
            </w:r>
          </w:p>
        </w:tc>
        <w:tc>
          <w:tcPr>
            <w:tcW w:w="3278" w:type="dxa"/>
          </w:tcPr>
          <w:p>
            <w:pPr>
              <w:pStyle w:val="TAL"/>
              <w:rPr>
                <w:i/>
                <w:szCs w:val="18"/>
              </w:rPr>
            </w:pPr>
            <w:r>
              <w:rPr>
                <w:i/>
                <w:szCs w:val="18"/>
              </w:rPr>
              <w:t>This part describes identities required for Usage Monitoring Control.</w:t>
            </w:r>
          </w:p>
        </w:tc>
        <w:tc>
          <w:tcPr>
            <w:tcW w:w="1364" w:type="dxa"/>
          </w:tcPr>
          <w:p>
            <w:pPr>
              <w:pStyle w:val="TAL"/>
              <w:rPr>
                <w:szCs w:val="18"/>
              </w:rPr>
            </w:pPr>
          </w:p>
        </w:tc>
        <w:tc>
          <w:tcPr>
            <w:tcW w:w="1748" w:type="dxa"/>
          </w:tcPr>
          <w:p>
            <w:pPr>
              <w:pStyle w:val="TAL"/>
            </w:pPr>
          </w:p>
        </w:tc>
        <w:tc>
          <w:tcPr>
            <w:tcW w:w="1627" w:type="dxa"/>
          </w:tcPr>
          <w:p>
            <w:pPr>
              <w:pStyle w:val="TAL"/>
            </w:pPr>
            <w:r>
              <w:t>None</w:t>
            </w:r>
          </w:p>
        </w:tc>
      </w:tr>
      <w:tr>
        <w:trPr>
          <w:cantSplit/>
        </w:trPr>
        <w:tc>
          <w:tcPr>
            <w:tcW w:w="1612" w:type="dxa"/>
          </w:tcPr>
          <w:p>
            <w:pPr>
              <w:pStyle w:val="TAL"/>
              <w:rPr>
                <w:szCs w:val="18"/>
              </w:rPr>
            </w:pPr>
            <w:r>
              <w:rPr>
                <w:szCs w:val="18"/>
              </w:rPr>
              <w:t>Monitoring key</w:t>
            </w:r>
          </w:p>
          <w:p>
            <w:pPr>
              <w:pStyle w:val="TAL"/>
              <w:rPr>
                <w:szCs w:val="18"/>
              </w:rPr>
            </w:pPr>
            <w:r>
              <w:rPr>
                <w:szCs w:val="18"/>
              </w:rPr>
              <w:t>(NOTE 23)</w:t>
            </w:r>
          </w:p>
        </w:tc>
        <w:tc>
          <w:tcPr>
            <w:tcW w:w="3278" w:type="dxa"/>
          </w:tcPr>
          <w:p>
            <w:pPr>
              <w:pStyle w:val="TAL"/>
              <w:rPr>
                <w:szCs w:val="18"/>
              </w:rPr>
            </w:pPr>
            <w:r>
              <w:rPr>
                <w:szCs w:val="18"/>
              </w:rPr>
              <w:t>The PCF uses the monitoring key to group services that share a common allowed usage.</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Indication of exclusion from session level monitoring</w:t>
            </w:r>
          </w:p>
        </w:tc>
        <w:tc>
          <w:tcPr>
            <w:tcW w:w="3278" w:type="dxa"/>
          </w:tcPr>
          <w:p>
            <w:pPr>
              <w:pStyle w:val="TAL"/>
            </w:pPr>
            <w:r>
              <w:t>Indicates that the service data flow shall be excluded from PDU Session usage monitoring</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N6-LAN Traffic Steering Enforcement Control (NOTE 18)</w:t>
            </w:r>
          </w:p>
        </w:tc>
        <w:tc>
          <w:tcPr>
            <w:tcW w:w="3278" w:type="dxa"/>
          </w:tcPr>
          <w:p>
            <w:pPr>
              <w:pStyle w:val="TAL"/>
              <w:rPr>
                <w:i/>
                <w:szCs w:val="18"/>
              </w:rPr>
            </w:pPr>
            <w:r>
              <w:rPr>
                <w:i/>
                <w:szCs w:val="18"/>
              </w:rPr>
              <w:t>This part describes information required for N6-LAN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lastRenderedPageBreak/>
              <w:t>Traffic steering policy identifier(s)</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12).</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AF influenced Traffic Steering Enforcement Control (NOTE 18)</w:t>
            </w:r>
          </w:p>
        </w:tc>
        <w:tc>
          <w:tcPr>
            <w:tcW w:w="3278" w:type="dxa"/>
          </w:tcPr>
          <w:p>
            <w:pPr>
              <w:pStyle w:val="TAL"/>
              <w:rPr>
                <w:i/>
                <w:szCs w:val="18"/>
              </w:rPr>
            </w:pPr>
            <w:r>
              <w:rPr>
                <w:i/>
                <w:szCs w:val="18"/>
              </w:rPr>
              <w:t>This part describes information required for AF influenced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b/>
                <w:szCs w:val="18"/>
              </w:rPr>
            </w:pPr>
            <w:r>
              <w:t>Data Network Access Identifier</w:t>
            </w:r>
          </w:p>
        </w:tc>
        <w:tc>
          <w:tcPr>
            <w:tcW w:w="3278" w:type="dxa"/>
          </w:tcPr>
          <w:p>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t>Per DNAI: Traffic steering policy identifier</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 xml:space="preserve">Per DNAI: </w:t>
            </w:r>
            <w:r>
              <w:rPr>
                <w:rFonts w:hint="eastAsia"/>
              </w:rPr>
              <w:t>N6 traffic routing information</w:t>
            </w:r>
          </w:p>
        </w:tc>
        <w:tc>
          <w:tcPr>
            <w:tcW w:w="3278" w:type="dxa"/>
          </w:tcPr>
          <w:p>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Information on AF subscription to UP change events</w:t>
            </w:r>
          </w:p>
        </w:tc>
        <w:tc>
          <w:tcPr>
            <w:tcW w:w="3278" w:type="dxa"/>
          </w:tcPr>
          <w:p>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UE IP address preservation</w:t>
            </w:r>
          </w:p>
        </w:tc>
        <w:tc>
          <w:tcPr>
            <w:tcW w:w="3278" w:type="dxa"/>
          </w:tcPr>
          <w:p>
            <w:pPr>
              <w:pStyle w:val="TAL"/>
              <w:rPr>
                <w:szCs w:val="18"/>
              </w:rPr>
            </w:pPr>
            <w:r>
              <w:rPr>
                <w:szCs w:val="18"/>
              </w:rPr>
              <w:t>Indicates UE IP address should be preserved. It is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traffic correlation</w:t>
            </w:r>
          </w:p>
        </w:tc>
        <w:tc>
          <w:tcPr>
            <w:tcW w:w="3278" w:type="dxa"/>
          </w:tcPr>
          <w:p>
            <w:pPr>
              <w:pStyle w:val="TAL"/>
              <w:rPr>
                <w:szCs w:val="18"/>
              </w:rPr>
            </w:pPr>
            <w:r>
              <w:rPr>
                <w:szCs w:val="18"/>
              </w:rPr>
              <w:t>Indicates that the target PDU Sessions should be correlated via a common DNAI in the user plane. It is described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on User Plane Latency requirements</w:t>
            </w:r>
          </w:p>
        </w:tc>
        <w:tc>
          <w:tcPr>
            <w:tcW w:w="3278" w:type="dxa"/>
          </w:tcPr>
          <w:p>
            <w:pPr>
              <w:pStyle w:val="TAL"/>
              <w:rPr>
                <w:szCs w:val="18"/>
              </w:rPr>
            </w:pPr>
            <w:r>
              <w:rPr>
                <w:szCs w:val="18"/>
              </w:rPr>
              <w:t>Indicates the user plane latency requirements. (see TS 23.548 [33]).</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for EAS IP Replacement in 5GC</w:t>
            </w:r>
          </w:p>
        </w:tc>
        <w:tc>
          <w:tcPr>
            <w:tcW w:w="3278" w:type="dxa"/>
          </w:tcPr>
          <w:p>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pPr>
            <w:r>
              <w:rPr>
                <w:b/>
                <w:szCs w:val="18"/>
              </w:rPr>
              <w:t>NBIFOM related control Information</w:t>
            </w:r>
          </w:p>
        </w:tc>
        <w:tc>
          <w:tcPr>
            <w:tcW w:w="3278" w:type="dxa"/>
          </w:tcPr>
          <w:p>
            <w:pPr>
              <w:pStyle w:val="TAL"/>
            </w:pPr>
            <w:r>
              <w:rPr>
                <w:i/>
                <w:szCs w:val="18"/>
              </w:rPr>
              <w:t>This part describes PCC rule information related with NBIFOM.</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pPr>
            <w:r>
              <w:rPr>
                <w:szCs w:val="18"/>
              </w:rPr>
              <w:t>Allowed Access Type</w:t>
            </w:r>
          </w:p>
        </w:tc>
        <w:tc>
          <w:tcPr>
            <w:tcW w:w="3278" w:type="dxa"/>
          </w:tcPr>
          <w:p>
            <w:pPr>
              <w:pStyle w:val="TAL"/>
            </w:pPr>
            <w:r>
              <w:rPr>
                <w:szCs w:val="18"/>
              </w:rPr>
              <w:t>The access to be used for traffic identified by the PCC rule.</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lang w:val="en-US"/>
              </w:rPr>
            </w:pPr>
            <w:r>
              <w:rPr>
                <w:rFonts w:hint="eastAsia"/>
                <w:b/>
                <w:szCs w:val="18"/>
                <w:lang w:val="en-US"/>
              </w:rPr>
              <w:t>RAN support information</w:t>
            </w:r>
          </w:p>
        </w:tc>
        <w:tc>
          <w:tcPr>
            <w:tcW w:w="3278" w:type="dxa"/>
          </w:tcPr>
          <w:p>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rFonts w:hint="eastAsia"/>
                <w:lang w:val="en-US"/>
              </w:rPr>
              <w:t>UL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lang w:val="en-US"/>
              </w:rPr>
            </w:pPr>
            <w:r>
              <w:rPr>
                <w:rFonts w:hint="eastAsia"/>
                <w:lang w:val="en-US"/>
              </w:rPr>
              <w:t>DL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lang w:val="en-US"/>
              </w:rPr>
            </w:pPr>
            <w:r>
              <w:rPr>
                <w:b/>
                <w:lang w:val="en-US"/>
              </w:rPr>
              <w:t>MA PDU Session Control</w:t>
            </w:r>
          </w:p>
          <w:p>
            <w:pPr>
              <w:pStyle w:val="TAL"/>
              <w:rPr>
                <w:b/>
                <w:lang w:val="en-US"/>
              </w:rPr>
            </w:pPr>
            <w:r>
              <w:rPr>
                <w:b/>
                <w:lang w:val="en-US"/>
              </w:rPr>
              <w:t>(NOTE 20)</w:t>
            </w:r>
          </w:p>
        </w:tc>
        <w:tc>
          <w:tcPr>
            <w:tcW w:w="3278" w:type="dxa"/>
          </w:tcPr>
          <w:p>
            <w:pPr>
              <w:pStyle w:val="TAL"/>
              <w:rPr>
                <w:i/>
                <w:lang w:val="en-US" w:eastAsia="ja-JP"/>
              </w:rPr>
            </w:pPr>
            <w:r>
              <w:rPr>
                <w:i/>
                <w:lang w:val="en-US" w:eastAsia="ja-JP"/>
              </w:rPr>
              <w:t>This part defines information supporting control of MA PDU Sessions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lastRenderedPageBreak/>
              <w:t>Application descriptors</w:t>
            </w:r>
          </w:p>
        </w:tc>
        <w:tc>
          <w:tcPr>
            <w:tcW w:w="3278" w:type="dxa"/>
          </w:tcPr>
          <w:p>
            <w:pPr>
              <w:pStyle w:val="TAL"/>
              <w:rPr>
                <w:lang w:val="en-US" w:eastAsia="ja-JP"/>
              </w:rPr>
            </w:pPr>
            <w:ins w:id="43" w:author="Ericsson User" w:date="2021-09-15T08:55:00Z">
              <w:r>
                <w:rPr>
                  <w:lang w:val="en-US" w:eastAsia="ja-JP"/>
                </w:rPr>
                <w:t>I</w:t>
              </w:r>
            </w:ins>
            <w:del w:id="44" w:author="Ericsson User" w:date="2021-09-15T08:55:00Z">
              <w:r>
                <w:rPr>
                  <w:lang w:val="en-US" w:eastAsia="ja-JP"/>
                </w:rPr>
                <w:delText>i</w:delText>
              </w:r>
            </w:del>
            <w:r>
              <w:rPr>
                <w:lang w:val="en-US" w:eastAsia="ja-JP"/>
              </w:rPr>
              <w:t xml:space="preserve">dentifies the application traffic </w:t>
            </w:r>
            <w:ins w:id="45" w:author="Apostolis-r6" w:date="2021-10-20T15:51:00Z">
              <w:r>
                <w:rPr>
                  <w:lang w:val="en-US" w:eastAsia="ja-JP"/>
                </w:rPr>
                <w:t>for w</w:t>
              </w:r>
            </w:ins>
            <w:ins w:id="46" w:author="Apostolis-r6" w:date="2021-10-20T15:42:00Z">
              <w:r>
                <w:rPr>
                  <w:lang w:val="en-US" w:eastAsia="ja-JP"/>
                </w:rPr>
                <w:t xml:space="preserve">hich MA PDU Session control </w:t>
              </w:r>
            </w:ins>
            <w:ins w:id="47" w:author="Apostolis-r6" w:date="2021-10-20T15:52:00Z">
              <w:r>
                <w:rPr>
                  <w:lang w:val="en-US" w:eastAsia="ja-JP"/>
                </w:rPr>
                <w:t xml:space="preserve">is required based on </w:t>
              </w:r>
            </w:ins>
            <w:del w:id="48" w:author="Apostolis-r6" w:date="2021-10-20T15:42:00Z">
              <w:r>
                <w:rPr>
                  <w:lang w:val="en-US" w:eastAsia="ja-JP"/>
                </w:rPr>
                <w:delText xml:space="preserve">to apply </w:delText>
              </w:r>
            </w:del>
            <w:r>
              <w:rPr>
                <w:lang w:val="en-US" w:eastAsia="ja-JP"/>
              </w:rPr>
              <w:t>the Steering Functionality</w:t>
            </w:r>
            <w:ins w:id="49" w:author="Apostolis-r6" w:date="2021-10-20T15:52:00Z">
              <w:r>
                <w:rPr>
                  <w:lang w:val="en-US" w:eastAsia="ja-JP"/>
                </w:rPr>
                <w:t>,</w:t>
              </w:r>
            </w:ins>
            <w:r>
              <w:rPr>
                <w:lang w:val="en-US" w:eastAsia="ja-JP"/>
              </w:rPr>
              <w:t xml:space="preserve"> </w:t>
            </w:r>
            <w:del w:id="50" w:author="Apostolis-r6" w:date="2021-10-20T15:52:00Z">
              <w:r>
                <w:rPr>
                  <w:lang w:val="en-US" w:eastAsia="ja-JP"/>
                </w:rPr>
                <w:delText xml:space="preserve">and </w:delText>
              </w:r>
            </w:del>
            <w:r>
              <w:rPr>
                <w:lang w:val="en-US" w:eastAsia="ja-JP"/>
              </w:rPr>
              <w:t xml:space="preserve">the Steering </w:t>
            </w:r>
            <w:proofErr w:type="spellStart"/>
            <w:ins w:id="51" w:author="Ericsson User" w:date="2021-09-15T08:56:00Z">
              <w:r>
                <w:rPr>
                  <w:lang w:val="en-US" w:eastAsia="ja-JP"/>
                </w:rPr>
                <w:t>M</w:t>
              </w:r>
            </w:ins>
            <w:r>
              <w:rPr>
                <w:lang w:val="en-US" w:eastAsia="ja-JP"/>
              </w:rPr>
              <w:t>mode</w:t>
            </w:r>
            <w:proofErr w:type="spellEnd"/>
            <w:ins w:id="52" w:author="Ericsson User" w:date="2021-09-15T16:12:00Z">
              <w:r>
                <w:rPr>
                  <w:lang w:val="en-US" w:eastAsia="ja-JP"/>
                </w:rPr>
                <w:t>, Steering Mode Indicator</w:t>
              </w:r>
            </w:ins>
            <w:ins w:id="53"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pPr>
              <w:pStyle w:val="TAL"/>
              <w:rPr>
                <w:szCs w:val="18"/>
                <w:lang w:val="en-US"/>
              </w:rPr>
            </w:pPr>
            <w:r>
              <w:rPr>
                <w:szCs w:val="18"/>
                <w:lang w:val="en-US"/>
              </w:rPr>
              <w:t>Conditional (NOTE 27)</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Steering Functionality</w:t>
            </w:r>
          </w:p>
        </w:tc>
        <w:tc>
          <w:tcPr>
            <w:tcW w:w="3278" w:type="dxa"/>
          </w:tcPr>
          <w:p>
            <w:pPr>
              <w:pStyle w:val="TAL"/>
              <w:rPr>
                <w:lang w:val="en-US" w:eastAsia="ja-JP"/>
              </w:rPr>
            </w:pPr>
            <w:r>
              <w:rPr>
                <w:lang w:val="en-US" w:eastAsia="ja-JP"/>
              </w:rPr>
              <w:t>Indicates the applicable traffic steering functionality.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 xml:space="preserve">Steering </w:t>
            </w:r>
            <w:ins w:id="54" w:author="Ericsson User" w:date="2021-09-15T08:54:00Z">
              <w:r>
                <w:rPr>
                  <w:lang w:val="en-US"/>
                </w:rPr>
                <w:t>M</w:t>
              </w:r>
            </w:ins>
            <w:del w:id="55" w:author="Ericsson User" w:date="2021-09-15T08:54:00Z">
              <w:r>
                <w:rPr>
                  <w:lang w:val="en-US"/>
                </w:rPr>
                <w:delText>m</w:delText>
              </w:r>
            </w:del>
            <w:r>
              <w:rPr>
                <w:lang w:val="en-US"/>
              </w:rPr>
              <w:t>ode</w:t>
            </w:r>
          </w:p>
        </w:tc>
        <w:tc>
          <w:tcPr>
            <w:tcW w:w="3278" w:type="dxa"/>
          </w:tcPr>
          <w:p>
            <w:pPr>
              <w:pStyle w:val="TAL"/>
              <w:rPr>
                <w:lang w:val="en-US" w:eastAsia="ja-JP"/>
              </w:rPr>
            </w:pPr>
            <w:r>
              <w:rPr>
                <w:lang w:val="en-US" w:eastAsia="ja-JP"/>
              </w:rPr>
              <w:t xml:space="preserve">Indicates the rule for distributing traffic between accesses together with associated </w:t>
            </w:r>
            <w:ins w:id="56" w:author="Ericsson User" w:date="2021-09-15T09:32:00Z">
              <w:r>
                <w:rPr>
                  <w:lang w:val="en-US" w:eastAsia="ja-JP"/>
                </w:rPr>
                <w:t xml:space="preserve">steering </w:t>
              </w:r>
            </w:ins>
            <w:r>
              <w:rPr>
                <w:lang w:val="en-US" w:eastAsia="ja-JP"/>
              </w:rPr>
              <w:t>parameters (if any).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ins w:id="57" w:author="Ericsson User" w:date="2021-09-15T08:52:00Z"/>
        </w:trPr>
        <w:tc>
          <w:tcPr>
            <w:tcW w:w="1612" w:type="dxa"/>
          </w:tcPr>
          <w:p>
            <w:pPr>
              <w:pStyle w:val="TAL"/>
              <w:rPr>
                <w:ins w:id="58" w:author="Ericsson User" w:date="2021-09-15T08:52:00Z"/>
                <w:lang w:val="en-US"/>
              </w:rPr>
            </w:pPr>
            <w:ins w:id="59" w:author="Ericsson User" w:date="2021-09-15T08:52:00Z">
              <w:r>
                <w:rPr>
                  <w:lang w:eastAsia="fr-FR"/>
                </w:rPr>
                <w:t>Steering Mode Indicator</w:t>
              </w:r>
            </w:ins>
          </w:p>
        </w:tc>
        <w:tc>
          <w:tcPr>
            <w:tcW w:w="3278" w:type="dxa"/>
          </w:tcPr>
          <w:p>
            <w:pPr>
              <w:pStyle w:val="TAL"/>
              <w:rPr>
                <w:ins w:id="60" w:author="Ericsson User" w:date="2021-09-15T08:52:00Z"/>
                <w:lang w:eastAsia="ja-JP"/>
              </w:rPr>
            </w:pPr>
            <w:ins w:id="61" w:author="Ericsson User" w:date="2021-10-19T15:02:00Z">
              <w:r>
                <w:rPr>
                  <w:lang w:val="en-US"/>
                </w:rPr>
                <w:t>Indicates either autonomous load-balance operation or UE-assistance operation, if the Steering Mode is set to "Load Balancing", as defined in TS 23.501 [2].</w:t>
              </w:r>
            </w:ins>
          </w:p>
        </w:tc>
        <w:tc>
          <w:tcPr>
            <w:tcW w:w="1364" w:type="dxa"/>
          </w:tcPr>
          <w:p>
            <w:pPr>
              <w:pStyle w:val="TAL"/>
              <w:rPr>
                <w:ins w:id="62" w:author="Ericsson User" w:date="2021-09-15T09:46:00Z"/>
                <w:szCs w:val="18"/>
                <w:lang w:val="en-US"/>
              </w:rPr>
            </w:pPr>
          </w:p>
          <w:p>
            <w:pPr>
              <w:pStyle w:val="TAL"/>
              <w:rPr>
                <w:ins w:id="63" w:author="Ericsson User" w:date="2021-09-15T08:52:00Z"/>
                <w:szCs w:val="18"/>
                <w:lang w:val="en-US"/>
              </w:rPr>
            </w:pPr>
          </w:p>
        </w:tc>
        <w:tc>
          <w:tcPr>
            <w:tcW w:w="1748" w:type="dxa"/>
          </w:tcPr>
          <w:p>
            <w:pPr>
              <w:pStyle w:val="TAL"/>
              <w:rPr>
                <w:ins w:id="64" w:author="Ericsson User" w:date="2021-09-15T08:52:00Z"/>
              </w:rPr>
            </w:pPr>
            <w:ins w:id="65" w:author="Ericsson User" w:date="2021-09-15T08:52:00Z">
              <w:r>
                <w:rPr>
                  <w:lang w:eastAsia="fr-FR"/>
                </w:rPr>
                <w:t>Yes</w:t>
              </w:r>
            </w:ins>
          </w:p>
        </w:tc>
        <w:tc>
          <w:tcPr>
            <w:tcW w:w="1627" w:type="dxa"/>
          </w:tcPr>
          <w:p>
            <w:pPr>
              <w:pStyle w:val="TAL"/>
              <w:rPr>
                <w:ins w:id="66" w:author="Ericsson User" w:date="2021-09-15T08:52:00Z"/>
              </w:rPr>
            </w:pPr>
            <w:ins w:id="67" w:author="Ericsson User" w:date="2021-09-15T08:52:00Z">
              <w:r>
                <w:t>New</w:t>
              </w:r>
            </w:ins>
          </w:p>
        </w:tc>
      </w:tr>
      <w:tr>
        <w:trPr>
          <w:cantSplit/>
          <w:ins w:id="68" w:author="Ericsson User" w:date="2021-09-15T08:52:00Z"/>
        </w:trPr>
        <w:tc>
          <w:tcPr>
            <w:tcW w:w="1612" w:type="dxa"/>
          </w:tcPr>
          <w:p>
            <w:pPr>
              <w:pStyle w:val="TAL"/>
              <w:rPr>
                <w:ins w:id="69" w:author="Ericsson User" w:date="2021-09-15T08:52:00Z"/>
                <w:lang w:val="en-US"/>
              </w:rPr>
            </w:pPr>
            <w:ins w:id="70" w:author="Ericsson User" w:date="2021-09-15T08:52:00Z">
              <w:r>
                <w:rPr>
                  <w:lang w:eastAsia="fr-FR"/>
                </w:rPr>
                <w:t>Threshold Values</w:t>
              </w:r>
            </w:ins>
          </w:p>
        </w:tc>
        <w:tc>
          <w:tcPr>
            <w:tcW w:w="3278" w:type="dxa"/>
          </w:tcPr>
          <w:p>
            <w:pPr>
              <w:pStyle w:val="TAL"/>
              <w:rPr>
                <w:ins w:id="71" w:author="Ericsson User" w:date="2021-09-15T09:55:00Z"/>
                <w:lang w:eastAsia="fr-FR"/>
              </w:rPr>
            </w:pPr>
            <w:ins w:id="72" w:author="Ericsson User" w:date="2021-09-15T08:52:00Z">
              <w:r>
                <w:rPr>
                  <w:lang w:eastAsia="fr-FR"/>
                </w:rPr>
                <w:t>A Maximum RTT or a Maximum Packet Loss Rate</w:t>
              </w:r>
            </w:ins>
            <w:ins w:id="73" w:author="Ericsson User" w:date="2021-09-15T10:41:00Z">
              <w:r>
                <w:rPr>
                  <w:lang w:eastAsia="fr-FR"/>
                </w:rPr>
                <w:t xml:space="preserve"> or both</w:t>
              </w:r>
            </w:ins>
            <w:ins w:id="74" w:author="Ericsson User" w:date="2021-09-15T08:52:00Z">
              <w:r>
                <w:rPr>
                  <w:lang w:eastAsia="fr-FR"/>
                </w:rPr>
                <w:t>.</w:t>
              </w:r>
            </w:ins>
          </w:p>
          <w:p>
            <w:pPr>
              <w:pStyle w:val="TAL"/>
              <w:rPr>
                <w:ins w:id="75" w:author="Ericsson User" w:date="2021-09-15T08:52:00Z"/>
                <w:lang w:val="en-US" w:eastAsia="ja-JP"/>
              </w:rPr>
            </w:pPr>
          </w:p>
        </w:tc>
        <w:tc>
          <w:tcPr>
            <w:tcW w:w="1364" w:type="dxa"/>
          </w:tcPr>
          <w:p>
            <w:pPr>
              <w:pStyle w:val="TAL"/>
              <w:rPr>
                <w:ins w:id="76" w:author="Ericsson User" w:date="2021-09-15T08:52:00Z"/>
                <w:szCs w:val="18"/>
                <w:lang w:val="en-US"/>
              </w:rPr>
            </w:pPr>
          </w:p>
        </w:tc>
        <w:tc>
          <w:tcPr>
            <w:tcW w:w="1748" w:type="dxa"/>
          </w:tcPr>
          <w:p>
            <w:pPr>
              <w:pStyle w:val="TAL"/>
              <w:rPr>
                <w:ins w:id="77" w:author="Ericsson User" w:date="2021-09-15T08:52:00Z"/>
              </w:rPr>
            </w:pPr>
            <w:ins w:id="78" w:author="Ericsson User" w:date="2021-09-15T08:52:00Z">
              <w:r>
                <w:rPr>
                  <w:lang w:eastAsia="fr-FR"/>
                </w:rPr>
                <w:t>Yes</w:t>
              </w:r>
            </w:ins>
          </w:p>
        </w:tc>
        <w:tc>
          <w:tcPr>
            <w:tcW w:w="1627" w:type="dxa"/>
          </w:tcPr>
          <w:p>
            <w:pPr>
              <w:pStyle w:val="TAL"/>
              <w:rPr>
                <w:ins w:id="79" w:author="Ericsson User" w:date="2021-09-15T08:52:00Z"/>
              </w:rPr>
            </w:pPr>
            <w:ins w:id="80" w:author="Ericsson User" w:date="2021-09-15T08:52:00Z">
              <w:r>
                <w:t>New</w:t>
              </w:r>
            </w:ins>
          </w:p>
        </w:tc>
      </w:tr>
      <w:tr>
        <w:trPr>
          <w:cantSplit/>
        </w:trPr>
        <w:tc>
          <w:tcPr>
            <w:tcW w:w="1612" w:type="dxa"/>
          </w:tcPr>
          <w:p>
            <w:pPr>
              <w:pStyle w:val="TAL"/>
              <w:rPr>
                <w:lang w:val="en-US"/>
              </w:rPr>
            </w:pPr>
            <w:r>
              <w:rPr>
                <w:lang w:val="en-US"/>
              </w:rPr>
              <w:t>Charging key for Non-3GPP access</w:t>
            </w:r>
          </w:p>
          <w:p>
            <w:pPr>
              <w:pStyle w:val="TAL"/>
              <w:rPr>
                <w:lang w:val="en-US"/>
              </w:rPr>
            </w:pPr>
            <w:r>
              <w:rPr>
                <w:lang w:val="en-US"/>
              </w:rPr>
              <w:t>(NOTE 22)</w:t>
            </w:r>
          </w:p>
        </w:tc>
        <w:tc>
          <w:tcPr>
            <w:tcW w:w="3278" w:type="dxa"/>
          </w:tcPr>
          <w:p>
            <w:pPr>
              <w:pStyle w:val="TAL"/>
              <w:rPr>
                <w:lang w:val="en-US" w:eastAsia="ja-JP"/>
              </w:rPr>
            </w:pPr>
            <w:r>
              <w:rPr>
                <w:lang w:val="en-US" w:eastAsia="ja-JP"/>
              </w:rPr>
              <w:t>Indicates the Charging key used for charging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Monitoring key for Non-3GPP access</w:t>
            </w:r>
          </w:p>
          <w:p>
            <w:pPr>
              <w:pStyle w:val="TAL"/>
              <w:rPr>
                <w:lang w:val="en-US"/>
              </w:rPr>
            </w:pPr>
            <w:r>
              <w:rPr>
                <w:lang w:val="en-US"/>
              </w:rPr>
              <w:t>(NOTE 23)</w:t>
            </w:r>
          </w:p>
        </w:tc>
        <w:tc>
          <w:tcPr>
            <w:tcW w:w="3278" w:type="dxa"/>
          </w:tcPr>
          <w:p>
            <w:pPr>
              <w:pStyle w:val="TAL"/>
              <w:rPr>
                <w:lang w:val="en-US" w:eastAsia="ja-JP"/>
              </w:rPr>
            </w:pPr>
            <w:r>
              <w:rPr>
                <w:lang w:val="en-US" w:eastAsia="ja-JP"/>
              </w:rPr>
              <w:t>Indicates the Monitoring key used to monitor usage of the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b/>
                <w:lang w:val="en-US"/>
              </w:rPr>
            </w:pPr>
            <w:r>
              <w:rPr>
                <w:b/>
                <w:lang w:val="en-US"/>
              </w:rPr>
              <w:t>QoS Monitoring for URLLC</w:t>
            </w:r>
          </w:p>
        </w:tc>
        <w:tc>
          <w:tcPr>
            <w:tcW w:w="3278" w:type="dxa"/>
          </w:tcPr>
          <w:p>
            <w:pPr>
              <w:pStyle w:val="TAL"/>
              <w:rPr>
                <w:i/>
                <w:lang w:val="en-US" w:eastAsia="ja-JP"/>
              </w:rPr>
            </w:pPr>
            <w:r>
              <w:rPr>
                <w:i/>
                <w:lang w:val="en-US" w:eastAsia="ja-JP"/>
              </w:rPr>
              <w:t>This part describes PCC rule information related with QoS Monitoring for URLLC.</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QoS parameter(s) to be measured</w:t>
            </w:r>
          </w:p>
        </w:tc>
        <w:tc>
          <w:tcPr>
            <w:tcW w:w="3278" w:type="dxa"/>
          </w:tcPr>
          <w:p>
            <w:pPr>
              <w:pStyle w:val="TAL"/>
              <w:rPr>
                <w:lang w:val="en-US" w:eastAsia="ja-JP"/>
              </w:rPr>
            </w:pPr>
            <w:r>
              <w:rPr>
                <w:lang w:val="en-US" w:eastAsia="ja-JP"/>
              </w:rPr>
              <w:t>UL packet delay, DL packet delay or round trip packet delay.</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Reporting frequency</w:t>
            </w:r>
          </w:p>
        </w:tc>
        <w:tc>
          <w:tcPr>
            <w:tcW w:w="3278" w:type="dxa"/>
          </w:tcPr>
          <w:p>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Target of reporting</w:t>
            </w:r>
          </w:p>
        </w:tc>
        <w:tc>
          <w:tcPr>
            <w:tcW w:w="3278" w:type="dxa"/>
          </w:tcPr>
          <w:p>
            <w:pPr>
              <w:pStyle w:val="TAL"/>
              <w:rPr>
                <w:lang w:val="en-US" w:eastAsia="ja-JP"/>
              </w:rPr>
            </w:pPr>
            <w:r>
              <w:rPr>
                <w:lang w:val="en-US" w:eastAsia="ja-JP"/>
              </w:rPr>
              <w:t>Defines the target of the QoS Monitoring reports, it can be the PCF or the AF or the Local NEF, decided by the PCF.</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Indication of direct event notification</w:t>
            </w:r>
          </w:p>
        </w:tc>
        <w:tc>
          <w:tcPr>
            <w:tcW w:w="3278" w:type="dxa"/>
          </w:tcPr>
          <w:p>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t>Alternative QoS Parameter Sets</w:t>
            </w:r>
          </w:p>
          <w:p>
            <w:pPr>
              <w:pStyle w:val="TAL"/>
              <w:rPr>
                <w:b/>
                <w:lang w:val="en-US"/>
              </w:rPr>
            </w:pPr>
            <w:r>
              <w:rPr>
                <w:b/>
                <w:lang w:val="en-US"/>
              </w:rPr>
              <w:t>(NOTE 24)</w:t>
            </w:r>
          </w:p>
          <w:p>
            <w:pPr>
              <w:pStyle w:val="TAL"/>
              <w:rPr>
                <w:b/>
                <w:lang w:val="en-US"/>
              </w:rPr>
            </w:pPr>
            <w:r>
              <w:rPr>
                <w:b/>
                <w:lang w:val="en-US"/>
              </w:rPr>
              <w:t>(NOTE 26)</w:t>
            </w:r>
          </w:p>
        </w:tc>
        <w:tc>
          <w:tcPr>
            <w:tcW w:w="3278" w:type="dxa"/>
          </w:tcPr>
          <w:p>
            <w:pPr>
              <w:pStyle w:val="TAL"/>
              <w:rPr>
                <w:i/>
                <w:lang w:val="en-US" w:eastAsia="ja-JP"/>
              </w:rPr>
            </w:pPr>
            <w:r>
              <w:rPr>
                <w:i/>
                <w:lang w:val="en-US" w:eastAsia="ja-JP"/>
              </w:rPr>
              <w:t>This part defines Alternative QoS Parameter Sets for the service data flow.</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Packet Delay Budget</w:t>
            </w:r>
          </w:p>
        </w:tc>
        <w:tc>
          <w:tcPr>
            <w:tcW w:w="3278" w:type="dxa"/>
          </w:tcPr>
          <w:p>
            <w:pPr>
              <w:pStyle w:val="TAL"/>
              <w:rPr>
                <w:lang w:val="en-US" w:eastAsia="ja-JP"/>
              </w:rPr>
            </w:pPr>
            <w:r>
              <w:rPr>
                <w:lang w:val="en-US" w:eastAsia="ja-JP"/>
              </w:rPr>
              <w:t>The Packet Delay Budget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Packet Error Rate</w:t>
            </w:r>
          </w:p>
        </w:tc>
        <w:tc>
          <w:tcPr>
            <w:tcW w:w="3278" w:type="dxa"/>
          </w:tcPr>
          <w:p>
            <w:pPr>
              <w:pStyle w:val="TAL"/>
              <w:rPr>
                <w:lang w:val="en-US" w:eastAsia="ja-JP"/>
              </w:rPr>
            </w:pPr>
            <w:r>
              <w:rPr>
                <w:lang w:val="en-US" w:eastAsia="ja-JP"/>
              </w:rPr>
              <w:t>The Packet Error 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UL-guaranteed bitrate</w:t>
            </w:r>
          </w:p>
        </w:tc>
        <w:tc>
          <w:tcPr>
            <w:tcW w:w="3278" w:type="dxa"/>
          </w:tcPr>
          <w:p>
            <w:pPr>
              <w:pStyle w:val="TAL"/>
              <w:rPr>
                <w:lang w:val="en-US" w:eastAsia="ja-JP"/>
              </w:rPr>
            </w:pPr>
            <w:r>
              <w:rPr>
                <w:lang w:val="en-US" w:eastAsia="ja-JP"/>
              </w:rPr>
              <w:t>The uplink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DL-guaranteed bitrate</w:t>
            </w:r>
          </w:p>
        </w:tc>
        <w:tc>
          <w:tcPr>
            <w:tcW w:w="3278" w:type="dxa"/>
          </w:tcPr>
          <w:p>
            <w:pPr>
              <w:pStyle w:val="TAL"/>
              <w:rPr>
                <w:lang w:val="en-US" w:eastAsia="ja-JP"/>
              </w:rPr>
            </w:pPr>
            <w:r>
              <w:rPr>
                <w:lang w:val="en-US" w:eastAsia="ja-JP"/>
              </w:rPr>
              <w:t>The downlink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lastRenderedPageBreak/>
              <w:t>TSC Assistance Container</w:t>
            </w:r>
          </w:p>
        </w:tc>
        <w:tc>
          <w:tcPr>
            <w:tcW w:w="3278" w:type="dxa"/>
          </w:tcPr>
          <w:p>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pPr>
              <w:pStyle w:val="TAL"/>
              <w:rPr>
                <w:szCs w:val="18"/>
                <w:lang w:val="en-US"/>
              </w:rPr>
            </w:pPr>
          </w:p>
        </w:tc>
        <w:tc>
          <w:tcPr>
            <w:tcW w:w="1748" w:type="dxa"/>
          </w:tcPr>
          <w:p>
            <w:pPr>
              <w:pStyle w:val="TAL"/>
            </w:pPr>
            <w:r>
              <w:t>No</w:t>
            </w:r>
          </w:p>
        </w:tc>
        <w:tc>
          <w:tcPr>
            <w:tcW w:w="1627" w:type="dxa"/>
          </w:tcPr>
          <w:p>
            <w:pPr>
              <w:pStyle w:val="TAL"/>
            </w:pPr>
            <w:r>
              <w:t>Added</w:t>
            </w:r>
          </w:p>
        </w:tc>
      </w:tr>
      <w:tr>
        <w:trPr>
          <w:cantSplit/>
        </w:trPr>
        <w:tc>
          <w:tcPr>
            <w:tcW w:w="1612" w:type="dxa"/>
          </w:tcPr>
          <w:p>
            <w:pPr>
              <w:pStyle w:val="TAL"/>
              <w:rPr>
                <w:b/>
                <w:lang w:val="en-US"/>
              </w:rPr>
            </w:pPr>
            <w:r>
              <w:rPr>
                <w:b/>
                <w:lang w:val="en-US"/>
              </w:rPr>
              <w:t>Downlink Data Notification Control</w:t>
            </w:r>
          </w:p>
        </w:tc>
        <w:tc>
          <w:tcPr>
            <w:tcW w:w="3278" w:type="dxa"/>
          </w:tcPr>
          <w:p>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Notification control for DDD status</w:t>
            </w:r>
          </w:p>
        </w:tc>
        <w:tc>
          <w:tcPr>
            <w:tcW w:w="3278" w:type="dxa"/>
          </w:tcPr>
          <w:p>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Notification Control for DDN Failure</w:t>
            </w:r>
          </w:p>
        </w:tc>
        <w:tc>
          <w:tcPr>
            <w:tcW w:w="3278" w:type="dxa"/>
          </w:tcPr>
          <w:p>
            <w:pPr>
              <w:pStyle w:val="TAL"/>
              <w:rPr>
                <w:lang w:val="en-US" w:eastAsia="ja-JP"/>
              </w:rPr>
            </w:pPr>
            <w:r>
              <w:rPr>
                <w:lang w:val="en-US" w:eastAsia="ja-JP"/>
              </w:rPr>
              <w:t>Indicates that notifications of DDN Failure are required.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9629" w:type="dxa"/>
            <w:gridSpan w:val="5"/>
          </w:tcPr>
          <w:p>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pPr>
              <w:pStyle w:val="TAN"/>
            </w:pPr>
            <w:r>
              <w:t>NOTE 3:</w:t>
            </w:r>
            <w:r>
              <w:tab/>
              <w:t>Either service data flow filter(s) or application identifier shall be defined per each rule.</w:t>
            </w:r>
          </w:p>
          <w:p>
            <w:pPr>
              <w:pStyle w:val="TAN"/>
            </w:pPr>
            <w:r>
              <w:t>NOTE 4:</w:t>
            </w:r>
            <w:r>
              <w:tab/>
              <w:t>YES, if the service data flow template consists of a set of service data flow filters. NO if the service data flow template consists of an application identifier</w:t>
            </w:r>
          </w:p>
          <w:p>
            <w:pPr>
              <w:pStyle w:val="TAN"/>
            </w:pPr>
            <w:r>
              <w:t>NOTE 5:</w:t>
            </w:r>
            <w:r>
              <w:tab/>
              <w:t>Optional and applicable only if application identifier exists within the rule.</w:t>
            </w:r>
          </w:p>
          <w:p>
            <w:pPr>
              <w:pStyle w:val="TAN"/>
            </w:pPr>
            <w:r>
              <w:t>NOTE 6:</w:t>
            </w:r>
            <w:r>
              <w:tab/>
              <w:t>Applicable to sponsored data connectivity.</w:t>
            </w:r>
          </w:p>
          <w:p>
            <w:pPr>
              <w:pStyle w:val="TAN"/>
            </w:pPr>
            <w:r>
              <w:t>NOTE 7:</w:t>
            </w:r>
            <w:r>
              <w:tab/>
              <w:t>Mandatory if there is no default charging method for the PDU Session.</w:t>
            </w:r>
          </w:p>
          <w:p>
            <w:pPr>
              <w:pStyle w:val="TAN"/>
            </w:pPr>
            <w:r>
              <w:t>NOTE 8:</w:t>
            </w:r>
            <w:r>
              <w:tab/>
              <w:t>Optional and applicable only if application identifier exists within the rule.</w:t>
            </w:r>
          </w:p>
          <w:p>
            <w:pPr>
              <w:pStyle w:val="TAN"/>
            </w:pPr>
            <w:r>
              <w:t>NOTE 9:</w:t>
            </w:r>
            <w:r>
              <w:tab/>
              <w:t>If Redirect is enabled.</w:t>
            </w:r>
          </w:p>
          <w:p>
            <w:pPr>
              <w:pStyle w:val="TAN"/>
            </w:pPr>
            <w:r>
              <w:t>NOTE 10:</w:t>
            </w:r>
            <w:r>
              <w:tab/>
              <w:t>Mandatory when Bind to QoS Flow associated with the default QoS rule is not present.</w:t>
            </w:r>
          </w:p>
          <w:p>
            <w:pPr>
              <w:pStyle w:val="TAN"/>
            </w:pPr>
            <w:r>
              <w:t>NOTE 11:</w:t>
            </w:r>
            <w:r>
              <w:tab/>
              <w:t>The presence of this attribute causes the 5QI/ARP/QNC/Priority Level/Averaging Window/Maximum Data Burst Volume of the rule to be ignored for the QoS Flow binding.</w:t>
            </w:r>
          </w:p>
          <w:p>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pPr>
              <w:pStyle w:val="TAN"/>
            </w:pPr>
            <w:r>
              <w:t>NOTE 14:</w:t>
            </w:r>
            <w:r>
              <w:tab/>
              <w:t>Optional and applicable only when a value different from the standardized value for this 5QI in Table 5.7.4-1 TS 23.501 [2] is required.</w:t>
            </w:r>
          </w:p>
          <w:p>
            <w:pPr>
              <w:pStyle w:val="TAN"/>
            </w:pPr>
            <w:r>
              <w:t>NOTE 15:</w:t>
            </w:r>
            <w:r>
              <w:tab/>
              <w:t>Optional and applicable only for GBR service data flow.</w:t>
            </w:r>
          </w:p>
          <w:p>
            <w:pPr>
              <w:pStyle w:val="TAN"/>
            </w:pPr>
            <w:r>
              <w:t>NOTE 16:</w:t>
            </w:r>
            <w:r>
              <w:tab/>
              <w:t>Usage of the charging information in described in TS 32.255 [21].</w:t>
            </w:r>
          </w:p>
          <w:p>
            <w:pPr>
              <w:pStyle w:val="TAN"/>
            </w:pPr>
            <w:r>
              <w:t>NOTE 17:</w:t>
            </w:r>
            <w:r>
              <w:tab/>
              <w:t>Only one PCC rule can contain this attribute and this PCC rule shall not contain the attribute Bind to QoS Flow associated with the default QoS rule.</w:t>
            </w:r>
          </w:p>
          <w:p>
            <w:pPr>
              <w:pStyle w:val="TAN"/>
            </w:pPr>
            <w:r>
              <w:t>NOTE 18:</w:t>
            </w:r>
            <w:r>
              <w:tab/>
              <w:t>Only one of the two shall be present in a PCC rule.</w:t>
            </w:r>
          </w:p>
          <w:p>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pPr>
              <w:pStyle w:val="TAN"/>
            </w:pPr>
            <w:r>
              <w:t>NOTE 20:</w:t>
            </w:r>
            <w:r>
              <w:tab/>
              <w:t>Only applicable to a PCC Rules provided to a MA PDU Session.</w:t>
            </w:r>
          </w:p>
          <w:p>
            <w:pPr>
              <w:pStyle w:val="TAN"/>
            </w:pPr>
            <w:r>
              <w:t>NOTE 21:</w:t>
            </w:r>
            <w:r>
              <w:tab/>
              <w:t>Mandatory when MA PDU Session Control information is provided.</w:t>
            </w:r>
          </w:p>
          <w:p>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pPr>
              <w:pStyle w:val="TAN"/>
            </w:pPr>
            <w:r>
              <w:t>NOTE 23:</w:t>
            </w:r>
            <w:r>
              <w:tab/>
              <w:t>When a Monitoring key for Non-3GPP access is provided, the Monitoring key (in the Usage Monitoring Control Section) shall be used to monitor usage of the packets carried via the 3GPP access.</w:t>
            </w:r>
          </w:p>
          <w:p>
            <w:pPr>
              <w:pStyle w:val="TAN"/>
            </w:pPr>
            <w:r>
              <w:t>NOTE 24:</w:t>
            </w:r>
            <w:r>
              <w:tab/>
              <w:t>Optional and applicable only for GBR service data flow with QoS Notification Control enabled.</w:t>
            </w:r>
          </w:p>
          <w:p>
            <w:pPr>
              <w:pStyle w:val="TAN"/>
            </w:pPr>
            <w:r>
              <w:t>NOTE 25:</w:t>
            </w:r>
            <w:r>
              <w:tab/>
              <w:t>Optional and applicable only for GBR service data flow for which Alternative QoS Parameter Set(s) are provided.</w:t>
            </w:r>
          </w:p>
          <w:p>
            <w:pPr>
              <w:pStyle w:val="TAN"/>
            </w:pPr>
            <w:r>
              <w:t>NOTE 26:</w:t>
            </w:r>
            <w:r>
              <w:tab/>
              <w:t>One or more Alternative QoS Parameter Sets can be provided in a prioritized order starting with the Alternative QoS Parameter Set that has the highest priority.</w:t>
            </w:r>
          </w:p>
          <w:p>
            <w:pPr>
              <w:pStyle w:val="TAN"/>
            </w:pPr>
            <w:r>
              <w:t>NOTE 27:</w:t>
            </w:r>
            <w:r>
              <w:tab/>
              <w:t>Mandatory in MA PDU Session Control information only when there is application identifier in the service data flow template.</w:t>
            </w:r>
          </w:p>
        </w:tc>
      </w:tr>
    </w:tbl>
    <w:p>
      <w:pPr>
        <w:pStyle w:val="FP"/>
      </w:pPr>
    </w:p>
    <w:p>
      <w:r>
        <w:lastRenderedPageBreak/>
        <w:t>The Rule identifier shall be unique for a PCC rule within a PDU Session. A dynamically provided PCC rule that has the same Rule identifier value as a predefined PCC rule shall replace the predefined rule within the same PDU Session.</w:t>
      </w:r>
    </w:p>
    <w:p>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pPr>
        <w:pStyle w:val="NO"/>
      </w:pPr>
      <w:r>
        <w:t>NOTE 3:</w:t>
      </w:r>
      <w:r>
        <w:tab/>
        <w:t>Predefined PCC rules may include service data flow templates, which support extended capabilities, including enhanced capabilities to identify events associated with application protocols.</w:t>
      </w:r>
    </w:p>
    <w:p>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
        <w:t xml:space="preserve">The </w:t>
      </w:r>
      <w:r>
        <w:rPr>
          <w:i/>
        </w:rPr>
        <w:t>Mute for notification</w:t>
      </w:r>
      <w:r>
        <w:t xml:space="preserve"> defines whether notification to the PCF of application's starts or stops shall be muted. Absence of this parameter means that start/stop notifications shall be sent.</w:t>
      </w:r>
    </w:p>
    <w:p>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pPr>
        <w:pStyle w:val="NO"/>
      </w:pPr>
      <w:r>
        <w:t>NOTE 4:</w:t>
      </w:r>
      <w:r>
        <w:tab/>
        <w:t>Assigning the same Charging key for several service data flows implies that the charging does not require the credit management to be handled separately.</w:t>
      </w:r>
    </w:p>
    <w:p>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pPr>
        <w:pStyle w:val="NO"/>
      </w:pPr>
      <w:r>
        <w:t>NOTE 5:</w:t>
      </w:r>
      <w:r>
        <w:tab/>
        <w:t>The PCC rule service identifier need not have any relationship to service identifiers used on the AF level, i.e. is an operator policy option.</w:t>
      </w:r>
    </w:p>
    <w:p>
      <w:r>
        <w:t xml:space="preserve">The </w:t>
      </w:r>
      <w:r>
        <w:rPr>
          <w:i/>
        </w:rPr>
        <w:t>Sponsor Identifier</w:t>
      </w:r>
      <w:r>
        <w:t xml:space="preserve"> indicates the (3rd) party organization willing to pay for the operator's charge for connectivity required to deliver a service to the end user.</w:t>
      </w:r>
    </w:p>
    <w:p>
      <w:r>
        <w:t xml:space="preserve">The </w:t>
      </w:r>
      <w:r>
        <w:rPr>
          <w:i/>
        </w:rPr>
        <w:t>Application Service Provider Identifier</w:t>
      </w:r>
      <w:r>
        <w:t xml:space="preserve"> indicates the (3rd) party organization delivering a service to the end user.</w:t>
      </w:r>
    </w:p>
    <w:p>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
        <w:t xml:space="preserve">The </w:t>
      </w:r>
      <w:r>
        <w:rPr>
          <w:i/>
        </w:rPr>
        <w:t>Measurement method</w:t>
      </w:r>
      <w:r>
        <w:t xml:space="preserve"> indicates what measurements apply to charging for a PCC rule.</w:t>
      </w:r>
    </w:p>
    <w:p>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
        <w:t xml:space="preserve">The </w:t>
      </w:r>
      <w:r>
        <w:rPr>
          <w:i/>
        </w:rPr>
        <w:t>Gate</w:t>
      </w:r>
      <w:r>
        <w:t xml:space="preserve"> indicates whether the SMF shall instruct the UPF to let a packet identified by the PCC rule pass through (gate is open) to discard the packet (gate is closed).</w:t>
      </w:r>
    </w:p>
    <w:p>
      <w:pPr>
        <w:pStyle w:val="NO"/>
      </w:pPr>
      <w:r>
        <w:t>NOTE 8:</w:t>
      </w:r>
      <w:r>
        <w:tab/>
        <w:t>A packet, matching a PCC Rule with an open gate, may be discarded due to credit management reasons.</w:t>
      </w:r>
    </w:p>
    <w:p>
      <w:r>
        <w:t xml:space="preserve">The </w:t>
      </w:r>
      <w:r>
        <w:rPr>
          <w:i/>
        </w:rPr>
        <w:t>5G QoS Identifier</w:t>
      </w:r>
      <w:r>
        <w:t>, 5QI, represents the QoS parameters for the service data flow. The 5G QoS identifier is scalar and accommodates the need for differentiating QoS in both 3GPP and non-3GPP access type.</w:t>
      </w:r>
    </w:p>
    <w:p>
      <w:r>
        <w:t>The bitrates indicate the authorized bitrates at the IP packet level of the SDF, i.e. the bitrates of the IP packets before any access specific compression or encapsulation.</w:t>
      </w:r>
    </w:p>
    <w:p>
      <w:r>
        <w:t xml:space="preserve">The </w:t>
      </w:r>
      <w:r>
        <w:rPr>
          <w:i/>
        </w:rPr>
        <w:t>UL maximum-bitrate</w:t>
      </w:r>
      <w:r>
        <w:t xml:space="preserve"> indicates the authorized maximum bitrate for the uplink component of the service data flow.</w:t>
      </w:r>
    </w:p>
    <w:p>
      <w:r>
        <w:t xml:space="preserve">The </w:t>
      </w:r>
      <w:r>
        <w:rPr>
          <w:i/>
        </w:rPr>
        <w:t>DL maximum-bitrate</w:t>
      </w:r>
      <w:r>
        <w:t xml:space="preserve"> indicates the authorized maximum bitrate for the downlink component of the service data flow.</w:t>
      </w:r>
    </w:p>
    <w:p>
      <w:r>
        <w:t xml:space="preserve">The </w:t>
      </w:r>
      <w:r>
        <w:rPr>
          <w:i/>
        </w:rPr>
        <w:t>UL guaranteed-bitrate</w:t>
      </w:r>
      <w:r>
        <w:t xml:space="preserve"> indicates the authorized guaranteed bitrate for the uplink component of the service data flow.</w:t>
      </w:r>
    </w:p>
    <w:p>
      <w:r>
        <w:t xml:space="preserve">The </w:t>
      </w:r>
      <w:r>
        <w:rPr>
          <w:i/>
        </w:rPr>
        <w:t>DL guaranteed-bitrate</w:t>
      </w:r>
      <w:r>
        <w:t xml:space="preserve"> indicates the authorized guaranteed bitrate for the downlink component of the service data flow.</w:t>
      </w:r>
    </w:p>
    <w:p>
      <w:r>
        <w:t>The 'Maximum bitrate' is used for enforcement of the maximum bit rate that the SDF may consume, while the 'Guaranteed bitrate' is used by the SMF to determine resource allocation demands.</w:t>
      </w:r>
    </w:p>
    <w:p>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The </w:t>
      </w:r>
      <w:r>
        <w:rPr>
          <w:i/>
        </w:rPr>
        <w:t>Indication of exclusion from session level monitoring</w:t>
      </w:r>
      <w:r>
        <w:t xml:space="preserve"> indicates that the service data flow shall be excluded from the PDU Session usage monitoring.</w:t>
      </w:r>
    </w:p>
    <w:p>
      <w:pPr>
        <w:rPr>
          <w:i/>
        </w:rPr>
      </w:pPr>
      <w:r>
        <w:t>The</w:t>
      </w:r>
      <w:r>
        <w:rPr>
          <w:i/>
        </w:rPr>
        <w:t xml:space="preserve"> AF influenced Traffic Steering Enforcement Control</w:t>
      </w:r>
      <w:r>
        <w:t xml:space="preserve"> contains:</w:t>
      </w:r>
    </w:p>
    <w:p>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pPr>
        <w:pStyle w:val="B1"/>
      </w:pPr>
      <w:r>
        <w:t>-</w:t>
      </w:r>
      <w:r>
        <w:tab/>
        <w:t xml:space="preserve">an </w:t>
      </w:r>
      <w:r>
        <w:rPr>
          <w:i/>
        </w:rPr>
        <w:t>AF subscription to UP change events</w:t>
      </w:r>
      <w:r>
        <w:t xml:space="preserve"> parameter which contains subscription information defined in clause 5.2.8.3 of TS 23.502 </w:t>
      </w:r>
      <w:r>
        <w:rPr>
          <w:lang w:val="de-D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
        <w:t xml:space="preserve">The </w:t>
      </w:r>
      <w:r>
        <w:rPr>
          <w:i/>
        </w:rPr>
        <w:t>Redirect</w:t>
      </w:r>
      <w:r>
        <w:t xml:space="preserve"> indicates whether the uplink part of the service data flow should be redirected to a controlled address.</w:t>
      </w:r>
    </w:p>
    <w:p>
      <w:r>
        <w:t xml:space="preserve">The </w:t>
      </w:r>
      <w:r>
        <w:rPr>
          <w:i/>
        </w:rPr>
        <w:t>Redirect Destination</w:t>
      </w:r>
      <w:r>
        <w:t xml:space="preserve"> indicates the target redirect address when </w:t>
      </w:r>
      <w:r>
        <w:rPr>
          <w:i/>
        </w:rPr>
        <w:t>Redirect</w:t>
      </w:r>
      <w:r>
        <w:t xml:space="preserve"> is enabled.</w:t>
      </w:r>
    </w:p>
    <w:p>
      <w:r>
        <w:t xml:space="preserve">The </w:t>
      </w:r>
      <w:r>
        <w:rPr>
          <w:i/>
        </w:rPr>
        <w:t>UL Maximum Packet Loss Rate</w:t>
      </w:r>
      <w:r>
        <w:t xml:space="preserve"> indicates the maximum rate for lost packets that can be tolerated in the uplink direction.</w:t>
      </w:r>
    </w:p>
    <w:p>
      <w:r>
        <w:t xml:space="preserve">The </w:t>
      </w:r>
      <w:r>
        <w:rPr>
          <w:i/>
        </w:rPr>
        <w:t>DL Maximum Packet Loss Rate</w:t>
      </w:r>
      <w:r>
        <w:t xml:space="preserve"> indicates the maximum rate for lost packets that can be tolerated in the downlink direction.</w:t>
      </w:r>
    </w:p>
    <w:p>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81" w:author="Apostolis-r6" w:date="2021-10-20T15:39:00Z">
        <w:r>
          <w:t xml:space="preserve">for which </w:t>
        </w:r>
      </w:ins>
      <w:ins w:id="82" w:author="Apostolis-r6" w:date="2021-10-20T15:47:00Z">
        <w:r>
          <w:t xml:space="preserve">steering </w:t>
        </w:r>
      </w:ins>
      <w:ins w:id="83" w:author="Apostolis-r6" w:date="2021-10-20T15:46:00Z">
        <w:r>
          <w:t xml:space="preserve">is required based on </w:t>
        </w:r>
      </w:ins>
      <w:del w:id="84" w:author="Ericsson User" w:date="2021-09-15T10:04:00Z">
        <w:r>
          <w:delText>identifier</w:delText>
        </w:r>
      </w:del>
      <w:del w:id="85" w:author="Apostolis-r6" w:date="2021-10-20T15:46:00Z">
        <w:r>
          <w:delText xml:space="preserve"> to apply</w:delText>
        </w:r>
      </w:del>
      <w:r>
        <w:t xml:space="preserve"> the Steering Functionality</w:t>
      </w:r>
      <w:ins w:id="86" w:author="Ericsson User" w:date="2021-09-15T10:05:00Z">
        <w:r>
          <w:t>,</w:t>
        </w:r>
      </w:ins>
      <w:r>
        <w:t xml:space="preserve"> </w:t>
      </w:r>
      <w:del w:id="87" w:author="Ericsson User" w:date="2021-09-15T10:05:00Z">
        <w:r>
          <w:delText xml:space="preserve">and </w:delText>
        </w:r>
      </w:del>
      <w:r>
        <w:t xml:space="preserve">the Steering </w:t>
      </w:r>
      <w:ins w:id="88" w:author="Ericsson User" w:date="2021-09-15T08:56:00Z">
        <w:r>
          <w:t>M</w:t>
        </w:r>
      </w:ins>
      <w:del w:id="89" w:author="Ericsson User" w:date="2021-09-15T08:56:00Z">
        <w:r>
          <w:delText>m</w:delText>
        </w:r>
      </w:del>
      <w:r>
        <w:t>ode</w:t>
      </w:r>
      <w:ins w:id="90" w:author="Ericsson User" w:date="2021-09-15T10:02:00Z">
        <w:r>
          <w:t xml:space="preserve">, the Steering Mode </w:t>
        </w:r>
      </w:ins>
      <w:ins w:id="91" w:author="Ericsson User" w:date="2021-09-15T10:11:00Z">
        <w:r>
          <w:t>Indicator,</w:t>
        </w:r>
      </w:ins>
      <w:ins w:id="92" w:author="Ericsson User" w:date="2021-09-15T10:02:00Z">
        <w:r>
          <w:t xml:space="preserve"> and the Threshold Values</w:t>
        </w:r>
      </w:ins>
      <w:r>
        <w:t>.</w:t>
      </w:r>
    </w:p>
    <w:p>
      <w:r>
        <w:t xml:space="preserve">The </w:t>
      </w:r>
      <w:r>
        <w:rPr>
          <w:i/>
        </w:rPr>
        <w:t>Steering Functionality</w:t>
      </w:r>
      <w:r>
        <w:t xml:space="preserve"> indicates the method for how traffic matching the SDF template</w:t>
      </w:r>
      <w:ins w:id="93" w:author="Ericsson User" w:date="2021-09-15T10:11:00Z">
        <w:r>
          <w:t xml:space="preserve"> in the UPF or </w:t>
        </w:r>
      </w:ins>
      <w:ins w:id="94" w:author="Ericsson User" w:date="2021-09-15T10:12:00Z">
        <w:r>
          <w:t xml:space="preserve">a </w:t>
        </w:r>
      </w:ins>
      <w:ins w:id="95" w:author="Ericsson User3" w:date="2021-09-23T09:44:00Z">
        <w:r>
          <w:t>Traffic</w:t>
        </w:r>
      </w:ins>
      <w:ins w:id="96"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pPr>
        <w:rPr>
          <w:ins w:id="97" w:author="Ericsson User" w:date="2021-09-15T08:57:00Z"/>
        </w:rPr>
      </w:pPr>
      <w:r>
        <w:t xml:space="preserve">The </w:t>
      </w:r>
      <w:r>
        <w:rPr>
          <w:i/>
        </w:rPr>
        <w:t xml:space="preserve">Steering </w:t>
      </w:r>
      <w:ins w:id="98" w:author="Ericsson User" w:date="2021-09-15T08:57:00Z">
        <w:r>
          <w:rPr>
            <w:i/>
          </w:rPr>
          <w:t>M</w:t>
        </w:r>
      </w:ins>
      <w:del w:id="99" w:author="Ericsson User" w:date="2021-09-15T08:57:00Z">
        <w:r>
          <w:rPr>
            <w:i/>
          </w:rPr>
          <w:delText>m</w:delText>
        </w:r>
      </w:del>
      <w:r>
        <w:rPr>
          <w:i/>
        </w:rPr>
        <w:t>ode</w:t>
      </w:r>
      <w:r>
        <w:t xml:space="preserve"> indicates the rule for distributing </w:t>
      </w:r>
      <w:del w:id="100" w:author="Ericsson User" w:date="2021-09-15T10:06:00Z">
        <w:r>
          <w:delText xml:space="preserve">traffic </w:delText>
        </w:r>
      </w:del>
      <w:ins w:id="101" w:author="Ericsson User" w:date="2021-09-15T16:18:00Z">
        <w:r>
          <w:t>downlink</w:t>
        </w:r>
      </w:ins>
      <w:ins w:id="102" w:author="Ericsson User" w:date="2021-09-15T16:17:00Z">
        <w:r>
          <w:t xml:space="preserve"> </w:t>
        </w:r>
      </w:ins>
      <w:ins w:id="103" w:author="Ericsson User" w:date="2021-09-15T10:06:00Z">
        <w:r>
          <w:t xml:space="preserve">SDFs </w:t>
        </w:r>
      </w:ins>
      <w:ins w:id="104" w:author="Ericsson User" w:date="2021-09-15T10:12:00Z">
        <w:r>
          <w:t>in the UPF</w:t>
        </w:r>
      </w:ins>
      <w:ins w:id="105" w:author="Ericsson User" w:date="2021-09-15T10:13:00Z">
        <w:r>
          <w:t xml:space="preserve"> or</w:t>
        </w:r>
      </w:ins>
      <w:ins w:id="106" w:author="Ericsson User" w:date="2021-09-15T10:12:00Z">
        <w:r>
          <w:t xml:space="preserve"> </w:t>
        </w:r>
      </w:ins>
      <w:ins w:id="107" w:author="Ericsson User" w:date="2021-09-15T16:18:00Z">
        <w:r>
          <w:t xml:space="preserve">uplink </w:t>
        </w:r>
      </w:ins>
      <w:ins w:id="108" w:author="Ericsson User" w:date="2021-09-15T10:12:00Z">
        <w:r>
          <w:t xml:space="preserve">traffic in the UE </w:t>
        </w:r>
      </w:ins>
      <w:r>
        <w:t>between accesses, together with the associated</w:t>
      </w:r>
      <w:ins w:id="109" w:author="Ericsson User" w:date="2021-09-15T09:33:00Z">
        <w:r>
          <w:t xml:space="preserve"> steering</w:t>
        </w:r>
      </w:ins>
      <w:r>
        <w:t xml:space="preserve"> parameters. The PCF may indicate separate values for </w:t>
      </w:r>
      <w:del w:id="110" w:author="Apostolis-r6" w:date="2021-10-20T15:48:00Z">
        <w:r>
          <w:delText>up-link</w:delText>
        </w:r>
      </w:del>
      <w:ins w:id="111" w:author="Apostolis-r6" w:date="2021-10-20T15:48:00Z">
        <w:r>
          <w:t>uplink</w:t>
        </w:r>
      </w:ins>
      <w:r>
        <w:t xml:space="preserve"> and </w:t>
      </w:r>
      <w:del w:id="112" w:author="Apostolis-r6" w:date="2021-10-20T15:48:00Z">
        <w:r>
          <w:delText xml:space="preserve">down-link </w:delText>
        </w:r>
      </w:del>
      <w:ins w:id="113" w:author="Apostolis-r6" w:date="2021-10-20T15:48:00Z">
        <w:r>
          <w:t xml:space="preserve">downlink </w:t>
        </w:r>
      </w:ins>
      <w:r>
        <w:t xml:space="preserve">directions. The available </w:t>
      </w:r>
      <w:ins w:id="114" w:author="Ericsson User" w:date="2021-09-15T09:14:00Z">
        <w:r>
          <w:t>S</w:t>
        </w:r>
      </w:ins>
      <w:del w:id="115" w:author="Ericsson User" w:date="2021-09-15T09:14:00Z">
        <w:r>
          <w:delText>s</w:delText>
        </w:r>
      </w:del>
      <w:r>
        <w:t xml:space="preserve">teering </w:t>
      </w:r>
      <w:ins w:id="116" w:author="Ericsson User" w:date="2021-09-15T09:14:00Z">
        <w:r>
          <w:t>M</w:t>
        </w:r>
      </w:ins>
      <w:del w:id="117" w:author="Ericsson User" w:date="2021-09-15T09:14:00Z">
        <w:r>
          <w:delText>m</w:delText>
        </w:r>
      </w:del>
      <w:r>
        <w:t>odes are defined in TS 23.501 [2].</w:t>
      </w:r>
      <w:ins w:id="118" w:author="Ericsson User" w:date="2021-09-15T09:16:00Z">
        <w:r>
          <w:t xml:space="preserve"> </w:t>
        </w:r>
      </w:ins>
    </w:p>
    <w:p>
      <w:pPr>
        <w:rPr>
          <w:highlight w:val="yellow"/>
        </w:rPr>
      </w:pPr>
      <w:ins w:id="119" w:author="Ericsson User" w:date="2021-09-15T09:12:00Z">
        <w:r>
          <w:t xml:space="preserve">The </w:t>
        </w:r>
        <w:r>
          <w:rPr>
            <w:i/>
            <w:iCs/>
          </w:rPr>
          <w:t>Steering Mode Indicator</w:t>
        </w:r>
        <w:r>
          <w:t xml:space="preserve"> indicates </w:t>
        </w:r>
      </w:ins>
      <w:ins w:id="120" w:author="Ericsson User" w:date="2021-09-15T09:26:00Z">
        <w:r>
          <w:t xml:space="preserve">that the </w:t>
        </w:r>
      </w:ins>
      <w:ins w:id="121" w:author="Ericsson User" w:date="2021-09-15T09:12:00Z">
        <w:r>
          <w:t xml:space="preserve">UE </w:t>
        </w:r>
      </w:ins>
      <w:ins w:id="122" w:author="Ericsson User" w:date="2021-09-15T09:14:00Z">
        <w:r>
          <w:t xml:space="preserve">or the UPF </w:t>
        </w:r>
      </w:ins>
      <w:ins w:id="123" w:author="Ericsson User" w:date="2021-09-15T09:26:00Z">
        <w:r>
          <w:t xml:space="preserve">or both </w:t>
        </w:r>
      </w:ins>
      <w:ins w:id="124" w:author="Ericsson User" w:date="2021-09-15T09:12:00Z">
        <w:r>
          <w:t xml:space="preserve">may </w:t>
        </w:r>
      </w:ins>
      <w:ins w:id="125" w:author="Ericsson User" w:date="2021-10-19T15:00:00Z">
        <w:r>
          <w:t>change</w:t>
        </w:r>
      </w:ins>
      <w:ins w:id="126" w:author="Ericsson User" w:date="2021-09-15T09:26:00Z">
        <w:r>
          <w:t xml:space="preserve"> the </w:t>
        </w:r>
      </w:ins>
      <w:ins w:id="127" w:author="Ericsson User" w:date="2021-09-15T09:12:00Z">
        <w:r>
          <w:t>steering parameters provided in the Steering Mode</w:t>
        </w:r>
      </w:ins>
      <w:ins w:id="128" w:author="Ericsson User" w:date="2021-10-19T15:01:00Z">
        <w:r>
          <w:t xml:space="preserve"> and may adjust the traffic steering based on their own decisions, as further defined </w:t>
        </w:r>
      </w:ins>
      <w:ins w:id="129" w:author="Ericsson User" w:date="2021-09-15T09:20:00Z">
        <w:r>
          <w:t>in TS 23.501 [2]</w:t>
        </w:r>
      </w:ins>
      <w:ins w:id="130" w:author="Ericsson User" w:date="2021-09-15T09:33:00Z">
        <w:r>
          <w:t>.</w:t>
        </w:r>
      </w:ins>
      <w:ins w:id="131" w:author="Ericsson User" w:date="2021-09-15T09:20:00Z">
        <w:r>
          <w:t xml:space="preserve"> </w:t>
        </w:r>
      </w:ins>
      <w:ins w:id="132" w:author="Myungjune@LGE_r01" w:date="2021-11-16T08:18:00Z">
        <w:r>
          <w:rPr>
            <w:highlight w:val="green"/>
          </w:rPr>
          <w:t xml:space="preserve">When </w:t>
        </w:r>
      </w:ins>
      <w:ins w:id="133" w:author="Myungjune@LGE_r01" w:date="2021-11-16T08:19:00Z">
        <w:r>
          <w:rPr>
            <w:highlight w:val="green"/>
          </w:rPr>
          <w:t>t</w:t>
        </w:r>
      </w:ins>
      <w:ins w:id="134" w:author="Myungjune@LGE_rev2" w:date="2021-11-08T11:57:00Z">
        <w:r>
          <w:rPr>
            <w:highlight w:val="yellow"/>
          </w:rPr>
          <w:t xml:space="preserve">he PCF </w:t>
        </w:r>
      </w:ins>
      <w:ins w:id="135" w:author="Myungjune@LGE_r03" w:date="2021-11-16T20:23:00Z">
        <w:r>
          <w:rPr>
            <w:highlight w:val="cyan"/>
          </w:rPr>
          <w:t>provides a</w:t>
        </w:r>
      </w:ins>
      <w:ins w:id="136" w:author="Myungjune@LGE_rev2" w:date="2021-11-08T11:57:00Z">
        <w:r>
          <w:rPr>
            <w:highlight w:val="cyan"/>
          </w:rPr>
          <w:t xml:space="preserve"> </w:t>
        </w:r>
        <w:r>
          <w:rPr>
            <w:i/>
            <w:iCs/>
            <w:highlight w:val="yellow"/>
          </w:rPr>
          <w:t>Steering Mode Indicator</w:t>
        </w:r>
      </w:ins>
      <w:ins w:id="137" w:author="Myungjune@LGE_r01" w:date="2021-11-16T08:19:00Z">
        <w:r>
          <w:rPr>
            <w:iCs/>
            <w:highlight w:val="green"/>
          </w:rPr>
          <w:t xml:space="preserve">, the </w:t>
        </w:r>
      </w:ins>
      <w:ins w:id="138" w:author="Myungjune@LGE_r03" w:date="2021-11-16T20:24:00Z">
        <w:r>
          <w:rPr>
            <w:iCs/>
            <w:highlight w:val="cyan"/>
          </w:rPr>
          <w:t>it</w:t>
        </w:r>
      </w:ins>
      <w:ins w:id="139" w:author="Myungjune@LGE_r01" w:date="2021-11-16T08:20:00Z">
        <w:r>
          <w:rPr>
            <w:iCs/>
            <w:highlight w:val="green"/>
          </w:rPr>
          <w:t xml:space="preserve"> shall </w:t>
        </w:r>
      </w:ins>
      <w:ins w:id="140" w:author="Myungjune@LGE_r02" w:date="2021-11-16T18:01:00Z">
        <w:r>
          <w:rPr>
            <w:iCs/>
            <w:highlight w:val="cyan"/>
          </w:rPr>
          <w:t>provide</w:t>
        </w:r>
      </w:ins>
      <w:ins w:id="141" w:author="Myungjune@LGE_r01" w:date="2021-11-16T08:20:00Z">
        <w:r>
          <w:rPr>
            <w:iCs/>
            <w:highlight w:val="cyan"/>
          </w:rPr>
          <w:t xml:space="preserve"> </w:t>
        </w:r>
        <w:r>
          <w:rPr>
            <w:iCs/>
            <w:highlight w:val="green"/>
          </w:rPr>
          <w:t xml:space="preserve">the same </w:t>
        </w:r>
      </w:ins>
      <w:ins w:id="142" w:author="Myungjune@LGE_r02" w:date="2021-11-16T18:02:00Z">
        <w:r>
          <w:rPr>
            <w:i/>
            <w:iCs/>
            <w:highlight w:val="cyan"/>
          </w:rPr>
          <w:t xml:space="preserve">Steering Mode </w:t>
        </w:r>
        <w:proofErr w:type="spellStart"/>
        <w:r>
          <w:rPr>
            <w:i/>
            <w:iCs/>
            <w:highlight w:val="cyan"/>
          </w:rPr>
          <w:t>Indicoator</w:t>
        </w:r>
      </w:ins>
      <w:proofErr w:type="spellEnd"/>
      <w:ins w:id="143" w:author="Myungjune@LGE_rev2" w:date="2021-11-08T11:57:00Z">
        <w:r>
          <w:rPr>
            <w:highlight w:val="cyan"/>
          </w:rPr>
          <w:t xml:space="preserve"> </w:t>
        </w:r>
        <w:r>
          <w:rPr>
            <w:highlight w:val="yellow"/>
          </w:rPr>
          <w:t>for uplink and downlink directions.</w:t>
        </w:r>
      </w:ins>
    </w:p>
    <w:p>
      <w:pPr>
        <w:rPr>
          <w:ins w:id="144" w:author="Ericsson User" w:date="2021-10-10T18:35:00Z"/>
        </w:rPr>
      </w:pPr>
      <w:ins w:id="145"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46" w:author="Myungjune@LGE_rev2" w:date="2021-11-08T11:58:00Z">
        <w:r>
          <w:rPr>
            <w:highlight w:val="yellow"/>
          </w:rPr>
          <w:t>The PCF may indicate separate values for uplink and downlink directions.</w:t>
        </w:r>
        <w:r>
          <w:t xml:space="preserve"> </w:t>
        </w:r>
      </w:ins>
      <w:ins w:id="147" w:author="Ericsson User" w:date="2021-10-10T18:35:00Z">
        <w:r>
          <w:t xml:space="preserve">The Steering Modes that may use the threshold values and how the UE and UPF enforces them are defined in TS 23.501 [2]. </w:t>
        </w:r>
      </w:ins>
    </w:p>
    <w:p>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
        <w:t xml:space="preserve">The </w:t>
      </w:r>
      <w:r>
        <w:rPr>
          <w:i/>
        </w:rPr>
        <w:t>Monitoring key for Non-3GPP access</w:t>
      </w:r>
      <w:r>
        <w:t xml:space="preserve"> indicates the Monitoring key that shall be used for monitoring the usage of the detected service data flow traffic carried via Non-3GPP access.</w:t>
      </w:r>
    </w:p>
    <w:p>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t>
      </w:r>
      <w:r>
        <w:lastRenderedPageBreak/>
        <w:t>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
        <w:t xml:space="preserve">The </w:t>
      </w:r>
      <w:r>
        <w:rPr>
          <w:i/>
          <w:iCs/>
        </w:rPr>
        <w:t>TSC Assistance Container</w:t>
      </w:r>
      <w:r>
        <w:t xml:space="preserve"> contains the following parameters:</w:t>
      </w:r>
    </w:p>
    <w:p>
      <w:pPr>
        <w:pStyle w:val="B1"/>
      </w:pPr>
      <w:r>
        <w:t>-</w:t>
      </w:r>
      <w:r>
        <w:tab/>
        <w:t>Time domain to indicate the (g)PTP domain of the flow as defined in TS 23.501 [2].</w:t>
      </w:r>
    </w:p>
    <w:p>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pPr>
        <w:pStyle w:val="B1"/>
      </w:pPr>
      <w:r>
        <w:t>-</w:t>
      </w:r>
      <w:r>
        <w:tab/>
        <w:t>The Periodicity to indicate the time between bursts. It is used by the SMF to forward to RAN as part of TSCAI in order to assist transmission of deterministic flows on Uu.</w:t>
      </w:r>
    </w:p>
    <w:p>
      <w:pPr>
        <w:pStyle w:val="B1"/>
      </w:pPr>
      <w:r>
        <w:t>-</w:t>
      </w:r>
      <w:r>
        <w:tab/>
        <w:t>The Flow direction to indicate the direction of the flow (UL or DL).</w:t>
      </w:r>
    </w:p>
    <w:p>
      <w:pPr>
        <w:pStyle w:val="B1"/>
      </w:pPr>
      <w:r>
        <w:t>-</w:t>
      </w:r>
      <w:r>
        <w:tab/>
        <w:t>Survival Time, as defined in TS 23.501 [2].</w:t>
      </w:r>
    </w:p>
    <w:p>
      <w:pPr>
        <w:pStyle w:val="NO"/>
      </w:pPr>
      <w:r>
        <w:t>NOTE 11:</w:t>
      </w:r>
      <w:r>
        <w:tab/>
        <w:t>Only Periodicity and Flow direction are mandatory in the TSC Assistance Container.</w:t>
      </w:r>
    </w:p>
    <w:p>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pPr>
        <w:pStyle w:val="B2"/>
      </w:pPr>
      <w:r>
        <w:t>-</w:t>
      </w:r>
      <w:r>
        <w:tab/>
        <w:t>indication that notifications of Downlink Data Delivery status are required; and</w:t>
      </w:r>
    </w:p>
    <w:p>
      <w:pPr>
        <w:pStyle w:val="B2"/>
      </w:pPr>
      <w:r>
        <w:t>-</w:t>
      </w:r>
      <w:r>
        <w:tab/>
        <w:t>the requested type of such notifications (notifications about downlink packets being buffered, and/or discarded).</w:t>
      </w:r>
    </w:p>
    <w:p>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pPr>
        <w:pStyle w:val="B2"/>
      </w:pPr>
      <w:r>
        <w:t>-</w:t>
      </w:r>
      <w:r>
        <w:tab/>
        <w:t>indication that notifications of DDN Failure are required.</w:t>
      </w:r>
    </w:p>
    <w:p>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pPr>
        <w:jc w:val="center"/>
        <w:rPr>
          <w:color w:val="FF0000"/>
          <w:sz w:val="36"/>
        </w:rPr>
      </w:pPr>
      <w:r>
        <w:rPr>
          <w:color w:val="FF0000"/>
          <w:sz w:val="36"/>
        </w:rPr>
        <w:t>*************** End of changes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Myungjune@LGE_rev2">
    <w15:presenceInfo w15:providerId="None" w15:userId="Myungjune@LGE_rev2"/>
  </w15:person>
  <w15:person w15:author="Myungjune@LGE_r02">
    <w15:presenceInfo w15:providerId="None" w15:userId="Myungjune@LGE_r02"/>
  </w15:person>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풍선 도움말 텍스트 Char"/>
    <w:link w:val="ae"/>
    <w:rPr>
      <w:rFonts w:ascii="Tahoma" w:hAnsi="Tahoma" w:cs="Tahoma"/>
      <w:sz w:val="16"/>
      <w:szCs w:val="16"/>
      <w:lang w:val="en-GB" w:eastAsia="en-US"/>
    </w:rPr>
  </w:style>
  <w:style w:type="table" w:styleId="af1">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Char2">
    <w:name w:val="문서 구조 Char"/>
    <w:basedOn w:val="a0"/>
    <w:link w:val="af0"/>
    <w:rPr>
      <w:rFonts w:ascii="Tahoma" w:hAnsi="Tahoma" w:cs="Tahoma"/>
      <w:shd w:val="clear" w:color="auto" w:fill="000080"/>
      <w:lang w:val="en-GB" w:eastAsia="en-US"/>
    </w:rPr>
  </w:style>
  <w:style w:type="paragraph" w:styleId="TOC">
    <w:name w:val="TOC Heading"/>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Char1">
    <w:name w:val="메모 주제 Char"/>
    <w:basedOn w:val="Char"/>
    <w:link w:val="af"/>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af2">
    <w:name w:val="Body Text"/>
    <w:basedOn w:val="a"/>
    <w:link w:val="Char3"/>
    <w:pPr>
      <w:overflowPunct w:val="0"/>
      <w:autoSpaceDE w:val="0"/>
      <w:autoSpaceDN w:val="0"/>
      <w:adjustRightInd w:val="0"/>
      <w:spacing w:after="120"/>
      <w:textAlignment w:val="baseline"/>
    </w:pPr>
    <w:rPr>
      <w:rFonts w:eastAsia="SimSun"/>
      <w:color w:val="000000"/>
      <w:lang w:val="x-none" w:eastAsia="ja-JP"/>
    </w:rPr>
  </w:style>
  <w:style w:type="character" w:customStyle="1" w:styleId="Char3">
    <w:name w:val="본문 Char"/>
    <w:basedOn w:val="a0"/>
    <w:link w:val="af2"/>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4Char">
    <w:name w:val="제목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E849-5540-4A9C-AB23-AF91AF06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7727</Words>
  <Characters>44050</Characters>
  <Application>Microsoft Office Word</Application>
  <DocSecurity>0</DocSecurity>
  <Lines>367</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Myungjune@LGE_r03</cp:lastModifiedBy>
  <cp:revision>3</cp:revision>
  <cp:lastPrinted>1900-01-01T05:00:00Z</cp:lastPrinted>
  <dcterms:created xsi:type="dcterms:W3CDTF">2021-11-16T11:25:00Z</dcterms:created>
  <dcterms:modified xsi:type="dcterms:W3CDTF">2021-11-16T11:26:00Z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