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A5E4D" w14:textId="77777777" w:rsid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S2-2109020</w:t>
      </w:r>
    </w:p>
    <w:p w14:paraId="59DB98D9" w14:textId="77777777" w:rsidR="00934976" w:rsidRDefault="00934976" w:rsidP="0093497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204E5DD2" w14:textId="37D0A1CA" w:rsidR="00934976" w:rsidRP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82D7FB" w14:textId="77777777" w:rsidR="00934976" w:rsidRDefault="0093497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971F2F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4334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801FD1" w:rsidRPr="00E069DA">
        <w:rPr>
          <w:rFonts w:ascii="Arial" w:hAnsi="Arial" w:cs="Arial"/>
          <w:b/>
        </w:rPr>
        <w:t xml:space="preserve">LS on </w:t>
      </w:r>
      <w:r w:rsidR="004F3F82" w:rsidRPr="00E069DA">
        <w:rPr>
          <w:rFonts w:ascii="Arial" w:hAnsi="Arial" w:cs="Arial"/>
          <w:b/>
        </w:rPr>
        <w:t>conclusions</w:t>
      </w:r>
      <w:r w:rsidR="00733DC1" w:rsidRPr="00E069DA">
        <w:rPr>
          <w:rFonts w:ascii="Arial" w:hAnsi="Arial" w:cs="Arial"/>
          <w:b/>
        </w:rPr>
        <w:t xml:space="preserve"> of authentication methods for initial acce</w:t>
      </w:r>
      <w:r w:rsidR="0032613E" w:rsidRPr="00E069DA">
        <w:rPr>
          <w:rFonts w:ascii="Arial" w:hAnsi="Arial" w:cs="Arial"/>
          <w:b/>
        </w:rPr>
        <w:t>s</w:t>
      </w:r>
      <w:r w:rsidR="00733DC1" w:rsidRPr="00E069DA">
        <w:rPr>
          <w:rFonts w:ascii="Arial" w:hAnsi="Arial" w:cs="Arial"/>
          <w:b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0"/>
    <w:bookmarkEnd w:id="1"/>
    <w:bookmarkEnd w:id="2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3"/>
    <w:bookmarkEnd w:id="4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 xml:space="preserve">bo </w:t>
      </w:r>
      <w:r w:rsidR="00A544F1" w:rsidRPr="00E069DA">
        <w:rPr>
          <w:rFonts w:ascii="Arial" w:hAnsi="Arial" w:cs="Arial"/>
          <w:b/>
          <w:bCs/>
        </w:rPr>
        <w:t xml:space="preserve">dot </w:t>
      </w:r>
      <w:r w:rsidR="00A82F97" w:rsidRPr="00E069DA">
        <w:rPr>
          <w:rFonts w:ascii="Arial" w:hAnsi="Arial" w:cs="Arial"/>
          <w:b/>
          <w:bCs/>
        </w:rPr>
        <w:t>bjerrum</w:t>
      </w:r>
      <w:r w:rsidR="00A544F1" w:rsidRPr="00E069DA">
        <w:rPr>
          <w:rFonts w:ascii="Arial" w:hAnsi="Arial" w:cs="Arial"/>
          <w:b/>
          <w:bCs/>
        </w:rPr>
        <w:t xml:space="preserve"> at </w:t>
      </w:r>
      <w:r w:rsidR="00A82F97" w:rsidRPr="00E069DA">
        <w:rPr>
          <w:rFonts w:ascii="Arial" w:hAnsi="Arial" w:cs="Arial"/>
          <w:b/>
          <w:bCs/>
        </w:rPr>
        <w:t>nokia</w:t>
      </w:r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S3-21</w:t>
      </w:r>
      <w:r w:rsidR="00155013">
        <w:rPr>
          <w:rFonts w:ascii="Arial" w:hAnsi="Arial" w:cs="Arial"/>
          <w:bCs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t xml:space="preserve">SA3 would </w:t>
      </w:r>
      <w:r w:rsidR="00733DC1" w:rsidRPr="00E069DA">
        <w:t xml:space="preserve">like to inform SA2 about conclusions drawn for </w:t>
      </w:r>
      <w:r w:rsidR="0032613E" w:rsidRPr="00E069DA">
        <w:t>authentication</w:t>
      </w:r>
      <w:r w:rsidR="00733DC1" w:rsidRPr="00E069DA">
        <w:t xml:space="preserve"> of UE’s requesting initial access for </w:t>
      </w:r>
      <w:r w:rsidR="00733DC1" w:rsidRPr="009014D0">
        <w:t xml:space="preserve">onboarding. </w:t>
      </w:r>
      <w:r w:rsidR="00AB2BDA">
        <w:t>The conclusion</w:t>
      </w:r>
      <w:r w:rsidR="004C70CA">
        <w:t>s</w:t>
      </w:r>
      <w:r w:rsidR="00AB2BDA"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conclusions into account </w:t>
      </w:r>
      <w:r w:rsidR="004F3F82" w:rsidRPr="00E069DA">
        <w:rPr>
          <w:rFonts w:ascii="Arial" w:hAnsi="Arial" w:cs="Arial"/>
          <w:b/>
        </w:rPr>
        <w:t xml:space="preserve">and provide </w:t>
      </w:r>
      <w:r w:rsidR="005216EB">
        <w:rPr>
          <w:rFonts w:ascii="Arial" w:hAnsi="Arial" w:cs="Arial"/>
          <w:b/>
        </w:rPr>
        <w:t xml:space="preserve">any </w:t>
      </w:r>
      <w:r w:rsidR="00B76760">
        <w:rPr>
          <w:rFonts w:ascii="Arial" w:hAnsi="Arial" w:cs="Arial"/>
          <w:b/>
        </w:rPr>
        <w:t>feedback</w:t>
      </w:r>
      <w:r w:rsidR="00E069DA">
        <w:rPr>
          <w:rFonts w:ascii="Arial" w:hAnsi="Arial" w:cs="Arial"/>
          <w:b/>
        </w:rPr>
        <w:t xml:space="preserve">, if </w:t>
      </w:r>
      <w:r w:rsidR="00E13B32">
        <w:rPr>
          <w:rFonts w:ascii="Arial" w:hAnsi="Arial" w:cs="Arial"/>
          <w:b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r w:rsidRPr="00E069DA">
        <w:t>SA3#10</w:t>
      </w:r>
      <w:r w:rsidR="00A82F97" w:rsidRPr="00E069DA">
        <w:t>6</w:t>
      </w:r>
      <w:r w:rsidRPr="00E069DA">
        <w:tab/>
      </w:r>
      <w:r w:rsidR="00A82F97" w:rsidRPr="00E069DA">
        <w:t>7 – 11 February</w:t>
      </w:r>
      <w:r w:rsidRPr="00E069DA">
        <w:t xml:space="preserve"> 202</w:t>
      </w:r>
      <w:r w:rsidR="00A82F97" w:rsidRPr="00E069DA">
        <w:t>2</w:t>
      </w:r>
      <w:r w:rsidRPr="00E069DA">
        <w:tab/>
      </w:r>
      <w:r w:rsidR="00A82F97" w:rsidRPr="00E069DA">
        <w:t>EU (TBC)</w:t>
      </w:r>
    </w:p>
    <w:p w14:paraId="1936B3BB" w14:textId="2A553B65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AC0A" w14:textId="77777777" w:rsidR="00F16335" w:rsidRDefault="00F16335">
      <w:pPr>
        <w:spacing w:after="0"/>
      </w:pPr>
      <w:r>
        <w:separator/>
      </w:r>
    </w:p>
  </w:endnote>
  <w:endnote w:type="continuationSeparator" w:id="0">
    <w:p w14:paraId="043C253F" w14:textId="77777777" w:rsidR="00F16335" w:rsidRDefault="00F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9384" w14:textId="77777777" w:rsidR="00F16335" w:rsidRDefault="00F16335">
      <w:pPr>
        <w:spacing w:after="0"/>
      </w:pPr>
      <w:r>
        <w:separator/>
      </w:r>
    </w:p>
  </w:footnote>
  <w:footnote w:type="continuationSeparator" w:id="0">
    <w:p w14:paraId="43AEF07C" w14:textId="77777777" w:rsidR="00F16335" w:rsidRDefault="00F16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34976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97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49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4976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93497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9349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23.501_CR3352R1_(Rel-17)_IIoT</cp:lastModifiedBy>
  <cp:revision>2</cp:revision>
  <dcterms:created xsi:type="dcterms:W3CDTF">2021-11-16T06:46:00Z</dcterms:created>
  <dcterms:modified xsi:type="dcterms:W3CDTF">2021-11-16T06:46:00Z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