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0CA5">
        <w:fldChar w:fldCharType="begin"/>
      </w:r>
      <w:r w:rsidR="001C0CA5">
        <w:instrText xml:space="preserve"> DOCPROPERTY  TSG/WGRef  \* MERGEFORMAT </w:instrText>
      </w:r>
      <w:r w:rsidR="001C0CA5">
        <w:fldChar w:fldCharType="separate"/>
      </w:r>
      <w:r w:rsidR="003609EF">
        <w:rPr>
          <w:b/>
          <w:noProof/>
          <w:sz w:val="24"/>
        </w:rPr>
        <w:t>SA2</w:t>
      </w:r>
      <w:r w:rsidR="001C0C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CA5">
        <w:fldChar w:fldCharType="begin"/>
      </w:r>
      <w:r w:rsidR="001C0CA5">
        <w:instrText xml:space="preserve"> DOCPROPERTY  MtgSeq  \* MERGEFORMAT </w:instrText>
      </w:r>
      <w:r w:rsidR="001C0CA5">
        <w:fldChar w:fldCharType="separate"/>
      </w:r>
      <w:r w:rsidR="00EB09B7" w:rsidRPr="00EB09B7">
        <w:rPr>
          <w:b/>
          <w:noProof/>
          <w:sz w:val="24"/>
        </w:rPr>
        <w:t>148</w:t>
      </w:r>
      <w:r w:rsidR="001C0CA5">
        <w:rPr>
          <w:b/>
          <w:noProof/>
          <w:sz w:val="24"/>
        </w:rPr>
        <w:fldChar w:fldCharType="end"/>
      </w:r>
      <w:r w:rsidR="001C0CA5">
        <w:fldChar w:fldCharType="begin"/>
      </w:r>
      <w:r w:rsidR="001C0CA5">
        <w:instrText xml:space="preserve"> DOCPROPERTY  MtgTitle  \* MERGEFORMAT </w:instrText>
      </w:r>
      <w:r w:rsidR="001C0CA5">
        <w:fldChar w:fldCharType="separate"/>
      </w:r>
      <w:r w:rsidR="00EB09B7">
        <w:rPr>
          <w:b/>
          <w:noProof/>
          <w:sz w:val="24"/>
        </w:rPr>
        <w:t>-e</w:t>
      </w:r>
      <w:r w:rsidR="001C0C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0CA5">
        <w:fldChar w:fldCharType="begin"/>
      </w:r>
      <w:r w:rsidR="001C0CA5">
        <w:instrText xml:space="preserve"> DOCPROPERTY  Tdoc#  \* MERGEFORMAT </w:instrText>
      </w:r>
      <w:r w:rsidR="001C0CA5">
        <w:fldChar w:fldCharType="separate"/>
      </w:r>
      <w:r w:rsidR="00E13F3D" w:rsidRPr="00E13F3D">
        <w:rPr>
          <w:b/>
          <w:i/>
          <w:noProof/>
          <w:sz w:val="28"/>
        </w:rPr>
        <w:t>S2-2108482</w:t>
      </w:r>
      <w:r w:rsidR="001C0CA5">
        <w:rPr>
          <w:b/>
          <w:i/>
          <w:noProof/>
          <w:sz w:val="28"/>
        </w:rPr>
        <w:fldChar w:fldCharType="end"/>
      </w:r>
    </w:p>
    <w:p w14:paraId="7CB45193" w14:textId="77777777" w:rsidR="001E41F3" w:rsidRDefault="001C0C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0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0C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0C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0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E7A47" w:rsidR="00F25D98" w:rsidRDefault="00F64DE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0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IAB support for NR satellite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0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Rakuten Mobile,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CF9137" w:rsidR="001E41F3" w:rsidRDefault="00F64D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C0CA5">
              <w:fldChar w:fldCharType="begin"/>
            </w:r>
            <w:r w:rsidR="001C0CA5">
              <w:instrText xml:space="preserve"> DOCPROPERTY  SourceIfTsg  \* MERGEFORMAT </w:instrText>
            </w:r>
            <w:r w:rsidR="001C0CA5">
              <w:fldChar w:fldCharType="separate"/>
            </w:r>
            <w:r w:rsidR="001C0C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0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IABARC, 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0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0C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0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DE0" w:rsidRDefault="00F64DE0" w:rsidP="00F64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9507F4" w:rsidR="00F64DE0" w:rsidRDefault="00F64DE0" w:rsidP="00F64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satellite access is introduced from Rel-17. Curent description for IAB is not clear whether the IAB can be applied for NR satellite access.</w:t>
            </w:r>
          </w:p>
        </w:tc>
      </w:tr>
      <w:tr w:rsidR="00F64D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DE0" w:rsidRDefault="00F64DE0" w:rsidP="00F64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4DE0" w:rsidRDefault="00F64DE0" w:rsidP="00F64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DE0" w:rsidRDefault="00F64DE0" w:rsidP="00F64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F06CA" w:rsidR="00F64DE0" w:rsidRDefault="00F64DE0" w:rsidP="00F64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larify that IAB is not applied for NR </w:t>
            </w:r>
            <w:r>
              <w:rPr>
                <w:noProof/>
              </w:rPr>
              <w:t xml:space="preserve">satellite access in Release 17. PLMN will provide </w:t>
            </w:r>
            <w:r w:rsidRPr="0056121F">
              <w:rPr>
                <w:noProof/>
              </w:rPr>
              <w:t>the mobility restriction for NR satellite access</w:t>
            </w:r>
            <w:r>
              <w:rPr>
                <w:noProof/>
              </w:rPr>
              <w:t xml:space="preserve"> to the IAB-UE.</w:t>
            </w:r>
          </w:p>
        </w:tc>
      </w:tr>
      <w:tr w:rsidR="00F64D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DE0" w:rsidRDefault="00F64DE0" w:rsidP="00F64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DE0" w:rsidRDefault="00F64DE0" w:rsidP="00F64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DE0" w:rsidRDefault="00F64DE0" w:rsidP="00F64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45A7C" w:rsidR="00F64DE0" w:rsidRDefault="00F64DE0" w:rsidP="00F64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t is not clear </w:t>
            </w:r>
            <w:r>
              <w:rPr>
                <w:noProof/>
              </w:rPr>
              <w:t>whether the IAB can be applied for NR satellite access.</w:t>
            </w:r>
          </w:p>
        </w:tc>
      </w:tr>
      <w:tr w:rsidR="00F64DE0" w14:paraId="034AF533" w14:textId="77777777" w:rsidTr="00547111">
        <w:tc>
          <w:tcPr>
            <w:tcW w:w="2694" w:type="dxa"/>
            <w:gridSpan w:val="2"/>
          </w:tcPr>
          <w:p w14:paraId="39D9EB5B" w14:textId="77777777" w:rsidR="00F64DE0" w:rsidRDefault="00F64DE0" w:rsidP="00F64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DE0" w:rsidRDefault="00F64DE0" w:rsidP="00F64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DE0" w:rsidRDefault="00F64DE0" w:rsidP="00F64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01E7D" w:rsidR="00F64DE0" w:rsidRDefault="00F64DE0" w:rsidP="00F64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4.3.32.1, 4.3.32.4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7FBD6" w14:textId="77777777" w:rsidR="00F64DE0" w:rsidRDefault="00F64DE0" w:rsidP="00F64DE0">
      <w:pPr>
        <w:pStyle w:val="StartEndofChange"/>
      </w:pPr>
      <w:bookmarkStart w:id="1" w:name="_Toc27844132"/>
      <w:bookmarkStart w:id="2" w:name="_Toc36134290"/>
      <w:bookmarkStart w:id="3" w:name="_Toc45175973"/>
      <w:bookmarkStart w:id="4" w:name="_Toc51762003"/>
      <w:bookmarkStart w:id="5" w:name="_Toc51762488"/>
      <w:bookmarkStart w:id="6" w:name="_Toc51762971"/>
      <w:bookmarkStart w:id="7" w:name="_Toc83276798"/>
      <w:bookmarkStart w:id="8" w:name="_Toc27844136"/>
      <w:bookmarkStart w:id="9" w:name="_Toc36134294"/>
      <w:bookmarkStart w:id="10" w:name="_Toc45175977"/>
      <w:bookmarkStart w:id="11" w:name="_Toc51762007"/>
      <w:bookmarkStart w:id="12" w:name="_Toc51762492"/>
      <w:bookmarkStart w:id="13" w:name="_Toc51762975"/>
      <w:bookmarkStart w:id="14" w:name="_Toc83276802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74D513FC" w14:textId="77777777" w:rsidR="00F64DE0" w:rsidRDefault="00F64DE0" w:rsidP="00F64DE0">
      <w:pPr>
        <w:pStyle w:val="3"/>
      </w:pPr>
      <w:r>
        <w:t>4.3.32</w:t>
      </w:r>
      <w:r>
        <w:tab/>
        <w:t>Support for Integrated access and backhaul (IAB)</w:t>
      </w:r>
      <w:bookmarkEnd w:id="1"/>
      <w:bookmarkEnd w:id="2"/>
      <w:bookmarkEnd w:id="3"/>
      <w:bookmarkEnd w:id="4"/>
      <w:bookmarkEnd w:id="5"/>
      <w:bookmarkEnd w:id="6"/>
      <w:bookmarkEnd w:id="7"/>
    </w:p>
    <w:p w14:paraId="2D6CA32F" w14:textId="77777777" w:rsidR="00F64DE0" w:rsidRDefault="00F64DE0" w:rsidP="00F64DE0">
      <w:pPr>
        <w:pStyle w:val="4"/>
      </w:pPr>
      <w:bookmarkStart w:id="15" w:name="_Toc27844133"/>
      <w:bookmarkStart w:id="16" w:name="_Toc36134291"/>
      <w:bookmarkStart w:id="17" w:name="_Toc45175974"/>
      <w:bookmarkStart w:id="18" w:name="_Toc51762004"/>
      <w:bookmarkStart w:id="19" w:name="_Toc51762489"/>
      <w:bookmarkStart w:id="20" w:name="_Toc51762972"/>
      <w:bookmarkStart w:id="21" w:name="_Toc83276799"/>
      <w:r>
        <w:t>4.3.32.1</w:t>
      </w:r>
      <w:r>
        <w:tab/>
        <w:t>IAB architecture and functional entities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BBD06A2" w14:textId="77777777" w:rsidR="00F64DE0" w:rsidRDefault="00F64DE0" w:rsidP="00F64DE0">
      <w:r>
        <w:t xml:space="preserve">Integrated access and backhaul (IAB) enables wireless in-band and out-of-band relaying of NR </w:t>
      </w:r>
      <w:proofErr w:type="spellStart"/>
      <w:r>
        <w:t>Uu</w:t>
      </w:r>
      <w:proofErr w:type="spellEnd"/>
      <w:r>
        <w:t xml:space="preserve"> access traffic via NR </w:t>
      </w:r>
      <w:proofErr w:type="spellStart"/>
      <w:r>
        <w:t>Uu</w:t>
      </w:r>
      <w:proofErr w:type="spellEnd"/>
      <w:r>
        <w:t xml:space="preserve"> backhaul links. </w:t>
      </w:r>
      <w:ins w:id="22" w:author="Aoyagi, Kenichiro | Aoken | RMI" w:date="2021-11-08T13:14:00Z">
        <w:r w:rsidRPr="0056121F">
          <w:t>In this release of the specification</w:t>
        </w:r>
        <w:r>
          <w:rPr>
            <w:rFonts w:hint="eastAsia"/>
            <w:lang w:eastAsia="ja-JP"/>
          </w:rPr>
          <w:t>,</w:t>
        </w:r>
        <w:r w:rsidRPr="0056121F">
          <w:t xml:space="preserve"> NR satellite access</w:t>
        </w:r>
        <w:r>
          <w:t xml:space="preserve"> is not applicable</w:t>
        </w:r>
        <w:r w:rsidRPr="0056121F">
          <w:t>. The serving PLMN</w:t>
        </w:r>
        <w:r>
          <w:t xml:space="preserve"> may</w:t>
        </w:r>
        <w:r w:rsidRPr="0056121F">
          <w:t xml:space="preserve"> </w:t>
        </w:r>
        <w:r>
          <w:t>provide the</w:t>
        </w:r>
        <w:r w:rsidRPr="0056121F">
          <w:t xml:space="preserve"> mobility restriction for NR satellite access as specified in </w:t>
        </w:r>
      </w:ins>
      <w:ins w:id="23" w:author="Aoyagi, Kenichiro | Aoken | RMI" w:date="2021-11-02T10:15:00Z">
        <w:r>
          <w:t>TS 23</w:t>
        </w:r>
      </w:ins>
      <w:ins w:id="24" w:author="Aoyagi, Kenichiro | Aoken | RMI" w:date="2021-11-01T14:16:00Z">
        <w:r w:rsidRPr="005B1E40">
          <w:t>.</w:t>
        </w:r>
      </w:ins>
      <w:ins w:id="25" w:author="Aoyagi, Kenichiro | Aoken | RMI" w:date="2021-11-02T10:15:00Z">
        <w:r>
          <w:t>501</w:t>
        </w:r>
      </w:ins>
      <w:ins w:id="26" w:author="Aoyagi, Kenichiro | Aoken | RMI" w:date="2021-11-02T10:17:00Z">
        <w:r>
          <w:t xml:space="preserve"> </w:t>
        </w:r>
      </w:ins>
      <w:ins w:id="27" w:author="Aoyagi, Kenichiro | Aoken | RMI" w:date="2021-11-02T10:15:00Z">
        <w:r>
          <w:t>[</w:t>
        </w:r>
      </w:ins>
      <w:ins w:id="28" w:author="Aoyagi, Kenichiro | Aoken | RMI" w:date="2021-11-02T10:16:00Z">
        <w:r>
          <w:t>83</w:t>
        </w:r>
      </w:ins>
      <w:ins w:id="29" w:author="Aoyagi, Kenichiro | Aoken | RMI" w:date="2021-11-02T10:15:00Z">
        <w:r>
          <w:t>]</w:t>
        </w:r>
      </w:ins>
      <w:ins w:id="30" w:author="Aoyagi, Kenichiro | Aoken | RMI" w:date="2021-11-01T14:16:00Z">
        <w:r w:rsidRPr="005B1E40">
          <w:t xml:space="preserve"> </w:t>
        </w:r>
      </w:ins>
    </w:p>
    <w:p w14:paraId="5DB45668" w14:textId="77777777" w:rsidR="00F64DE0" w:rsidRDefault="00F64DE0" w:rsidP="00F64DE0">
      <w:r>
        <w:t>At high level, IAB has the following characteristics:</w:t>
      </w:r>
    </w:p>
    <w:p w14:paraId="6A63C0A6" w14:textId="77777777" w:rsidR="00F64DE0" w:rsidRDefault="00F64DE0" w:rsidP="00F64DE0">
      <w:pPr>
        <w:pStyle w:val="B1"/>
      </w:pPr>
      <w:r>
        <w:t>-</w:t>
      </w:r>
      <w:r>
        <w:tab/>
        <w:t>IAB uses the CU/DU architecture defined in TS 38.401 [90], and the IAB operation via F1 (between IAB-donor and IAB-node) is invisible to the EPC.</w:t>
      </w:r>
    </w:p>
    <w:p w14:paraId="0FE29D97" w14:textId="77777777" w:rsidR="00F64DE0" w:rsidRDefault="00F64DE0" w:rsidP="00F64DE0">
      <w:pPr>
        <w:pStyle w:val="B1"/>
      </w:pPr>
      <w:r>
        <w:t>-</w:t>
      </w:r>
      <w:r>
        <w:tab/>
        <w:t>IAB performs relaying at layer-2, and therefore does not require a local S/P-</w:t>
      </w:r>
      <w:proofErr w:type="gramStart"/>
      <w:r>
        <w:t>GW;</w:t>
      </w:r>
      <w:proofErr w:type="gramEnd"/>
    </w:p>
    <w:p w14:paraId="03C451F2" w14:textId="77777777" w:rsidR="00F64DE0" w:rsidRDefault="00F64DE0" w:rsidP="00F64DE0">
      <w:pPr>
        <w:pStyle w:val="B1"/>
      </w:pPr>
      <w:r>
        <w:t>-</w:t>
      </w:r>
      <w:r>
        <w:tab/>
        <w:t xml:space="preserve">IAB supports multi-hop </w:t>
      </w:r>
      <w:proofErr w:type="gramStart"/>
      <w:r>
        <w:t>backhauling;</w:t>
      </w:r>
      <w:proofErr w:type="gramEnd"/>
    </w:p>
    <w:p w14:paraId="1D886B36" w14:textId="77777777" w:rsidR="00F64DE0" w:rsidRDefault="00F64DE0" w:rsidP="00F64DE0">
      <w:pPr>
        <w:pStyle w:val="B1"/>
      </w:pPr>
      <w:r>
        <w:t>-</w:t>
      </w:r>
      <w:r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1585B63C" w14:textId="77777777" w:rsidR="00F64DE0" w:rsidRDefault="00F64DE0" w:rsidP="00F64DE0">
      <w:r>
        <w:t>Figure 4.3.32.1-1 shows the IAB reference architecture with two backhaul hops, when connected to EPC, where both the IAB-node and the UE connect to the EPC with Dual Connectivity as defined in TS 37.340 [85].</w:t>
      </w:r>
    </w:p>
    <w:p w14:paraId="45ACD771" w14:textId="77777777" w:rsidR="00F64DE0" w:rsidRDefault="00F64DE0" w:rsidP="00F64DE0">
      <w:pPr>
        <w:pStyle w:val="TH"/>
      </w:pPr>
      <w:r>
        <w:object w:dxaOrig="2774" w:dyaOrig="4211" w14:anchorId="0CC06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5pt;height:280pt" o:ole="">
            <v:imagedata r:id="rId12" o:title=""/>
          </v:shape>
          <o:OLEObject Type="Embed" ProgID="Visio.Drawing.15" ShapeID="_x0000_i1025" DrawAspect="Content" ObjectID="_1697884912" r:id="rId13"/>
        </w:object>
      </w:r>
    </w:p>
    <w:p w14:paraId="12D1D402" w14:textId="77777777" w:rsidR="00F64DE0" w:rsidRDefault="00F64DE0" w:rsidP="00F64DE0">
      <w:pPr>
        <w:pStyle w:val="TF"/>
      </w:pPr>
      <w:r>
        <w:t>Figure 4.3.32.1-1: IAB architecture for EPS, with IAB-node and UE both connected to EPC</w:t>
      </w:r>
    </w:p>
    <w:p w14:paraId="16BF0EEB" w14:textId="77777777" w:rsidR="00F64DE0" w:rsidRDefault="00F64DE0" w:rsidP="00F64DE0">
      <w:r>
        <w:t xml:space="preserve">Each relay, referred to as IAB-node, consists of a </w:t>
      </w:r>
      <w:proofErr w:type="spellStart"/>
      <w:r>
        <w:t>gNB</w:t>
      </w:r>
      <w:proofErr w:type="spellEnd"/>
      <w:r>
        <w:t xml:space="preserve">-DU function and a UE function (referred to as IAB-UE). The </w:t>
      </w:r>
      <w:proofErr w:type="spellStart"/>
      <w:r>
        <w:t>gNB</w:t>
      </w:r>
      <w:proofErr w:type="spellEnd"/>
      <w:r>
        <w:t xml:space="preserve">-DU in the IAB-node is responsible for providing NR </w:t>
      </w:r>
      <w:proofErr w:type="spellStart"/>
      <w:r>
        <w:t>Uu</w:t>
      </w:r>
      <w:proofErr w:type="spellEnd"/>
      <w:r>
        <w:t xml:space="preserve"> access to UEs and child IAB-nodes. The corresponding </w:t>
      </w:r>
      <w:proofErr w:type="spellStart"/>
      <w:r>
        <w:t>gNB</w:t>
      </w:r>
      <w:proofErr w:type="spellEnd"/>
      <w:r>
        <w:t xml:space="preserve">-CU function resides on the IAB-donor </w:t>
      </w:r>
      <w:proofErr w:type="spellStart"/>
      <w:r>
        <w:t>gNB</w:t>
      </w:r>
      <w:proofErr w:type="spellEnd"/>
      <w:r>
        <w:t xml:space="preserve"> (referred to as IAB-donor-CU), which controls IAB-node </w:t>
      </w:r>
      <w:proofErr w:type="spellStart"/>
      <w:r>
        <w:t>gNB</w:t>
      </w:r>
      <w:proofErr w:type="spellEnd"/>
      <w:r>
        <w:t xml:space="preserve">-DU via the F1 interface. When a UE connects to EPC via an IAB-node, the </w:t>
      </w:r>
      <w:proofErr w:type="spellStart"/>
      <w:r>
        <w:t>gNB</w:t>
      </w:r>
      <w:proofErr w:type="spellEnd"/>
      <w:r>
        <w:t xml:space="preserve">-DU of the IAB-node appears as a normal secondary </w:t>
      </w:r>
      <w:proofErr w:type="spellStart"/>
      <w:r>
        <w:t>gNB</w:t>
      </w:r>
      <w:proofErr w:type="spellEnd"/>
      <w:r>
        <w:t xml:space="preserve"> to the UE. When the IAB-UE of another IAB-node connects to EPC via the IAB-node, the </w:t>
      </w:r>
      <w:proofErr w:type="spellStart"/>
      <w:r>
        <w:t>gNB</w:t>
      </w:r>
      <w:proofErr w:type="spellEnd"/>
      <w:r>
        <w:t xml:space="preserve">-DU of the IAB-node also appears as a secondary </w:t>
      </w:r>
      <w:proofErr w:type="spellStart"/>
      <w:r>
        <w:t>gNB</w:t>
      </w:r>
      <w:proofErr w:type="spellEnd"/>
      <w:r>
        <w:t xml:space="preserve"> to the IAB-UE.</w:t>
      </w:r>
    </w:p>
    <w:p w14:paraId="3AAC1E12" w14:textId="77777777" w:rsidR="00F64DE0" w:rsidRDefault="00F64DE0" w:rsidP="00F64DE0">
      <w:r>
        <w:t>The IAB-UE function reuses UE procedures to connect to:</w:t>
      </w:r>
    </w:p>
    <w:p w14:paraId="780A6410" w14:textId="77777777" w:rsidR="00F64DE0" w:rsidRDefault="00F64DE0" w:rsidP="00F64DE0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on a parent IAB-node or IAB-donor for access and </w:t>
      </w:r>
      <w:proofErr w:type="gramStart"/>
      <w:r>
        <w:t>backhauling;</w:t>
      </w:r>
      <w:proofErr w:type="gramEnd"/>
    </w:p>
    <w:p w14:paraId="41ADBD9D" w14:textId="77777777" w:rsidR="00F64DE0" w:rsidRDefault="00F64DE0" w:rsidP="00F64DE0">
      <w:pPr>
        <w:pStyle w:val="B1"/>
      </w:pPr>
      <w:r>
        <w:lastRenderedPageBreak/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on the IAB-donor via RRC for control of the access and backhaul </w:t>
      </w:r>
      <w:proofErr w:type="gramStart"/>
      <w:r>
        <w:t>link;</w:t>
      </w:r>
      <w:proofErr w:type="gramEnd"/>
    </w:p>
    <w:p w14:paraId="414FF6FE" w14:textId="77777777" w:rsidR="00F64DE0" w:rsidRDefault="00F64DE0" w:rsidP="00F64DE0">
      <w:pPr>
        <w:pStyle w:val="B1"/>
      </w:pPr>
      <w:r>
        <w:t>-</w:t>
      </w:r>
      <w:r>
        <w:tab/>
        <w:t>EPC, e.g. MME,</w:t>
      </w:r>
    </w:p>
    <w:p w14:paraId="33C348A3" w14:textId="77777777" w:rsidR="00F64DE0" w:rsidRDefault="00F64DE0" w:rsidP="00F64DE0">
      <w:pPr>
        <w:pStyle w:val="B1"/>
      </w:pPr>
      <w:r>
        <w:t>-</w:t>
      </w:r>
      <w:r>
        <w:tab/>
        <w:t>OAM system via a PDN connection (based on implementation).</w:t>
      </w:r>
    </w:p>
    <w:p w14:paraId="65C6714D" w14:textId="77777777" w:rsidR="00F64DE0" w:rsidRDefault="00F64DE0" w:rsidP="00F64DE0">
      <w:pPr>
        <w:pStyle w:val="NO"/>
      </w:pPr>
      <w:r>
        <w:t>NOTE:</w:t>
      </w:r>
      <w:r>
        <w:tab/>
        <w:t>The EPC, e.g. MME, may detect that a PDN connection for the IAB-UE is for the OAM system access, e.g. by checking the APN and/or configuration. It is up to the operator configuration to choose whether to use 1 or multiple EPS bearers for OAM traffic and the appropriate QoS parameters, e.g. using QCI=6 for software downloading, and QCI=80 or a pre-configured QCI for alarm or control traffic.</w:t>
      </w:r>
    </w:p>
    <w:p w14:paraId="08F579E2" w14:textId="77777777" w:rsidR="00F64DE0" w:rsidRDefault="00F64DE0" w:rsidP="00F64DE0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4C517D96" w14:textId="77777777" w:rsidR="00F64DE0" w:rsidRDefault="00F64DE0" w:rsidP="00F64DE0">
      <w:pPr>
        <w:pStyle w:val="4"/>
      </w:pPr>
      <w:r>
        <w:t>4.3.32.4</w:t>
      </w:r>
      <w:r>
        <w:tab/>
        <w:t>Mobility support with IAB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D4BBCF4" w14:textId="77777777" w:rsidR="00F64DE0" w:rsidRDefault="00F64DE0" w:rsidP="00F64DE0">
      <w:pPr>
        <w:rPr>
          <w:ins w:id="31" w:author="Aoyagi, Kenichiro | Aoken | RMI" w:date="2021-11-02T10:08:00Z"/>
          <w:lang w:eastAsia="ja-JP"/>
        </w:rPr>
      </w:pPr>
      <w:r>
        <w:rPr>
          <w:lang w:eastAsia="ja-JP"/>
        </w:rPr>
        <w:t>For UEs, all existing NR intra-RAT mobility and dual-connectivity procedures are supported with IAB</w:t>
      </w:r>
      <w:ins w:id="32" w:author="Aoyagi, Kenichiro | Aoken | RMI" w:date="2021-11-08T13:15:00Z">
        <w:r>
          <w:rPr>
            <w:lang w:eastAsia="ja-JP"/>
          </w:rPr>
          <w:t xml:space="preserve"> </w:t>
        </w:r>
        <w:r>
          <w:t xml:space="preserve">except for the cases of </w:t>
        </w:r>
        <w:r w:rsidRPr="0056121F">
          <w:t>NR satellite access</w:t>
        </w:r>
      </w:ins>
      <w:r>
        <w:rPr>
          <w:lang w:eastAsia="ja-JP"/>
        </w:rPr>
        <w:t xml:space="preserve">. </w:t>
      </w:r>
    </w:p>
    <w:p w14:paraId="0D9CD833" w14:textId="77777777" w:rsidR="00F64DE0" w:rsidRDefault="00F64DE0" w:rsidP="00F64DE0">
      <w:pPr>
        <w:rPr>
          <w:lang w:eastAsia="ja-JP"/>
        </w:rPr>
      </w:pPr>
      <w:r>
        <w:rPr>
          <w:lang w:eastAsia="ja-JP"/>
        </w:rPr>
        <w:t>During UE mobility or dual-connectivity procedures, backhaul channels including IAB layer may be updated. This update is carried out by the IAB-donor-CU and signalled to the IAB-nodes via RRC and/or F1-C. The update is transparent to the UE.</w:t>
      </w:r>
    </w:p>
    <w:p w14:paraId="551EE43C" w14:textId="77777777" w:rsidR="00F64DE0" w:rsidRDefault="00F64DE0" w:rsidP="00F64DE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D26A51F" w14:textId="77777777" w:rsidR="00F64DE0" w:rsidRPr="00173BD8" w:rsidRDefault="00F64DE0" w:rsidP="00F64DE0">
      <w:pPr>
        <w:rPr>
          <w:noProof/>
        </w:rPr>
      </w:pPr>
    </w:p>
    <w:p w14:paraId="68C9CD36" w14:textId="77777777" w:rsidR="001E41F3" w:rsidRPr="00F64DE0" w:rsidRDefault="001E41F3">
      <w:pPr>
        <w:rPr>
          <w:noProof/>
        </w:rPr>
      </w:pPr>
    </w:p>
    <w:sectPr w:rsidR="001E41F3" w:rsidRPr="00F64DE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F696C" w14:textId="77777777" w:rsidR="001C0CA5" w:rsidRDefault="001C0CA5">
      <w:r>
        <w:separator/>
      </w:r>
    </w:p>
  </w:endnote>
  <w:endnote w:type="continuationSeparator" w:id="0">
    <w:p w14:paraId="4F325217" w14:textId="77777777" w:rsidR="001C0CA5" w:rsidRDefault="001C0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19269" w14:textId="77777777" w:rsidR="00980D83" w:rsidRDefault="001C0CA5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61302" w14:textId="77777777" w:rsidR="001C0CA5" w:rsidRDefault="001C0CA5">
      <w:r>
        <w:separator/>
      </w:r>
    </w:p>
  </w:footnote>
  <w:footnote w:type="continuationSeparator" w:id="0">
    <w:p w14:paraId="3B8FD87D" w14:textId="77777777" w:rsidR="001C0CA5" w:rsidRDefault="001C0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94923" w14:textId="77777777" w:rsidR="00980D83" w:rsidRDefault="001C0CA5">
    <w:pPr>
      <w:pStyle w:val="a4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997AA5F" w14:textId="77777777" w:rsidR="00980D83" w:rsidRDefault="001C0CA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CA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D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64DE0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F64DE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64D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64DE0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F64DE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F64DE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Aoyagi, Kenichiro | Aoken | RMI</cp:lastModifiedBy>
  <cp:revision>2</cp:revision>
  <cp:lastPrinted>1899-12-31T23:00:00Z</cp:lastPrinted>
  <dcterms:created xsi:type="dcterms:W3CDTF">2021-11-08T04:47:00Z</dcterms:created>
  <dcterms:modified xsi:type="dcterms:W3CDTF">2021-11-08T04:47:00Z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22nd Nov 2021</vt:lpwstr>
  </property>
  <property fmtid="{D5CDD505-2E9C-101B-9397-08002B2CF9AE}" pid="9" name="Tdoc#">
    <vt:lpwstr>S2-2108482</vt:lpwstr>
  </property>
  <property fmtid="{D5CDD505-2E9C-101B-9397-08002B2CF9AE}" pid="10" name="Spec#">
    <vt:lpwstr>23.401</vt:lpwstr>
  </property>
  <property fmtid="{D5CDD505-2E9C-101B-9397-08002B2CF9AE}" pid="11" name="Cr#">
    <vt:lpwstr>3671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Clarification on IAB support for NR satellite access</vt:lpwstr>
  </property>
  <property fmtid="{D5CDD505-2E9C-101B-9397-08002B2CF9AE}" pid="15" name="SourceIfWg">
    <vt:lpwstr>Rakuten Mobile, Inc</vt:lpwstr>
  </property>
  <property fmtid="{D5CDD505-2E9C-101B-9397-08002B2CF9AE}" pid="16" name="SourceIfTsg">
    <vt:lpwstr/>
  </property>
  <property fmtid="{D5CDD505-2E9C-101B-9397-08002B2CF9AE}" pid="17" name="RelatedWis">
    <vt:lpwstr>IABARC, 5GSAT_ARCH</vt:lpwstr>
  </property>
  <property fmtid="{D5CDD505-2E9C-101B-9397-08002B2CF9AE}" pid="18" name="Cat">
    <vt:lpwstr>F</vt:lpwstr>
  </property>
  <property fmtid="{D5CDD505-2E9C-101B-9397-08002B2CF9AE}" pid="19" name="ResDate">
    <vt:lpwstr>2021-11-08</vt:lpwstr>
  </property>
  <property fmtid="{D5CDD505-2E9C-101B-9397-08002B2CF9AE}" pid="20" name="Release">
    <vt:lpwstr>Rel-17</vt:lpwstr>
  </property>
</Properties>
</file>