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69153" w14:textId="0D3AD9F1"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E445AD">
        <w:rPr>
          <w:rFonts w:ascii="Arial" w:hAnsi="Arial" w:cs="Arial"/>
          <w:b/>
        </w:rPr>
        <w:t>1e</w:t>
      </w:r>
      <w:r w:rsidRPr="00255436">
        <w:rPr>
          <w:rFonts w:ascii="Arial" w:hAnsi="Arial" w:cs="Arial"/>
          <w:b/>
        </w:rPr>
        <w:t xml:space="preserve"> </w:t>
      </w:r>
      <w:r w:rsidRPr="00255436">
        <w:rPr>
          <w:rFonts w:ascii="Arial" w:hAnsi="Arial" w:cs="Arial"/>
          <w:b/>
        </w:rPr>
        <w:tab/>
        <w:t>S1-</w:t>
      </w:r>
      <w:r w:rsidR="00C95523">
        <w:rPr>
          <w:rFonts w:ascii="Arial" w:hAnsi="Arial" w:cs="Arial"/>
          <w:b/>
        </w:rPr>
        <w:t>20</w:t>
      </w:r>
      <w:r w:rsidR="00AB6BB9">
        <w:rPr>
          <w:rFonts w:ascii="Arial" w:hAnsi="Arial" w:cs="Arial"/>
          <w:b/>
        </w:rPr>
        <w:t>3215</w:t>
      </w:r>
    </w:p>
    <w:p w14:paraId="431227C5" w14:textId="77777777" w:rsidR="003948C7" w:rsidRPr="00CF68B7" w:rsidRDefault="00E445AD" w:rsidP="00255436">
      <w:pPr>
        <w:pBdr>
          <w:bottom w:val="single" w:sz="4" w:space="1" w:color="auto"/>
        </w:pBdr>
        <w:tabs>
          <w:tab w:val="right" w:pos="9214"/>
        </w:tabs>
        <w:rPr>
          <w:rFonts w:ascii="Arial" w:hAnsi="Arial" w:cs="Arial"/>
          <w:b/>
        </w:rPr>
      </w:pPr>
      <w:r w:rsidRPr="00E445AD">
        <w:rPr>
          <w:rFonts w:ascii="Arial" w:hAnsi="Arial" w:cs="Arial"/>
          <w:b/>
        </w:rPr>
        <w:t>Electronic Meeting, 24 August - 2 September 2020</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20</w:t>
      </w:r>
      <w:r w:rsidR="00255436" w:rsidRPr="00255436">
        <w:rPr>
          <w:rFonts w:ascii="Arial" w:hAnsi="Arial" w:cs="Arial"/>
          <w:i/>
        </w:rPr>
        <w:t>xxxx)</w:t>
      </w:r>
    </w:p>
    <w:p w14:paraId="2A8C8BE8" w14:textId="77777777" w:rsidR="00A45CBF" w:rsidRPr="00CF68B7" w:rsidRDefault="00A45CBF" w:rsidP="00A45CBF">
      <w:pPr>
        <w:rPr>
          <w:rFonts w:ascii="Arial" w:hAnsi="Arial"/>
        </w:rPr>
      </w:pPr>
    </w:p>
    <w:p w14:paraId="6CE006DD"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proofErr w:type="spellStart"/>
      <w:r w:rsidR="00097125">
        <w:rPr>
          <w:rFonts w:ascii="Arial" w:eastAsia="SimSun" w:hAnsi="Arial"/>
          <w:lang w:eastAsia="en-GB"/>
        </w:rPr>
        <w:t>CIoT</w:t>
      </w:r>
      <w:proofErr w:type="spellEnd"/>
      <w:r w:rsidR="00097125">
        <w:rPr>
          <w:rFonts w:ascii="Arial" w:eastAsia="SimSun" w:hAnsi="Arial"/>
          <w:lang w:eastAsia="en-GB"/>
        </w:rPr>
        <w:t xml:space="preserve"> Exception Data and Service Areas</w:t>
      </w:r>
    </w:p>
    <w:p w14:paraId="69744657"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097125">
        <w:rPr>
          <w:rFonts w:ascii="Arial" w:eastAsia="SimSun" w:hAnsi="Arial"/>
          <w:lang w:eastAsia="en-GB"/>
        </w:rPr>
        <w:t>3</w:t>
      </w:r>
    </w:p>
    <w:p w14:paraId="2CBB73C3" w14:textId="4D77DF03"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097125">
        <w:rPr>
          <w:rFonts w:ascii="Arial" w:eastAsia="SimSun" w:hAnsi="Arial"/>
          <w:lang w:eastAsia="en-GB"/>
        </w:rPr>
        <w:t>Samsung</w:t>
      </w:r>
      <w:r w:rsidR="00AB6BB9">
        <w:rPr>
          <w:rFonts w:ascii="Arial" w:eastAsia="SimSun" w:hAnsi="Arial"/>
          <w:lang w:eastAsia="en-GB"/>
        </w:rPr>
        <w:t>, Huawei</w:t>
      </w:r>
      <w:r w:rsidR="00A43617">
        <w:rPr>
          <w:rFonts w:ascii="Arial" w:eastAsia="SimSun" w:hAnsi="Arial"/>
          <w:lang w:eastAsia="en-GB"/>
        </w:rPr>
        <w:t xml:space="preserve">, </w:t>
      </w:r>
      <w:proofErr w:type="spellStart"/>
      <w:r w:rsidR="00A43617">
        <w:rPr>
          <w:rFonts w:ascii="Arial" w:eastAsia="SimSun" w:hAnsi="Arial"/>
          <w:lang w:eastAsia="en-GB"/>
        </w:rPr>
        <w:t>Convida</w:t>
      </w:r>
      <w:proofErr w:type="spellEnd"/>
      <w:r w:rsidR="00A43617">
        <w:rPr>
          <w:rFonts w:ascii="Arial" w:eastAsia="SimSun" w:hAnsi="Arial"/>
          <w:lang w:eastAsia="en-GB"/>
        </w:rPr>
        <w:t xml:space="preserve"> Wireless</w:t>
      </w:r>
    </w:p>
    <w:p w14:paraId="2E54D8DB"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097125">
        <w:rPr>
          <w:rFonts w:ascii="Arial" w:eastAsia="SimSun" w:hAnsi="Arial"/>
          <w:lang w:eastAsia="en-GB"/>
        </w:rPr>
        <w:t xml:space="preserve">Erik Guttman </w:t>
      </w:r>
      <w:r w:rsidR="003220E1" w:rsidRPr="00CF68B7">
        <w:rPr>
          <w:rFonts w:ascii="Arial" w:eastAsia="SimSun" w:hAnsi="Arial"/>
          <w:lang w:eastAsia="en-GB"/>
        </w:rPr>
        <w:t>&lt;</w:t>
      </w:r>
      <w:r w:rsidR="00097125">
        <w:rPr>
          <w:rFonts w:ascii="Arial" w:eastAsia="SimSun" w:hAnsi="Arial"/>
          <w:lang w:eastAsia="en-GB"/>
        </w:rPr>
        <w:t>erik.guttman@samsung.com</w:t>
      </w:r>
      <w:r w:rsidR="003220E1" w:rsidRPr="00CF68B7">
        <w:rPr>
          <w:rFonts w:ascii="Arial" w:eastAsia="SimSun" w:hAnsi="Arial"/>
          <w:lang w:eastAsia="en-GB"/>
        </w:rPr>
        <w:t xml:space="preserve">&gt; </w:t>
      </w:r>
    </w:p>
    <w:p w14:paraId="08101B4F" w14:textId="77777777" w:rsidR="00A45CBF" w:rsidRPr="00CF68B7" w:rsidRDefault="00A45CBF" w:rsidP="00A45CBF">
      <w:pPr>
        <w:pBdr>
          <w:bottom w:val="single" w:sz="6" w:space="1" w:color="auto"/>
        </w:pBdr>
      </w:pPr>
    </w:p>
    <w:p w14:paraId="6CF45FB1" w14:textId="77777777"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7607F9C4" w14:textId="77777777" w:rsidR="00097125" w:rsidRPr="00CF68B7" w:rsidRDefault="00097125"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SA2 asks SA1 whether </w:t>
      </w:r>
      <w:r w:rsidR="00780C04" w:rsidRPr="00780C04">
        <w:rPr>
          <w:rFonts w:ascii="Arial" w:eastAsia="Calibri" w:hAnsi="Arial" w:cs="Arial"/>
          <w:i/>
          <w:sz w:val="22"/>
          <w:szCs w:val="22"/>
          <w:lang w:eastAsia="en-US"/>
        </w:rPr>
        <w:t xml:space="preserve">SA1 see any need for the UE to be able to send MO exception data in non-allowed </w:t>
      </w:r>
      <w:proofErr w:type="gramStart"/>
      <w:r w:rsidR="00780C04" w:rsidRPr="00780C04">
        <w:rPr>
          <w:rFonts w:ascii="Arial" w:eastAsia="Calibri" w:hAnsi="Arial" w:cs="Arial"/>
          <w:i/>
          <w:sz w:val="22"/>
          <w:szCs w:val="22"/>
          <w:lang w:eastAsia="en-US"/>
        </w:rPr>
        <w:t>area?</w:t>
      </w:r>
      <w:proofErr w:type="gramEnd"/>
      <w:r w:rsidR="00780C04">
        <w:rPr>
          <w:rFonts w:ascii="Arial" w:eastAsia="Calibri" w:hAnsi="Arial" w:cs="Arial"/>
          <w:i/>
          <w:sz w:val="22"/>
          <w:szCs w:val="22"/>
          <w:lang w:eastAsia="en-US"/>
        </w:rPr>
        <w:t xml:space="preserve"> This discussion paper considers this question.</w:t>
      </w:r>
    </w:p>
    <w:p w14:paraId="2B05C6C5" w14:textId="77777777" w:rsidR="004D4F60" w:rsidRPr="0012387C" w:rsidRDefault="0012387C" w:rsidP="00A45CBF">
      <w:pPr>
        <w:rPr>
          <w:b/>
        </w:rPr>
      </w:pPr>
      <w:r>
        <w:rPr>
          <w:b/>
        </w:rPr>
        <w:t>Background</w:t>
      </w:r>
    </w:p>
    <w:p w14:paraId="17A74311" w14:textId="77777777" w:rsidR="004D4F60" w:rsidRDefault="004D4F60" w:rsidP="00A45CBF"/>
    <w:p w14:paraId="06C4B24E" w14:textId="77777777" w:rsidR="00F8058F" w:rsidRDefault="00F8058F" w:rsidP="00A45CBF">
      <w:r>
        <w:t xml:space="preserve">The purpose </w:t>
      </w:r>
      <w:proofErr w:type="gramStart"/>
      <w:r>
        <w:t xml:space="preserve">of  </w:t>
      </w:r>
      <w:r w:rsidRPr="0012387C">
        <w:rPr>
          <w:b/>
        </w:rPr>
        <w:t>MO</w:t>
      </w:r>
      <w:proofErr w:type="gramEnd"/>
      <w:r w:rsidRPr="0012387C">
        <w:rPr>
          <w:b/>
        </w:rPr>
        <w:t xml:space="preserve"> Exception Data</w:t>
      </w:r>
      <w:r>
        <w:t xml:space="preserve"> is captured in the SA2 Rel-16 </w:t>
      </w:r>
      <w:proofErr w:type="spellStart"/>
      <w:r>
        <w:t>CIoT</w:t>
      </w:r>
      <w:proofErr w:type="spellEnd"/>
      <w:r>
        <w:t xml:space="preserve"> study in TR 23.720, table 4.3-1: Traffic Models for Cellular </w:t>
      </w:r>
      <w:proofErr w:type="spellStart"/>
      <w:r>
        <w:t>IoT</w:t>
      </w:r>
      <w:proofErr w:type="spellEnd"/>
      <w:r>
        <w:t xml:space="preserve"> (only the relevant row is reproduced here):</w:t>
      </w:r>
    </w:p>
    <w:p w14:paraId="42F9069E" w14:textId="77777777" w:rsidR="00F8058F" w:rsidRDefault="00F8058F" w:rsidP="00A45CBF"/>
    <w:p w14:paraId="667FC2A6" w14:textId="77777777" w:rsidR="00F8058F" w:rsidRDefault="00F8058F" w:rsidP="00F8058F">
      <w:pPr>
        <w:pStyle w:val="NormalWeb"/>
        <w:spacing w:before="60" w:after="180"/>
        <w:jc w:val="center"/>
        <w:rPr>
          <w:b/>
          <w:bCs/>
          <w:lang w:val="en-GB"/>
        </w:rPr>
      </w:pPr>
      <w:r>
        <w:rPr>
          <w:b/>
          <w:bCs/>
          <w:lang w:val="en-GB"/>
        </w:rPr>
        <w:t>23.720</w:t>
      </w:r>
      <w:proofErr w:type="gramStart"/>
      <w:r>
        <w:rPr>
          <w:b/>
          <w:bCs/>
          <w:lang w:val="en-GB"/>
        </w:rPr>
        <w:t>::</w:t>
      </w:r>
      <w:proofErr w:type="gramEnd"/>
      <w:r>
        <w:rPr>
          <w:b/>
          <w:bCs/>
          <w:lang w:val="en-GB"/>
        </w:rPr>
        <w:t xml:space="preserve"> Table 4.3-1: Traffic Models for Cellular </w:t>
      </w:r>
      <w:proofErr w:type="spellStart"/>
      <w:r>
        <w:rPr>
          <w:b/>
          <w:bCs/>
          <w:lang w:val="en-GB"/>
        </w:rPr>
        <w:t>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1922"/>
        <w:gridCol w:w="1620"/>
        <w:gridCol w:w="1620"/>
        <w:gridCol w:w="1530"/>
      </w:tblGrid>
      <w:tr w:rsidR="00F8058F" w14:paraId="45C0A6DA" w14:textId="77777777" w:rsidTr="00F8058F">
        <w:trPr>
          <w:jc w:val="center"/>
        </w:trPr>
        <w:tc>
          <w:tcPr>
            <w:tcW w:w="2038" w:type="dxa"/>
            <w:tcBorders>
              <w:top w:val="single" w:sz="4" w:space="0" w:color="auto"/>
              <w:left w:val="single" w:sz="4" w:space="0" w:color="auto"/>
              <w:bottom w:val="single" w:sz="4" w:space="0" w:color="auto"/>
              <w:right w:val="single" w:sz="4" w:space="0" w:color="auto"/>
            </w:tcBorders>
            <w:hideMark/>
          </w:tcPr>
          <w:p w14:paraId="4E5B3FAF" w14:textId="77777777" w:rsidR="00F8058F" w:rsidRDefault="00F8058F">
            <w:pPr>
              <w:pStyle w:val="NormalWeb"/>
              <w:spacing w:before="0" w:after="0"/>
              <w:jc w:val="center"/>
              <w:rPr>
                <w:b/>
                <w:bCs/>
                <w:sz w:val="18"/>
                <w:szCs w:val="18"/>
              </w:rPr>
            </w:pPr>
            <w:r>
              <w:rPr>
                <w:b/>
                <w:bCs/>
                <w:sz w:val="18"/>
                <w:szCs w:val="18"/>
                <w:lang w:val="en-GB"/>
              </w:rPr>
              <w:t>Category</w:t>
            </w:r>
          </w:p>
        </w:tc>
        <w:tc>
          <w:tcPr>
            <w:tcW w:w="1922" w:type="dxa"/>
            <w:tcBorders>
              <w:top w:val="single" w:sz="4" w:space="0" w:color="auto"/>
              <w:left w:val="single" w:sz="4" w:space="0" w:color="auto"/>
              <w:bottom w:val="single" w:sz="4" w:space="0" w:color="auto"/>
              <w:right w:val="single" w:sz="4" w:space="0" w:color="auto"/>
            </w:tcBorders>
            <w:hideMark/>
          </w:tcPr>
          <w:p w14:paraId="1DA6ED33" w14:textId="77777777" w:rsidR="00F8058F" w:rsidRDefault="00F8058F">
            <w:pPr>
              <w:pStyle w:val="NormalWeb"/>
              <w:spacing w:before="0" w:after="0"/>
              <w:jc w:val="center"/>
              <w:rPr>
                <w:b/>
                <w:bCs/>
                <w:sz w:val="18"/>
                <w:szCs w:val="18"/>
              </w:rPr>
            </w:pPr>
            <w:r>
              <w:rPr>
                <w:b/>
                <w:bCs/>
                <w:sz w:val="18"/>
                <w:szCs w:val="18"/>
                <w:lang w:val="en-GB"/>
              </w:rPr>
              <w:t>Application example</w:t>
            </w:r>
          </w:p>
        </w:tc>
        <w:tc>
          <w:tcPr>
            <w:tcW w:w="1620" w:type="dxa"/>
            <w:tcBorders>
              <w:top w:val="single" w:sz="4" w:space="0" w:color="auto"/>
              <w:left w:val="single" w:sz="4" w:space="0" w:color="auto"/>
              <w:bottom w:val="single" w:sz="4" w:space="0" w:color="auto"/>
              <w:right w:val="single" w:sz="4" w:space="0" w:color="auto"/>
            </w:tcBorders>
            <w:hideMark/>
          </w:tcPr>
          <w:p w14:paraId="27E68217" w14:textId="77777777" w:rsidR="00F8058F" w:rsidRDefault="00F8058F">
            <w:pPr>
              <w:pStyle w:val="NormalWeb"/>
              <w:spacing w:before="0" w:after="0"/>
              <w:jc w:val="center"/>
              <w:rPr>
                <w:b/>
                <w:bCs/>
                <w:sz w:val="18"/>
                <w:szCs w:val="18"/>
              </w:rPr>
            </w:pPr>
            <w:r>
              <w:rPr>
                <w:b/>
                <w:bCs/>
                <w:sz w:val="18"/>
                <w:szCs w:val="18"/>
                <w:lang w:val="en-GB"/>
              </w:rPr>
              <w:t>UL Data Size</w:t>
            </w:r>
          </w:p>
        </w:tc>
        <w:tc>
          <w:tcPr>
            <w:tcW w:w="1620" w:type="dxa"/>
            <w:tcBorders>
              <w:top w:val="single" w:sz="4" w:space="0" w:color="auto"/>
              <w:left w:val="single" w:sz="4" w:space="0" w:color="auto"/>
              <w:bottom w:val="single" w:sz="4" w:space="0" w:color="auto"/>
              <w:right w:val="single" w:sz="4" w:space="0" w:color="auto"/>
            </w:tcBorders>
            <w:hideMark/>
          </w:tcPr>
          <w:p w14:paraId="5119678C" w14:textId="77777777" w:rsidR="00F8058F" w:rsidRDefault="00F8058F">
            <w:pPr>
              <w:pStyle w:val="NormalWeb"/>
              <w:spacing w:before="0" w:after="0"/>
              <w:jc w:val="center"/>
              <w:rPr>
                <w:b/>
                <w:bCs/>
                <w:sz w:val="18"/>
                <w:szCs w:val="18"/>
              </w:rPr>
            </w:pPr>
            <w:r>
              <w:rPr>
                <w:b/>
                <w:bCs/>
                <w:sz w:val="18"/>
                <w:szCs w:val="18"/>
                <w:lang w:val="en-GB"/>
              </w:rPr>
              <w:t>DL Data Size</w:t>
            </w:r>
          </w:p>
        </w:tc>
        <w:tc>
          <w:tcPr>
            <w:tcW w:w="1530" w:type="dxa"/>
            <w:tcBorders>
              <w:top w:val="single" w:sz="4" w:space="0" w:color="auto"/>
              <w:left w:val="single" w:sz="4" w:space="0" w:color="auto"/>
              <w:bottom w:val="single" w:sz="4" w:space="0" w:color="auto"/>
              <w:right w:val="single" w:sz="4" w:space="0" w:color="auto"/>
            </w:tcBorders>
            <w:hideMark/>
          </w:tcPr>
          <w:p w14:paraId="56A652BB" w14:textId="77777777" w:rsidR="00F8058F" w:rsidRDefault="00F8058F">
            <w:pPr>
              <w:pStyle w:val="NormalWeb"/>
              <w:spacing w:before="0" w:after="0"/>
              <w:jc w:val="center"/>
              <w:rPr>
                <w:b/>
                <w:bCs/>
                <w:sz w:val="18"/>
                <w:szCs w:val="18"/>
              </w:rPr>
            </w:pPr>
            <w:r>
              <w:rPr>
                <w:b/>
                <w:bCs/>
                <w:sz w:val="18"/>
                <w:szCs w:val="18"/>
                <w:lang w:val="en-GB"/>
              </w:rPr>
              <w:t>Frequency</w:t>
            </w:r>
          </w:p>
        </w:tc>
      </w:tr>
      <w:tr w:rsidR="00F8058F" w14:paraId="252397D6" w14:textId="77777777" w:rsidTr="00F8058F">
        <w:trPr>
          <w:jc w:val="center"/>
        </w:trPr>
        <w:tc>
          <w:tcPr>
            <w:tcW w:w="2038" w:type="dxa"/>
            <w:tcBorders>
              <w:top w:val="single" w:sz="4" w:space="0" w:color="auto"/>
              <w:left w:val="single" w:sz="4" w:space="0" w:color="auto"/>
              <w:bottom w:val="single" w:sz="4" w:space="0" w:color="auto"/>
              <w:right w:val="single" w:sz="4" w:space="0" w:color="auto"/>
            </w:tcBorders>
            <w:hideMark/>
          </w:tcPr>
          <w:p w14:paraId="0ACDC7A6" w14:textId="77777777" w:rsidR="00F8058F" w:rsidRPr="00E331B8" w:rsidRDefault="00F8058F">
            <w:pPr>
              <w:pStyle w:val="NormalWeb"/>
              <w:spacing w:before="0" w:after="0"/>
              <w:rPr>
                <w:sz w:val="18"/>
                <w:szCs w:val="18"/>
              </w:rPr>
            </w:pPr>
            <w:r w:rsidRPr="00E331B8">
              <w:rPr>
                <w:sz w:val="18"/>
                <w:szCs w:val="18"/>
                <w:lang w:val="en-GB"/>
              </w:rPr>
              <w:t>Mobile Autonomous Reporting (MAR) exception reports</w:t>
            </w:r>
          </w:p>
        </w:tc>
        <w:tc>
          <w:tcPr>
            <w:tcW w:w="1922" w:type="dxa"/>
            <w:tcBorders>
              <w:top w:val="single" w:sz="4" w:space="0" w:color="auto"/>
              <w:left w:val="single" w:sz="4" w:space="0" w:color="auto"/>
              <w:bottom w:val="single" w:sz="4" w:space="0" w:color="auto"/>
              <w:right w:val="single" w:sz="4" w:space="0" w:color="auto"/>
            </w:tcBorders>
            <w:hideMark/>
          </w:tcPr>
          <w:p w14:paraId="1370E59A" w14:textId="77777777" w:rsidR="00F8058F" w:rsidRPr="00E331B8" w:rsidRDefault="00F8058F">
            <w:pPr>
              <w:pStyle w:val="NormalWeb"/>
              <w:spacing w:before="0" w:after="0"/>
              <w:rPr>
                <w:sz w:val="18"/>
                <w:szCs w:val="18"/>
              </w:rPr>
            </w:pPr>
            <w:r w:rsidRPr="00E331B8">
              <w:rPr>
                <w:sz w:val="18"/>
                <w:szCs w:val="18"/>
                <w:lang w:val="en-GB"/>
              </w:rPr>
              <w:t>smoke alarm detectors, power failure notifications from smart meters, tamper notifications etc.</w:t>
            </w:r>
          </w:p>
        </w:tc>
        <w:tc>
          <w:tcPr>
            <w:tcW w:w="1620" w:type="dxa"/>
            <w:tcBorders>
              <w:top w:val="single" w:sz="4" w:space="0" w:color="auto"/>
              <w:left w:val="single" w:sz="4" w:space="0" w:color="auto"/>
              <w:bottom w:val="single" w:sz="4" w:space="0" w:color="auto"/>
              <w:right w:val="single" w:sz="4" w:space="0" w:color="auto"/>
            </w:tcBorders>
            <w:hideMark/>
          </w:tcPr>
          <w:p w14:paraId="6D25048F" w14:textId="77777777" w:rsidR="00F8058F" w:rsidRPr="00E331B8" w:rsidRDefault="00F8058F">
            <w:pPr>
              <w:pStyle w:val="NormalWeb"/>
              <w:spacing w:before="0" w:after="0"/>
              <w:rPr>
                <w:sz w:val="18"/>
                <w:szCs w:val="18"/>
              </w:rPr>
            </w:pPr>
            <w:r w:rsidRPr="00E331B8">
              <w:rPr>
                <w:sz w:val="18"/>
                <w:szCs w:val="18"/>
                <w:lang w:val="en-GB"/>
              </w:rPr>
              <w:t>20 bytes</w:t>
            </w:r>
          </w:p>
        </w:tc>
        <w:tc>
          <w:tcPr>
            <w:tcW w:w="1620" w:type="dxa"/>
            <w:tcBorders>
              <w:top w:val="single" w:sz="4" w:space="0" w:color="auto"/>
              <w:left w:val="single" w:sz="4" w:space="0" w:color="auto"/>
              <w:bottom w:val="single" w:sz="4" w:space="0" w:color="auto"/>
              <w:right w:val="single" w:sz="4" w:space="0" w:color="auto"/>
            </w:tcBorders>
            <w:hideMark/>
          </w:tcPr>
          <w:p w14:paraId="402CC3F5" w14:textId="77777777" w:rsidR="00F8058F" w:rsidRPr="00E331B8" w:rsidRDefault="00F8058F">
            <w:pPr>
              <w:pStyle w:val="NormalWeb"/>
              <w:spacing w:before="0" w:after="0"/>
              <w:rPr>
                <w:sz w:val="18"/>
                <w:szCs w:val="18"/>
              </w:rPr>
            </w:pPr>
            <w:r w:rsidRPr="00E331B8">
              <w:rPr>
                <w:sz w:val="18"/>
                <w:szCs w:val="18"/>
                <w:lang w:val="en-GB"/>
              </w:rPr>
              <w:t>0</w:t>
            </w:r>
          </w:p>
          <w:p w14:paraId="106657F6" w14:textId="77777777" w:rsidR="00F8058F" w:rsidRPr="00E331B8" w:rsidRDefault="00F8058F">
            <w:pPr>
              <w:pStyle w:val="NormalWeb"/>
              <w:spacing w:before="0" w:after="0"/>
              <w:rPr>
                <w:sz w:val="18"/>
                <w:szCs w:val="18"/>
              </w:rPr>
            </w:pPr>
            <w:r w:rsidRPr="00E331B8">
              <w:rPr>
                <w:sz w:val="18"/>
                <w:szCs w:val="18"/>
                <w:lang w:val="en-GB"/>
              </w:rPr>
              <w:t>ACK payload size is assumed to be 0 bytes</w:t>
            </w:r>
          </w:p>
        </w:tc>
        <w:tc>
          <w:tcPr>
            <w:tcW w:w="1530" w:type="dxa"/>
            <w:tcBorders>
              <w:top w:val="single" w:sz="4" w:space="0" w:color="auto"/>
              <w:left w:val="single" w:sz="4" w:space="0" w:color="auto"/>
              <w:bottom w:val="single" w:sz="4" w:space="0" w:color="auto"/>
              <w:right w:val="single" w:sz="4" w:space="0" w:color="auto"/>
            </w:tcBorders>
            <w:hideMark/>
          </w:tcPr>
          <w:p w14:paraId="4149368F" w14:textId="77777777" w:rsidR="00F8058F" w:rsidRPr="00E331B8" w:rsidRDefault="00F8058F">
            <w:pPr>
              <w:pStyle w:val="NormalWeb"/>
              <w:spacing w:before="0" w:after="0"/>
              <w:rPr>
                <w:sz w:val="18"/>
                <w:szCs w:val="18"/>
              </w:rPr>
            </w:pPr>
            <w:r w:rsidRPr="00E331B8">
              <w:rPr>
                <w:sz w:val="18"/>
                <w:szCs w:val="18"/>
                <w:lang w:val="en-GB"/>
              </w:rPr>
              <w:t>Every few months;</w:t>
            </w:r>
          </w:p>
          <w:p w14:paraId="30BEDCA6" w14:textId="77777777" w:rsidR="00F8058F" w:rsidRPr="00E331B8" w:rsidRDefault="00F8058F">
            <w:pPr>
              <w:pStyle w:val="NormalWeb"/>
              <w:spacing w:before="0" w:after="0"/>
              <w:rPr>
                <w:sz w:val="18"/>
                <w:szCs w:val="18"/>
              </w:rPr>
            </w:pPr>
            <w:r w:rsidRPr="00E331B8">
              <w:rPr>
                <w:sz w:val="18"/>
                <w:szCs w:val="18"/>
                <w:lang w:val="en-GB"/>
              </w:rPr>
              <w:t>Every year</w:t>
            </w:r>
          </w:p>
        </w:tc>
      </w:tr>
    </w:tbl>
    <w:p w14:paraId="6184A3D0" w14:textId="77777777" w:rsidR="00F8058F" w:rsidRPr="00CF68B7" w:rsidRDefault="00F8058F" w:rsidP="00A45CBF"/>
    <w:p w14:paraId="388D4FCF" w14:textId="77777777" w:rsidR="00FD37F1" w:rsidRDefault="00FD37F1" w:rsidP="00A45CBF">
      <w:r>
        <w:t>These are critical messages that are given special priority handling by the system in a variety of ways</w:t>
      </w:r>
      <w:r w:rsidR="004D4F60">
        <w:t>. (These are listed later in this paper.) It is clear throughout stage 2 and stage 3 specifications that</w:t>
      </w:r>
      <w:r w:rsidR="004D4F60" w:rsidRPr="004D4F60">
        <w:t xml:space="preserve"> ‘exception data’ </w:t>
      </w:r>
      <w:r w:rsidR="004D4F60">
        <w:t>is only sent by</w:t>
      </w:r>
      <w:r w:rsidR="004D4F60" w:rsidRPr="004D4F60">
        <w:t xml:space="preserve"> the UE when critical.</w:t>
      </w:r>
      <w:r w:rsidR="004D4F60">
        <w:t xml:space="preserve"> There is however no stage 1 description of this feature.</w:t>
      </w:r>
    </w:p>
    <w:p w14:paraId="203B8B99" w14:textId="77777777" w:rsidR="004D4F60" w:rsidRDefault="004D4F60" w:rsidP="00A45CBF"/>
    <w:p w14:paraId="2767266E" w14:textId="7EB871CF" w:rsidR="001755E1" w:rsidRDefault="00795061" w:rsidP="00A45CBF">
      <w:r w:rsidRPr="0012387C">
        <w:rPr>
          <w:b/>
        </w:rPr>
        <w:t>Service Area</w:t>
      </w:r>
      <w:r w:rsidR="001755E1" w:rsidRPr="0012387C">
        <w:rPr>
          <w:b/>
        </w:rPr>
        <w:t xml:space="preserve"> restrictions</w:t>
      </w:r>
      <w:r>
        <w:t>,</w:t>
      </w:r>
      <w:r w:rsidR="00A60595">
        <w:t xml:space="preserve"> a capability defined in Rel-15</w:t>
      </w:r>
      <w:r w:rsidR="0012387C">
        <w:t xml:space="preserve"> (23.501 5.3.4.1)</w:t>
      </w:r>
      <w:r w:rsidR="00A60595">
        <w:t>, restricts the tracking areas that a UE is allowed to have access to regular services</w:t>
      </w:r>
      <w:proofErr w:type="gramStart"/>
      <w:r w:rsidR="00A60595">
        <w:t>.</w:t>
      </w:r>
      <w:r w:rsidR="00FD37F1">
        <w:t>.</w:t>
      </w:r>
      <w:proofErr w:type="gramEnd"/>
      <w:r w:rsidR="00FD37F1">
        <w:t xml:space="preserve"> A UE in </w:t>
      </w:r>
      <w:r w:rsidR="00A60595">
        <w:t>a non-allowed Service Area</w:t>
      </w:r>
      <w:r w:rsidR="00FD37F1">
        <w:t xml:space="preserve"> </w:t>
      </w:r>
      <w:r w:rsidR="00A60595">
        <w:t>may not initiate communication. This does not however stop a UE from establishing an emergency session or using priority services.</w:t>
      </w:r>
      <w:r w:rsidR="00FD37F1">
        <w:t xml:space="preserve"> </w:t>
      </w:r>
    </w:p>
    <w:p w14:paraId="3B3A0621" w14:textId="77777777" w:rsidR="00A60595" w:rsidRDefault="00A60595" w:rsidP="00A45CBF"/>
    <w:p w14:paraId="3C09F45C" w14:textId="77777777" w:rsidR="004D4F60" w:rsidRPr="004D4F60" w:rsidRDefault="004D4F60" w:rsidP="00A45CBF">
      <w:pPr>
        <w:rPr>
          <w:b/>
        </w:rPr>
      </w:pPr>
      <w:r w:rsidRPr="004D4F60">
        <w:rPr>
          <w:b/>
        </w:rPr>
        <w:t>Discussion</w:t>
      </w:r>
    </w:p>
    <w:p w14:paraId="64F03520" w14:textId="77777777" w:rsidR="004D4F60" w:rsidRDefault="004D4F60" w:rsidP="00A45CBF"/>
    <w:p w14:paraId="6E33064E" w14:textId="04F31F12" w:rsidR="0012387C" w:rsidRDefault="001755E1" w:rsidP="0012387C">
      <w:r>
        <w:t xml:space="preserve">When both features </w:t>
      </w:r>
      <w:r w:rsidR="00A60595">
        <w:t xml:space="preserve">– Service Area restriction and Allowed MO Exception Data </w:t>
      </w:r>
      <w:r>
        <w:t>are used at once, what occurs?</w:t>
      </w:r>
      <w:r w:rsidR="0012387C">
        <w:t xml:space="preserve"> When such a UE </w:t>
      </w:r>
      <w:r w:rsidR="006A680A">
        <w:t>is in an area where service is restricted</w:t>
      </w:r>
      <w:r w:rsidR="0012387C">
        <w:t xml:space="preserve"> and needs to issue an exception report (using MO Exception Data), is this allowed or disallowed?</w:t>
      </w:r>
    </w:p>
    <w:p w14:paraId="3685DDF1" w14:textId="77777777" w:rsidR="001755E1" w:rsidRDefault="001755E1" w:rsidP="00A45CBF"/>
    <w:p w14:paraId="48A026EA" w14:textId="77777777" w:rsidR="001755E1" w:rsidRDefault="001755E1" w:rsidP="00A45CBF"/>
    <w:p w14:paraId="4301B9F9" w14:textId="77777777" w:rsidR="001755E1" w:rsidRDefault="001755E1" w:rsidP="001755E1">
      <w:pPr>
        <w:jc w:val="center"/>
      </w:pPr>
      <w:r>
        <w:rPr>
          <w:noProof/>
          <w:lang w:eastAsia="en-US"/>
        </w:rPr>
        <w:drawing>
          <wp:inline distT="0" distB="0" distL="0" distR="0" wp14:anchorId="7AE51CEC" wp14:editId="42937AE0">
            <wp:extent cx="2690447" cy="7661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 exception arg fig 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47811" cy="782488"/>
                    </a:xfrm>
                    <a:prstGeom prst="rect">
                      <a:avLst/>
                    </a:prstGeom>
                  </pic:spPr>
                </pic:pic>
              </a:graphicData>
            </a:graphic>
          </wp:inline>
        </w:drawing>
      </w:r>
    </w:p>
    <w:p w14:paraId="34484C91" w14:textId="77777777" w:rsidR="001755E1" w:rsidRDefault="001755E1" w:rsidP="00A45CBF"/>
    <w:p w14:paraId="54AE189D" w14:textId="77777777" w:rsidR="00795061" w:rsidRDefault="00795061" w:rsidP="00A45CBF"/>
    <w:p w14:paraId="35F312E1" w14:textId="77777777" w:rsidR="00795061" w:rsidRDefault="00795061" w:rsidP="00A45CBF">
      <w:r>
        <w:t>A MO Exception report is considered a high priority event. I briefly review the handling of the MO Exception Reports in 3GPP standards.</w:t>
      </w:r>
    </w:p>
    <w:p w14:paraId="49282565" w14:textId="77777777" w:rsidR="00795061" w:rsidRDefault="00795061" w:rsidP="00A45CBF"/>
    <w:p w14:paraId="242F5D7F" w14:textId="77777777" w:rsidR="00FD37F1" w:rsidRDefault="00FD37F1" w:rsidP="00FD37F1">
      <w:r>
        <w:t>The MO exception data uplink NB-</w:t>
      </w:r>
      <w:proofErr w:type="spellStart"/>
      <w:r>
        <w:t>IoT</w:t>
      </w:r>
      <w:proofErr w:type="spellEnd"/>
      <w:r>
        <w:t xml:space="preserve"> capability has not been discussed in SA1 except when SA1 agreed to the access category specifically for these transmissions, triggered by an LS (R2-1911865), added in 22.261 CR0418 (SP-191010) in SA#86. The change is excerpted below.</w:t>
      </w:r>
    </w:p>
    <w:p w14:paraId="4822A7C1" w14:textId="77777777" w:rsidR="00FD37F1" w:rsidRDefault="00FD37F1" w:rsidP="00FD37F1"/>
    <w:p w14:paraId="748A700D" w14:textId="77777777" w:rsidR="00FD37F1" w:rsidRDefault="00FD37F1" w:rsidP="00FD37F1">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CellMar>
          <w:left w:w="0" w:type="dxa"/>
          <w:right w:w="0" w:type="dxa"/>
        </w:tblCellMar>
        <w:tblLook w:val="04A0" w:firstRow="1" w:lastRow="0" w:firstColumn="1" w:lastColumn="0" w:noHBand="0" w:noVBand="1"/>
      </w:tblPr>
      <w:tblGrid>
        <w:gridCol w:w="1701"/>
        <w:gridCol w:w="4253"/>
        <w:gridCol w:w="3544"/>
      </w:tblGrid>
      <w:tr w:rsidR="00FD37F1" w14:paraId="7E524D1F" w14:textId="77777777" w:rsidTr="00825616">
        <w:tc>
          <w:tcPr>
            <w:tcW w:w="1701"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tcPr>
          <w:p w14:paraId="7DF993DC" w14:textId="77777777" w:rsidR="00FD37F1" w:rsidRPr="00E87C14" w:rsidRDefault="00FD37F1" w:rsidP="00825616">
            <w:pPr>
              <w:keepNext/>
              <w:keepLines/>
              <w:jc w:val="center"/>
              <w:rPr>
                <w:rFonts w:ascii="Arial" w:hAnsi="Arial"/>
                <w:b/>
                <w:sz w:val="18"/>
              </w:rPr>
            </w:pPr>
            <w:r>
              <w:rPr>
                <w:rFonts w:ascii="Arial" w:hAnsi="Arial" w:hint="eastAsia"/>
                <w:b/>
                <w:sz w:val="18"/>
              </w:rPr>
              <w:t>Access C</w:t>
            </w:r>
            <w:r w:rsidRPr="00E87C14">
              <w:rPr>
                <w:rFonts w:ascii="Arial" w:hAnsi="Arial" w:hint="eastAsia"/>
                <w:b/>
                <w:sz w:val="18"/>
              </w:rPr>
              <w:t>ategory number</w:t>
            </w:r>
          </w:p>
        </w:tc>
        <w:tc>
          <w:tcPr>
            <w:tcW w:w="4253" w:type="dxa"/>
            <w:tcBorders>
              <w:top w:val="single" w:sz="12" w:space="0" w:color="auto"/>
              <w:left w:val="nil"/>
              <w:bottom w:val="single" w:sz="12" w:space="0" w:color="auto"/>
              <w:right w:val="single" w:sz="8" w:space="0" w:color="auto"/>
            </w:tcBorders>
            <w:tcMar>
              <w:top w:w="0" w:type="dxa"/>
              <w:left w:w="108" w:type="dxa"/>
              <w:bottom w:w="0" w:type="dxa"/>
              <w:right w:w="108" w:type="dxa"/>
            </w:tcMar>
          </w:tcPr>
          <w:p w14:paraId="6AAA69E9" w14:textId="77777777" w:rsidR="00FD37F1" w:rsidRPr="00E87C14" w:rsidRDefault="00FD37F1" w:rsidP="00825616">
            <w:pPr>
              <w:keepNext/>
              <w:keepLines/>
              <w:jc w:val="center"/>
              <w:rPr>
                <w:rFonts w:ascii="Arial" w:hAnsi="Arial"/>
                <w:b/>
                <w:sz w:val="18"/>
              </w:rPr>
            </w:pPr>
            <w:r w:rsidRPr="00E87C14">
              <w:rPr>
                <w:rFonts w:ascii="Arial" w:hAnsi="Arial"/>
                <w:b/>
                <w:sz w:val="18"/>
              </w:rPr>
              <w:t>C</w:t>
            </w:r>
            <w:r w:rsidRPr="00E87C14">
              <w:rPr>
                <w:rFonts w:ascii="Arial" w:hAnsi="Arial" w:hint="eastAsia"/>
                <w:b/>
                <w:sz w:val="18"/>
              </w:rPr>
              <w:t>onditions related to UE</w:t>
            </w:r>
          </w:p>
        </w:tc>
        <w:tc>
          <w:tcPr>
            <w:tcW w:w="3544" w:type="dxa"/>
            <w:tcBorders>
              <w:top w:val="single" w:sz="12" w:space="0" w:color="auto"/>
              <w:left w:val="nil"/>
              <w:bottom w:val="single" w:sz="12" w:space="0" w:color="auto"/>
              <w:right w:val="single" w:sz="12" w:space="0" w:color="auto"/>
            </w:tcBorders>
            <w:tcMar>
              <w:top w:w="0" w:type="dxa"/>
              <w:left w:w="108" w:type="dxa"/>
              <w:bottom w:w="0" w:type="dxa"/>
              <w:right w:w="108" w:type="dxa"/>
            </w:tcMar>
          </w:tcPr>
          <w:p w14:paraId="26AE0DC0" w14:textId="77777777" w:rsidR="00FD37F1" w:rsidRPr="00E87C14" w:rsidRDefault="00FD37F1" w:rsidP="00825616">
            <w:pPr>
              <w:keepNext/>
              <w:keepLines/>
              <w:jc w:val="center"/>
              <w:rPr>
                <w:rFonts w:ascii="Arial" w:hAnsi="Arial"/>
                <w:b/>
                <w:sz w:val="18"/>
              </w:rPr>
            </w:pPr>
            <w:r w:rsidRPr="00E87C14">
              <w:rPr>
                <w:rFonts w:ascii="Arial" w:hAnsi="Arial"/>
                <w:b/>
                <w:sz w:val="18"/>
              </w:rPr>
              <w:t>T</w:t>
            </w:r>
            <w:r w:rsidRPr="00E87C14">
              <w:rPr>
                <w:rFonts w:ascii="Arial" w:hAnsi="Arial" w:hint="eastAsia"/>
                <w:b/>
                <w:sz w:val="18"/>
              </w:rPr>
              <w:t>ype of access attempt</w:t>
            </w:r>
          </w:p>
        </w:tc>
      </w:tr>
      <w:tr w:rsidR="00FD37F1" w14:paraId="14773051" w14:textId="77777777" w:rsidTr="00825616">
        <w:tc>
          <w:tcPr>
            <w:tcW w:w="1701"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hideMark/>
          </w:tcPr>
          <w:p w14:paraId="36659E51" w14:textId="77777777" w:rsidR="00FD37F1" w:rsidRDefault="00FD37F1" w:rsidP="00825616">
            <w:pPr>
              <w:keepNext/>
              <w:jc w:val="center"/>
              <w:rPr>
                <w:sz w:val="22"/>
                <w:szCs w:val="22"/>
                <w:lang w:eastAsia="en-US"/>
              </w:rPr>
            </w:pPr>
            <w:r>
              <w:rPr>
                <w:rFonts w:ascii="Arial" w:hAnsi="Arial" w:cs="Arial"/>
                <w:sz w:val="18"/>
                <w:szCs w:val="18"/>
              </w:rPr>
              <w:t xml:space="preserve">1 (NOTE 1) </w:t>
            </w:r>
          </w:p>
          <w:p w14:paraId="73774D3C" w14:textId="77777777" w:rsidR="00FD37F1" w:rsidRDefault="00FD37F1" w:rsidP="00825616">
            <w:pPr>
              <w:keepNext/>
              <w:jc w:val="center"/>
            </w:pPr>
            <w:r>
              <w:rPr>
                <w:rFonts w:ascii="Arial" w:hAnsi="Arial" w:cs="Arial"/>
                <w:sz w:val="18"/>
                <w:szCs w:val="18"/>
              </w:rPr>
              <w:t> </w:t>
            </w:r>
          </w:p>
        </w:tc>
        <w:tc>
          <w:tcPr>
            <w:tcW w:w="4253" w:type="dxa"/>
            <w:tcBorders>
              <w:top w:val="single" w:sz="12" w:space="0" w:color="auto"/>
              <w:left w:val="nil"/>
              <w:bottom w:val="single" w:sz="12" w:space="0" w:color="auto"/>
              <w:right w:val="single" w:sz="8" w:space="0" w:color="auto"/>
            </w:tcBorders>
            <w:tcMar>
              <w:top w:w="0" w:type="dxa"/>
              <w:left w:w="108" w:type="dxa"/>
              <w:bottom w:w="0" w:type="dxa"/>
              <w:right w:w="108" w:type="dxa"/>
            </w:tcMar>
            <w:hideMark/>
          </w:tcPr>
          <w:p w14:paraId="42DADF66" w14:textId="77777777" w:rsidR="00FD37F1" w:rsidRDefault="00FD37F1" w:rsidP="00825616">
            <w:pPr>
              <w:keepNext/>
              <w:jc w:val="center"/>
            </w:pPr>
            <w:r>
              <w:rPr>
                <w:rFonts w:ascii="Arial" w:hAnsi="Arial" w:cs="Arial"/>
                <w:sz w:val="18"/>
                <w:szCs w:val="18"/>
              </w:rPr>
              <w:t>UE is configured for delay tolerant service and subject to access control for Access Category 1, which is judged based on relation of UE’s HPLMN and the selected PLMN.</w:t>
            </w:r>
          </w:p>
        </w:tc>
        <w:tc>
          <w:tcPr>
            <w:tcW w:w="3544" w:type="dxa"/>
            <w:tcBorders>
              <w:top w:val="single" w:sz="12" w:space="0" w:color="auto"/>
              <w:left w:val="nil"/>
              <w:bottom w:val="single" w:sz="12" w:space="0" w:color="auto"/>
              <w:right w:val="single" w:sz="12" w:space="0" w:color="auto"/>
            </w:tcBorders>
            <w:tcMar>
              <w:top w:w="0" w:type="dxa"/>
              <w:left w:w="108" w:type="dxa"/>
              <w:bottom w:w="0" w:type="dxa"/>
              <w:right w:w="108" w:type="dxa"/>
            </w:tcMar>
            <w:hideMark/>
          </w:tcPr>
          <w:p w14:paraId="61B91568" w14:textId="77777777" w:rsidR="00FD37F1" w:rsidRDefault="00FD37F1" w:rsidP="00825616">
            <w:pPr>
              <w:keepNext/>
              <w:jc w:val="center"/>
            </w:pPr>
            <w:r>
              <w:rPr>
                <w:rFonts w:ascii="Arial" w:hAnsi="Arial" w:cs="Arial"/>
                <w:sz w:val="18"/>
                <w:szCs w:val="18"/>
              </w:rPr>
              <w:t>All except for Emergency, or MO exception data</w:t>
            </w:r>
          </w:p>
        </w:tc>
      </w:tr>
      <w:tr w:rsidR="00FD37F1" w14:paraId="7C5CB697" w14:textId="77777777" w:rsidTr="00825616">
        <w:tc>
          <w:tcPr>
            <w:tcW w:w="1701" w:type="dxa"/>
            <w:tcBorders>
              <w:top w:val="nil"/>
              <w:left w:val="single" w:sz="12" w:space="0" w:color="auto"/>
              <w:bottom w:val="single" w:sz="12" w:space="0" w:color="auto"/>
              <w:right w:val="single" w:sz="8" w:space="0" w:color="auto"/>
            </w:tcBorders>
            <w:tcMar>
              <w:top w:w="0" w:type="dxa"/>
              <w:left w:w="108" w:type="dxa"/>
              <w:bottom w:w="0" w:type="dxa"/>
              <w:right w:w="108" w:type="dxa"/>
            </w:tcMar>
            <w:hideMark/>
          </w:tcPr>
          <w:p w14:paraId="3B855EBB" w14:textId="77777777" w:rsidR="00FD37F1" w:rsidRDefault="00FD37F1" w:rsidP="00825616">
            <w:pPr>
              <w:keepNext/>
              <w:jc w:val="center"/>
            </w:pPr>
            <w:r>
              <w:rPr>
                <w:rFonts w:ascii="Arial" w:hAnsi="Arial" w:cs="Arial"/>
                <w:sz w:val="18"/>
                <w:szCs w:val="18"/>
              </w:rPr>
              <w:t>10 (NOTE 6)</w:t>
            </w:r>
          </w:p>
        </w:tc>
        <w:tc>
          <w:tcPr>
            <w:tcW w:w="4253" w:type="dxa"/>
            <w:tcBorders>
              <w:top w:val="nil"/>
              <w:left w:val="nil"/>
              <w:bottom w:val="single" w:sz="12" w:space="0" w:color="auto"/>
              <w:right w:val="single" w:sz="8" w:space="0" w:color="auto"/>
            </w:tcBorders>
            <w:tcMar>
              <w:top w:w="0" w:type="dxa"/>
              <w:left w:w="108" w:type="dxa"/>
              <w:bottom w:w="0" w:type="dxa"/>
              <w:right w:w="108" w:type="dxa"/>
            </w:tcMar>
            <w:hideMark/>
          </w:tcPr>
          <w:p w14:paraId="068FF478" w14:textId="77777777" w:rsidR="00FD37F1" w:rsidRDefault="00FD37F1" w:rsidP="00825616">
            <w:pPr>
              <w:keepNext/>
              <w:jc w:val="center"/>
            </w:pPr>
            <w:r>
              <w:rPr>
                <w:rFonts w:ascii="Arial" w:hAnsi="Arial" w:cs="Arial"/>
                <w:sz w:val="18"/>
                <w:szCs w:val="18"/>
              </w:rPr>
              <w:t>All</w:t>
            </w:r>
          </w:p>
        </w:tc>
        <w:tc>
          <w:tcPr>
            <w:tcW w:w="3544" w:type="dxa"/>
            <w:tcBorders>
              <w:top w:val="nil"/>
              <w:left w:val="nil"/>
              <w:bottom w:val="single" w:sz="12" w:space="0" w:color="auto"/>
              <w:right w:val="single" w:sz="12" w:space="0" w:color="auto"/>
            </w:tcBorders>
            <w:tcMar>
              <w:top w:w="0" w:type="dxa"/>
              <w:left w:w="108" w:type="dxa"/>
              <w:bottom w:w="0" w:type="dxa"/>
              <w:right w:w="108" w:type="dxa"/>
            </w:tcMar>
            <w:hideMark/>
          </w:tcPr>
          <w:p w14:paraId="5BA24C79" w14:textId="77777777" w:rsidR="00FD37F1" w:rsidRDefault="00FD37F1" w:rsidP="00825616">
            <w:pPr>
              <w:keepNext/>
              <w:jc w:val="center"/>
            </w:pPr>
            <w:r>
              <w:rPr>
                <w:rFonts w:ascii="Arial" w:hAnsi="Arial" w:cs="Arial"/>
                <w:sz w:val="18"/>
                <w:szCs w:val="18"/>
              </w:rPr>
              <w:t xml:space="preserve">MO exception data </w:t>
            </w:r>
          </w:p>
        </w:tc>
      </w:tr>
    </w:tbl>
    <w:p w14:paraId="0BD5A9A2" w14:textId="77777777" w:rsidR="00FD37F1" w:rsidRDefault="00FD37F1" w:rsidP="00FD37F1">
      <w:pPr>
        <w:rPr>
          <w:rFonts w:ascii="Arial" w:hAnsi="Arial"/>
          <w:sz w:val="18"/>
        </w:rPr>
      </w:pPr>
      <w:r w:rsidRPr="000C0FA1">
        <w:rPr>
          <w:rFonts w:ascii="Arial" w:hAnsi="Arial"/>
          <w:sz w:val="18"/>
        </w:rPr>
        <w:t xml:space="preserve">NOTE </w:t>
      </w:r>
      <w:r>
        <w:rPr>
          <w:rFonts w:ascii="Arial" w:hAnsi="Arial"/>
          <w:sz w:val="18"/>
        </w:rPr>
        <w:t>6</w:t>
      </w:r>
      <w:r w:rsidRPr="000C0FA1">
        <w:rPr>
          <w:rFonts w:ascii="Arial" w:hAnsi="Arial"/>
          <w:sz w:val="18"/>
        </w:rPr>
        <w:t>:</w:t>
      </w:r>
      <w:r>
        <w:rPr>
          <w:rFonts w:ascii="Arial" w:hAnsi="Arial"/>
          <w:sz w:val="18"/>
        </w:rPr>
        <w:t xml:space="preserve"> </w:t>
      </w:r>
      <w:r w:rsidRPr="000C0FA1">
        <w:rPr>
          <w:rFonts w:ascii="Arial" w:hAnsi="Arial"/>
          <w:sz w:val="18"/>
        </w:rPr>
        <w:t>Applies to an NB-</w:t>
      </w:r>
      <w:proofErr w:type="spellStart"/>
      <w:r w:rsidRPr="000C0FA1">
        <w:rPr>
          <w:rFonts w:ascii="Arial" w:hAnsi="Arial"/>
          <w:sz w:val="18"/>
        </w:rPr>
        <w:t>IoT</w:t>
      </w:r>
      <w:proofErr w:type="spellEnd"/>
      <w:r w:rsidRPr="000C0FA1">
        <w:rPr>
          <w:rFonts w:ascii="Arial" w:hAnsi="Arial"/>
          <w:sz w:val="18"/>
        </w:rPr>
        <w:t xml:space="preserve"> UE, using NB-IOT </w:t>
      </w:r>
      <w:r>
        <w:rPr>
          <w:rFonts w:ascii="Arial" w:hAnsi="Arial"/>
          <w:sz w:val="18"/>
        </w:rPr>
        <w:t>connectivity</w:t>
      </w:r>
      <w:r w:rsidRPr="000C0FA1">
        <w:rPr>
          <w:rFonts w:ascii="Arial" w:hAnsi="Arial"/>
          <w:sz w:val="18"/>
        </w:rPr>
        <w:t xml:space="preserve"> to 5GC.</w:t>
      </w:r>
    </w:p>
    <w:p w14:paraId="1ED9592F" w14:textId="77777777" w:rsidR="00FD37F1" w:rsidRDefault="00FD37F1" w:rsidP="00FD37F1"/>
    <w:p w14:paraId="133F35CC" w14:textId="77777777" w:rsidR="00FD37F1" w:rsidRDefault="00FD37F1" w:rsidP="00FD37F1">
      <w:r>
        <w:t>Note that Access Category 10 is not treated as a delay tolerant service.</w:t>
      </w:r>
    </w:p>
    <w:p w14:paraId="7AFF7ECA" w14:textId="77777777" w:rsidR="004D4F60" w:rsidRDefault="004D4F60" w:rsidP="00FD37F1"/>
    <w:p w14:paraId="36B0079D" w14:textId="77777777" w:rsidR="004D4F60" w:rsidRDefault="004D4F60" w:rsidP="00FD37F1">
      <w:r>
        <w:t>There are several ways in which ‘MO exception data’ reporting is treated with priority in 3GPP specifications.</w:t>
      </w:r>
    </w:p>
    <w:p w14:paraId="1A20F22C" w14:textId="77777777" w:rsidR="00FD37F1" w:rsidRDefault="00FD37F1" w:rsidP="00A45CBF"/>
    <w:p w14:paraId="7CF7372E" w14:textId="77777777" w:rsidR="00A60595" w:rsidRDefault="00A60595" w:rsidP="00A60595">
      <w:pPr>
        <w:pStyle w:val="ListParagraph"/>
        <w:numPr>
          <w:ilvl w:val="0"/>
          <w:numId w:val="2"/>
        </w:numPr>
      </w:pPr>
      <w:r>
        <w:t>The normal limits for transmission applied to the UE (Small data rate control, 23.501, 5.31.14.3) can be exceeded by a configurable amount specifically for exception data.</w:t>
      </w:r>
    </w:p>
    <w:p w14:paraId="330CDE91" w14:textId="77777777" w:rsidR="00A60595" w:rsidRDefault="00A60595" w:rsidP="00A60595">
      <w:pPr>
        <w:pStyle w:val="ListParagraph"/>
        <w:numPr>
          <w:ilvl w:val="0"/>
          <w:numId w:val="2"/>
        </w:numPr>
      </w:pPr>
      <w:r>
        <w:t xml:space="preserve">There is a dedicated RRC establishment </w:t>
      </w:r>
      <w:proofErr w:type="spellStart"/>
      <w:r>
        <w:t>cause</w:t>
      </w:r>
      <w:proofErr w:type="spellEnd"/>
      <w:r>
        <w:t xml:space="preserve"> “</w:t>
      </w:r>
      <w:proofErr w:type="spellStart"/>
      <w:r>
        <w:t>mo-ExceptionData</w:t>
      </w:r>
      <w:proofErr w:type="spellEnd"/>
      <w:r>
        <w:t xml:space="preserve">” </w:t>
      </w:r>
      <w:r w:rsidR="00114C24">
        <w:t>(36.331 5.3.3.1b and 5.3.3.1c)</w:t>
      </w:r>
      <w:r w:rsidR="004D4F60">
        <w:t xml:space="preserve"> and separate access barring (36.331, 5.3.3.14). The radio layer treats Exception data with </w:t>
      </w:r>
      <w:r w:rsidR="004D4F60" w:rsidRPr="004D4F60">
        <w:rPr>
          <w:i/>
        </w:rPr>
        <w:t>higher priority</w:t>
      </w:r>
      <w:r w:rsidR="004D4F60">
        <w:t xml:space="preserve"> than common (</w:t>
      </w:r>
      <w:proofErr w:type="spellStart"/>
      <w:r w:rsidR="004D4F60">
        <w:t>mo</w:t>
      </w:r>
      <w:proofErr w:type="spellEnd"/>
      <w:r w:rsidR="004D4F60">
        <w:t>-Data) and low priority (</w:t>
      </w:r>
      <w:proofErr w:type="spellStart"/>
      <w:r w:rsidR="004D4F60">
        <w:t>delayTolerantAccess</w:t>
      </w:r>
      <w:proofErr w:type="spellEnd"/>
      <w:r w:rsidR="004D4F60">
        <w:t>).</w:t>
      </w:r>
    </w:p>
    <w:p w14:paraId="0FC32816" w14:textId="77777777" w:rsidR="004D4F60" w:rsidRDefault="004D4F60" w:rsidP="007B0B7C">
      <w:pPr>
        <w:pStyle w:val="ListParagraph"/>
        <w:numPr>
          <w:ilvl w:val="0"/>
          <w:numId w:val="2"/>
        </w:numPr>
      </w:pPr>
      <w:r>
        <w:t>SA2 clearly prioritizes transmission of exception data: “If the UE is allowed to send exception reporting, the UE may send an initial NAS Message for exception reporting even if Control Plane data back-off timer is running” (23.501, 5.19.7.6) and correspondingly CT1 clearly prioritizes transmission in the corresponding case. (24.501, 5.3.17)</w:t>
      </w:r>
    </w:p>
    <w:p w14:paraId="4CE58B70" w14:textId="77777777" w:rsidR="004D4F60" w:rsidRDefault="004D4F60" w:rsidP="007B0B7C">
      <w:pPr>
        <w:pStyle w:val="ListParagraph"/>
        <w:numPr>
          <w:ilvl w:val="0"/>
          <w:numId w:val="2"/>
        </w:numPr>
      </w:pPr>
      <w:r>
        <w:t>CT1 specifies a timer called “Service gap” to limit the frequency that the UE can transition to connected mode for sending data. Exception is not restricted in this way (23.501 5.13.16, 24.501, 5.3.17)</w:t>
      </w:r>
    </w:p>
    <w:p w14:paraId="1D23316A" w14:textId="3B0E4A6F" w:rsidR="00571F82" w:rsidRDefault="00571F82" w:rsidP="007B0B7C">
      <w:pPr>
        <w:pStyle w:val="ListParagraph"/>
        <w:numPr>
          <w:ilvl w:val="0"/>
          <w:numId w:val="2"/>
        </w:numPr>
      </w:pPr>
      <w:r>
        <w:t>When a UE reaches its maximum number of user plane resources for NB-</w:t>
      </w:r>
      <w:proofErr w:type="spellStart"/>
      <w:r>
        <w:t>IoT</w:t>
      </w:r>
      <w:proofErr w:type="spellEnd"/>
      <w:r>
        <w:t xml:space="preserve">, the UE can release PDU sessions if there is a new request for sending exception data. (24.501, 6.4.1.5A) This is the same behavior that is used when there is a need to establish an emergency session and </w:t>
      </w:r>
      <w:r w:rsidR="00802E21">
        <w:t>the maximum number of PDU sessions that is supported by the PLMN has been reached</w:t>
      </w:r>
      <w:r>
        <w:t>. (24.501, 6.4.1.5)</w:t>
      </w:r>
    </w:p>
    <w:p w14:paraId="6A2B6E4C" w14:textId="77777777" w:rsidR="00FD37F1" w:rsidRDefault="00FD37F1" w:rsidP="00A45CBF"/>
    <w:p w14:paraId="1F333BB1" w14:textId="77777777" w:rsidR="00E331B8" w:rsidRPr="00CF68B7" w:rsidRDefault="00E331B8" w:rsidP="00A45CBF"/>
    <w:p w14:paraId="0B85C63A" w14:textId="77777777" w:rsidR="00693902" w:rsidRDefault="004C4E1B" w:rsidP="00A45CBF">
      <w:r>
        <w:t>There are many e</w:t>
      </w:r>
      <w:r w:rsidR="004D5D1E">
        <w:t>xamples of services that should not be stopped</w:t>
      </w:r>
      <w:r>
        <w:t xml:space="preserve"> at service area boundaries, even though they would normally be used only within a restricted area.</w:t>
      </w:r>
    </w:p>
    <w:p w14:paraId="26125924" w14:textId="77777777" w:rsidR="004C4E1B" w:rsidRDefault="004C4E1B" w:rsidP="00A45CBF"/>
    <w:p w14:paraId="28F28B27" w14:textId="77777777" w:rsidR="004D5D1E" w:rsidRDefault="004D5D1E" w:rsidP="004D5D1E">
      <w:pPr>
        <w:pStyle w:val="ListParagraph"/>
        <w:numPr>
          <w:ilvl w:val="0"/>
          <w:numId w:val="1"/>
        </w:numPr>
      </w:pPr>
      <w:r>
        <w:t>Burglar alarm</w:t>
      </w:r>
    </w:p>
    <w:p w14:paraId="7BD11F2C" w14:textId="77777777" w:rsidR="004D5D1E" w:rsidRDefault="00E331B8" w:rsidP="004D5D1E">
      <w:pPr>
        <w:pStyle w:val="ListParagraph"/>
        <w:numPr>
          <w:ilvl w:val="0"/>
          <w:numId w:val="1"/>
        </w:numPr>
      </w:pPr>
      <w:r>
        <w:t>Power failure or ‘tamper alarm’ for a</w:t>
      </w:r>
      <w:r w:rsidR="004D5D1E">
        <w:t>ny ‘fixed asset’ (</w:t>
      </w:r>
      <w:r>
        <w:t xml:space="preserve">one that </w:t>
      </w:r>
      <w:r w:rsidR="004D5D1E">
        <w:t>should not move!)</w:t>
      </w:r>
    </w:p>
    <w:p w14:paraId="20A5CA2E" w14:textId="77777777" w:rsidR="00E331B8" w:rsidRDefault="00E331B8" w:rsidP="004D5D1E">
      <w:pPr>
        <w:pStyle w:val="ListParagraph"/>
        <w:numPr>
          <w:ilvl w:val="0"/>
          <w:numId w:val="1"/>
        </w:numPr>
      </w:pPr>
      <w:r>
        <w:t>Fire alarm</w:t>
      </w:r>
    </w:p>
    <w:p w14:paraId="134A0F78" w14:textId="77777777" w:rsidR="00467655" w:rsidRDefault="00467655" w:rsidP="00467655">
      <w:pPr>
        <w:pStyle w:val="ListParagraph"/>
        <w:numPr>
          <w:ilvl w:val="0"/>
          <w:numId w:val="1"/>
        </w:numPr>
      </w:pPr>
      <w:r>
        <w:t>Health sensor</w:t>
      </w:r>
    </w:p>
    <w:p w14:paraId="1B403062" w14:textId="77777777" w:rsidR="00467655" w:rsidRDefault="00467655" w:rsidP="004D5D1E"/>
    <w:p w14:paraId="088CE583" w14:textId="329B0685" w:rsidR="004D5D1E" w:rsidRPr="00E331B8" w:rsidRDefault="00E331B8" w:rsidP="004D5D1E">
      <w:r>
        <w:t>Consider that service is limited to a Service Area for a device that sends mobile originated NB-</w:t>
      </w:r>
      <w:proofErr w:type="spellStart"/>
      <w:r>
        <w:t>IoT</w:t>
      </w:r>
      <w:proofErr w:type="spellEnd"/>
      <w:r>
        <w:t xml:space="preserve"> messages given the assumption that the device will not move, at least not out of the service area. </w:t>
      </w:r>
      <w:r>
        <w:lastRenderedPageBreak/>
        <w:t xml:space="preserve">While this is a valid assumption normally, does it hold for </w:t>
      </w:r>
      <w:r>
        <w:rPr>
          <w:i/>
        </w:rPr>
        <w:t>abnormal</w:t>
      </w:r>
      <w:r>
        <w:t xml:space="preserve"> situations? A valuable </w:t>
      </w:r>
      <w:r w:rsidR="00467655">
        <w:t xml:space="preserve">device that should not move (at all, or only in a limited way) is taken. Does </w:t>
      </w:r>
      <w:r w:rsidR="00D47DD5">
        <w:t xml:space="preserve">it </w:t>
      </w:r>
      <w:r w:rsidR="00467655">
        <w:t>become irrelevant that this device burns, is stolen or is tampered with? A patient with a health monitor in a care facility unexpectedly leaves that location. Does it become irrelevant if that patient needs urgent care?</w:t>
      </w:r>
    </w:p>
    <w:p w14:paraId="204D9820" w14:textId="77777777" w:rsidR="00E331B8" w:rsidRDefault="00E331B8" w:rsidP="004D5D1E"/>
    <w:p w14:paraId="5BD1CCAE" w14:textId="77777777" w:rsidR="004C4E1B" w:rsidRDefault="004C4E1B" w:rsidP="004D5D1E">
      <w:r>
        <w:t xml:space="preserve">Many </w:t>
      </w:r>
      <w:proofErr w:type="spellStart"/>
      <w:r>
        <w:t>IoT</w:t>
      </w:r>
      <w:proofErr w:type="spellEnd"/>
      <w:r>
        <w:t xml:space="preserve"> devices should never move. Such immobile devices are the best candidate for Service Area restrictions. If the </w:t>
      </w:r>
      <w:proofErr w:type="spellStart"/>
      <w:r>
        <w:t>IoT</w:t>
      </w:r>
      <w:proofErr w:type="spellEnd"/>
      <w:r>
        <w:t xml:space="preserve"> devices are moved, however, they need to inform those responsible for their placement of the event. This however is excluded if the </w:t>
      </w:r>
      <w:proofErr w:type="spellStart"/>
      <w:r>
        <w:t>IoT</w:t>
      </w:r>
      <w:proofErr w:type="spellEnd"/>
      <w:r>
        <w:t xml:space="preserve"> device is prevented from Exception Data based reporting due to being out of its Allowed Service area.</w:t>
      </w:r>
    </w:p>
    <w:p w14:paraId="1AA60CE0" w14:textId="77777777" w:rsidR="004C4E1B" w:rsidRDefault="004C4E1B" w:rsidP="004D5D1E"/>
    <w:p w14:paraId="0AB36583" w14:textId="77777777" w:rsidR="00A43617" w:rsidRDefault="00A43617" w:rsidP="00A43617">
      <w:r>
        <w:t xml:space="preserve">It is also important to note that the UE is only allowed to use exception data if it has been configured by the operator to be allowed to use exception data </w:t>
      </w:r>
      <w:r w:rsidRPr="00D07FAF">
        <w:t>(</w:t>
      </w:r>
      <w:r w:rsidRPr="00CC0C94">
        <w:rPr>
          <w:snapToGrid w:val="0"/>
        </w:rPr>
        <w:t xml:space="preserve">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or the USIM file EF</w:t>
      </w:r>
      <w:r w:rsidRPr="00CC0C94">
        <w:rPr>
          <w:vertAlign w:val="subscript"/>
        </w:rPr>
        <w:t>NASCONFIG</w:t>
      </w:r>
      <w:r w:rsidRPr="00CC0C94">
        <w:t xml:space="preserve"> in </w:t>
      </w:r>
      <w:r w:rsidRPr="00CC0C94">
        <w:rPr>
          <w:snapToGrid w:val="0"/>
        </w:rPr>
        <w:t>3GPP TS 31.102</w:t>
      </w:r>
      <w:r w:rsidRPr="00D07FAF">
        <w:t>)</w:t>
      </w:r>
      <w:r>
        <w:t>. Thus, it is not the case that any UE can simply use exception data to avoid being subject to service area restrictions. Rather, the UE would have to first be configured by the network to be allowed to send exception data.</w:t>
      </w:r>
    </w:p>
    <w:p w14:paraId="57ED3644" w14:textId="77777777" w:rsidR="00F8058F" w:rsidRDefault="00F8058F" w:rsidP="008F4E7F">
      <w:bookmarkStart w:id="0" w:name="_GoBack"/>
      <w:bookmarkEnd w:id="0"/>
    </w:p>
    <w:p w14:paraId="4247C265" w14:textId="77777777" w:rsidR="004C4E1B" w:rsidRPr="004C4E1B" w:rsidRDefault="004C4E1B" w:rsidP="004C4E1B">
      <w:pPr>
        <w:rPr>
          <w:b/>
        </w:rPr>
      </w:pPr>
      <w:r w:rsidRPr="004C4E1B">
        <w:rPr>
          <w:b/>
        </w:rPr>
        <w:t>Conclusion</w:t>
      </w:r>
    </w:p>
    <w:p w14:paraId="55F9618D" w14:textId="77777777" w:rsidR="004C4E1B" w:rsidRDefault="004C4E1B" w:rsidP="004C4E1B"/>
    <w:p w14:paraId="5B20354A" w14:textId="77777777" w:rsidR="008F4E7F" w:rsidRDefault="004C4E1B" w:rsidP="004C4E1B">
      <w:r>
        <w:t>If Exception Data reporting is only possible in the Allowed Service Area, this will limit the applicability of both Exception Data reporting and Service Area restrictions. Either an</w:t>
      </w:r>
      <w:r w:rsidR="00390765">
        <w:t xml:space="preserve"> NB-</w:t>
      </w:r>
      <w:proofErr w:type="spellStart"/>
      <w:r>
        <w:t>IoT</w:t>
      </w:r>
      <w:proofErr w:type="spellEnd"/>
      <w:r>
        <w:t xml:space="preserve"> device </w:t>
      </w:r>
      <w:r w:rsidR="00390765">
        <w:t xml:space="preserve">serving a critical function </w:t>
      </w:r>
      <w:r>
        <w:t xml:space="preserve">will need to be </w:t>
      </w:r>
      <w:r w:rsidR="00390765">
        <w:t>configured without a Service Area restriction, or the service customer cannot rely upon Exception Data reporting in exceptional critical situations.</w:t>
      </w:r>
    </w:p>
    <w:p w14:paraId="7DA93444" w14:textId="77777777" w:rsidR="00390765" w:rsidRDefault="00390765" w:rsidP="004C4E1B"/>
    <w:p w14:paraId="5F47137B" w14:textId="77777777" w:rsidR="00390765" w:rsidRDefault="00390765" w:rsidP="004C4E1B">
      <w:r>
        <w:t>As argued in this paper, the 5G System already prioritizes NB-</w:t>
      </w:r>
      <w:proofErr w:type="spellStart"/>
      <w:r>
        <w:t>IoT</w:t>
      </w:r>
      <w:proofErr w:type="spellEnd"/>
      <w:r>
        <w:t xml:space="preserve"> exception data reporting and provides a number of means to control its abuse. For this reason, and to ensure that both Service Area restrictions and Exception Data reporting are attractive and applicable features for systems that can occasionally face extreme situations in which they need to report critical data.</w:t>
      </w:r>
    </w:p>
    <w:p w14:paraId="44C33C69" w14:textId="77777777" w:rsidR="00467655" w:rsidRDefault="00467655" w:rsidP="00467655">
      <w:pPr>
        <w:pBdr>
          <w:bottom w:val="single" w:sz="6" w:space="1" w:color="auto"/>
        </w:pBdr>
      </w:pPr>
    </w:p>
    <w:p w14:paraId="10F1631C" w14:textId="77777777" w:rsidR="00467655" w:rsidRDefault="00467655" w:rsidP="00467655">
      <w:pPr>
        <w:rPr>
          <w:b/>
        </w:rPr>
      </w:pPr>
      <w:r w:rsidRPr="00467655">
        <w:rPr>
          <w:b/>
        </w:rPr>
        <w:t>Proposal</w:t>
      </w:r>
    </w:p>
    <w:p w14:paraId="1773F048" w14:textId="77777777" w:rsidR="004C4E1B" w:rsidRDefault="004C4E1B" w:rsidP="00467655">
      <w:pPr>
        <w:rPr>
          <w:b/>
        </w:rPr>
      </w:pPr>
    </w:p>
    <w:p w14:paraId="55D5BC18" w14:textId="77777777" w:rsidR="00390765" w:rsidRDefault="00390765" w:rsidP="00390765">
      <w:r>
        <w:t>Therefore we propose the response in LS S1-202zzz.</w:t>
      </w:r>
    </w:p>
    <w:p w14:paraId="039DB891" w14:textId="77777777" w:rsidR="00390765" w:rsidRDefault="00390765" w:rsidP="00467655">
      <w:pPr>
        <w:rPr>
          <w:b/>
        </w:rPr>
      </w:pPr>
    </w:p>
    <w:p w14:paraId="54BE4FF7" w14:textId="77777777" w:rsidR="00390765" w:rsidRDefault="00390765" w:rsidP="00467655">
      <w:r>
        <w:t>Since there is currently no restriction on the use of NB-</w:t>
      </w:r>
      <w:proofErr w:type="spellStart"/>
      <w:r>
        <w:t>IoT</w:t>
      </w:r>
      <w:proofErr w:type="spellEnd"/>
      <w:r>
        <w:t xml:space="preserve"> Exception Data reporting in non-allowed Service Areas, in our view there is no</w:t>
      </w:r>
      <w:r w:rsidR="004B7267">
        <w:t xml:space="preserve"> imperative</w:t>
      </w:r>
      <w:r>
        <w:t xml:space="preserve"> </w:t>
      </w:r>
      <w:r w:rsidR="00311988">
        <w:t>to</w:t>
      </w:r>
      <w:r>
        <w:t xml:space="preserve"> change to stage 1 specifications.</w:t>
      </w:r>
    </w:p>
    <w:p w14:paraId="240EA6E6" w14:textId="77777777" w:rsidR="00390765" w:rsidRDefault="00390765" w:rsidP="00467655"/>
    <w:p w14:paraId="61259C2C" w14:textId="60352086" w:rsidR="00390765" w:rsidRPr="00390765" w:rsidRDefault="00390765" w:rsidP="00467655">
      <w:r>
        <w:t xml:space="preserve">As some may view that it would be more helpful to capture this information in stage 1, </w:t>
      </w:r>
      <w:r w:rsidR="00D8774B">
        <w:t>we provide 22.261CRabcd in S1-202zzz</w:t>
      </w:r>
      <w:r w:rsidR="00064BE5">
        <w:t xml:space="preserve"> (Rel-16) and 22.261CRabcd S1-202zzz (Rel-17)</w:t>
      </w:r>
      <w:r w:rsidR="00D8774B">
        <w:t>.</w:t>
      </w:r>
    </w:p>
    <w:sectPr w:rsidR="00390765" w:rsidRPr="0039076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82CBF"/>
    <w:multiLevelType w:val="hybridMultilevel"/>
    <w:tmpl w:val="856AA5FA"/>
    <w:lvl w:ilvl="0" w:tplc="220465DE">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C75A19"/>
    <w:multiLevelType w:val="hybridMultilevel"/>
    <w:tmpl w:val="026E7302"/>
    <w:lvl w:ilvl="0" w:tplc="7448492E">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64BE5"/>
    <w:rsid w:val="00076C0B"/>
    <w:rsid w:val="000803CD"/>
    <w:rsid w:val="000808C9"/>
    <w:rsid w:val="00081FDE"/>
    <w:rsid w:val="0008579E"/>
    <w:rsid w:val="0008734C"/>
    <w:rsid w:val="000917C1"/>
    <w:rsid w:val="00097125"/>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C24"/>
    <w:rsid w:val="00116B42"/>
    <w:rsid w:val="0012387C"/>
    <w:rsid w:val="00125869"/>
    <w:rsid w:val="00136428"/>
    <w:rsid w:val="00142FCD"/>
    <w:rsid w:val="00153900"/>
    <w:rsid w:val="00153F82"/>
    <w:rsid w:val="00154695"/>
    <w:rsid w:val="00156032"/>
    <w:rsid w:val="00165AC1"/>
    <w:rsid w:val="00165F4A"/>
    <w:rsid w:val="00172919"/>
    <w:rsid w:val="001755E1"/>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1988"/>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0765"/>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67655"/>
    <w:rsid w:val="00470A49"/>
    <w:rsid w:val="00483CE8"/>
    <w:rsid w:val="00484287"/>
    <w:rsid w:val="00484761"/>
    <w:rsid w:val="004931B8"/>
    <w:rsid w:val="004962D7"/>
    <w:rsid w:val="00496F7D"/>
    <w:rsid w:val="00497F70"/>
    <w:rsid w:val="004A0796"/>
    <w:rsid w:val="004B044F"/>
    <w:rsid w:val="004B3555"/>
    <w:rsid w:val="004B7267"/>
    <w:rsid w:val="004B7C0F"/>
    <w:rsid w:val="004C1132"/>
    <w:rsid w:val="004C20AA"/>
    <w:rsid w:val="004C214E"/>
    <w:rsid w:val="004C382E"/>
    <w:rsid w:val="004C4D02"/>
    <w:rsid w:val="004C4E1B"/>
    <w:rsid w:val="004D4F60"/>
    <w:rsid w:val="004D5D1E"/>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71F82"/>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80A"/>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0C04"/>
    <w:rsid w:val="00786388"/>
    <w:rsid w:val="00791772"/>
    <w:rsid w:val="00795061"/>
    <w:rsid w:val="007961BA"/>
    <w:rsid w:val="007A440E"/>
    <w:rsid w:val="007B56A9"/>
    <w:rsid w:val="007C76E6"/>
    <w:rsid w:val="007D298D"/>
    <w:rsid w:val="007E5F35"/>
    <w:rsid w:val="007E6841"/>
    <w:rsid w:val="007F2534"/>
    <w:rsid w:val="007F7861"/>
    <w:rsid w:val="008021AD"/>
    <w:rsid w:val="00802E21"/>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8F4E7F"/>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3617"/>
    <w:rsid w:val="00A45CBF"/>
    <w:rsid w:val="00A473BD"/>
    <w:rsid w:val="00A521F3"/>
    <w:rsid w:val="00A6003E"/>
    <w:rsid w:val="00A60595"/>
    <w:rsid w:val="00A65D23"/>
    <w:rsid w:val="00A71F0F"/>
    <w:rsid w:val="00A801CC"/>
    <w:rsid w:val="00A82DDD"/>
    <w:rsid w:val="00A868BB"/>
    <w:rsid w:val="00A93A44"/>
    <w:rsid w:val="00AA0724"/>
    <w:rsid w:val="00AA0C0A"/>
    <w:rsid w:val="00AA7011"/>
    <w:rsid w:val="00AA75BA"/>
    <w:rsid w:val="00AB6BB9"/>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57B81"/>
    <w:rsid w:val="00B720C9"/>
    <w:rsid w:val="00B8046D"/>
    <w:rsid w:val="00B9451F"/>
    <w:rsid w:val="00BA1C79"/>
    <w:rsid w:val="00BB0020"/>
    <w:rsid w:val="00BB1ECE"/>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0760"/>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34B0C"/>
    <w:rsid w:val="00D42185"/>
    <w:rsid w:val="00D454D1"/>
    <w:rsid w:val="00D47DD5"/>
    <w:rsid w:val="00D50796"/>
    <w:rsid w:val="00D508A3"/>
    <w:rsid w:val="00D52845"/>
    <w:rsid w:val="00D652AB"/>
    <w:rsid w:val="00D65822"/>
    <w:rsid w:val="00D70393"/>
    <w:rsid w:val="00D81C38"/>
    <w:rsid w:val="00D84DF5"/>
    <w:rsid w:val="00D853E5"/>
    <w:rsid w:val="00D8736A"/>
    <w:rsid w:val="00D8774B"/>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31B8"/>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1BE"/>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58F"/>
    <w:rsid w:val="00F80B6C"/>
    <w:rsid w:val="00F86F62"/>
    <w:rsid w:val="00F90BA4"/>
    <w:rsid w:val="00FA5284"/>
    <w:rsid w:val="00FB4B22"/>
    <w:rsid w:val="00FB4F1F"/>
    <w:rsid w:val="00FB6A23"/>
    <w:rsid w:val="00FC205B"/>
    <w:rsid w:val="00FC2825"/>
    <w:rsid w:val="00FC46BA"/>
    <w:rsid w:val="00FC4E5F"/>
    <w:rsid w:val="00FD04E8"/>
    <w:rsid w:val="00FD0686"/>
    <w:rsid w:val="00FD18E3"/>
    <w:rsid w:val="00FD20D2"/>
    <w:rsid w:val="00FD37F1"/>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60EBC"/>
  <w15:chartTrackingRefBased/>
  <w15:docId w15:val="{F0B5206C-218C-408B-8A91-F44A096F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eastAsia="en-US"/>
    </w:rPr>
  </w:style>
  <w:style w:type="paragraph" w:styleId="ListParagraph">
    <w:name w:val="List Paragraph"/>
    <w:basedOn w:val="Normal"/>
    <w:uiPriority w:val="34"/>
    <w:qFormat/>
    <w:rsid w:val="004D5D1E"/>
    <w:pPr>
      <w:ind w:left="720"/>
      <w:contextualSpacing/>
    </w:pPr>
  </w:style>
  <w:style w:type="paragraph" w:styleId="NormalWeb">
    <w:name w:val="Normal (Web)"/>
    <w:basedOn w:val="Normal"/>
    <w:uiPriority w:val="99"/>
    <w:unhideWhenUsed/>
    <w:rsid w:val="00F8058F"/>
    <w:pPr>
      <w:spacing w:before="75" w:after="75"/>
    </w:pPr>
    <w:rPr>
      <w:rFonts w:ascii="Arial" w:eastAsiaTheme="minorHAnsi" w:hAnsi="Arial" w:cs="Arial"/>
      <w:sz w:val="20"/>
      <w:szCs w:val="20"/>
      <w:lang w:eastAsia="en-US"/>
    </w:rPr>
  </w:style>
  <w:style w:type="paragraph" w:customStyle="1" w:styleId="TH">
    <w:name w:val="TH"/>
    <w:basedOn w:val="Normal"/>
    <w:link w:val="THChar"/>
    <w:rsid w:val="00795061"/>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rsid w:val="00795061"/>
    <w:rPr>
      <w:rFonts w:ascii="Arial" w:eastAsia="Times New Roman" w:hAnsi="Arial"/>
      <w:b/>
      <w:lang w:val="x-none"/>
    </w:rPr>
  </w:style>
  <w:style w:type="character" w:styleId="CommentReference">
    <w:name w:val="annotation reference"/>
    <w:basedOn w:val="DefaultParagraphFont"/>
    <w:rsid w:val="00AA0724"/>
    <w:rPr>
      <w:sz w:val="16"/>
      <w:szCs w:val="16"/>
    </w:rPr>
  </w:style>
  <w:style w:type="paragraph" w:styleId="CommentText">
    <w:name w:val="annotation text"/>
    <w:basedOn w:val="Normal"/>
    <w:link w:val="CommentTextChar"/>
    <w:rsid w:val="00AA0724"/>
    <w:rPr>
      <w:sz w:val="20"/>
      <w:szCs w:val="20"/>
    </w:rPr>
  </w:style>
  <w:style w:type="character" w:customStyle="1" w:styleId="CommentTextChar">
    <w:name w:val="Comment Text Char"/>
    <w:basedOn w:val="DefaultParagraphFont"/>
    <w:link w:val="CommentText"/>
    <w:rsid w:val="00AA0724"/>
    <w:rPr>
      <w:lang w:eastAsia="ja-JP"/>
    </w:rPr>
  </w:style>
  <w:style w:type="paragraph" w:styleId="CommentSubject">
    <w:name w:val="annotation subject"/>
    <w:basedOn w:val="CommentText"/>
    <w:next w:val="CommentText"/>
    <w:link w:val="CommentSubjectChar"/>
    <w:rsid w:val="00AA0724"/>
    <w:rPr>
      <w:b/>
      <w:bCs/>
    </w:rPr>
  </w:style>
  <w:style w:type="character" w:customStyle="1" w:styleId="CommentSubjectChar">
    <w:name w:val="Comment Subject Char"/>
    <w:basedOn w:val="CommentTextChar"/>
    <w:link w:val="CommentSubject"/>
    <w:rsid w:val="00AA0724"/>
    <w:rPr>
      <w:b/>
      <w:bCs/>
      <w:lang w:eastAsia="ja-JP"/>
    </w:rPr>
  </w:style>
  <w:style w:type="paragraph" w:styleId="BalloonText">
    <w:name w:val="Balloon Text"/>
    <w:basedOn w:val="Normal"/>
    <w:link w:val="BalloonTextChar"/>
    <w:rsid w:val="00AA0724"/>
    <w:rPr>
      <w:rFonts w:ascii="Segoe UI" w:hAnsi="Segoe UI" w:cs="Segoe UI"/>
      <w:sz w:val="18"/>
      <w:szCs w:val="18"/>
    </w:rPr>
  </w:style>
  <w:style w:type="character" w:customStyle="1" w:styleId="BalloonTextChar">
    <w:name w:val="Balloon Text Char"/>
    <w:basedOn w:val="DefaultParagraphFont"/>
    <w:link w:val="BalloonText"/>
    <w:rsid w:val="00AA0724"/>
    <w:rPr>
      <w:rFonts w:ascii="Segoe UI"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173356">
      <w:bodyDiv w:val="1"/>
      <w:marLeft w:val="0"/>
      <w:marRight w:val="0"/>
      <w:marTop w:val="0"/>
      <w:marBottom w:val="0"/>
      <w:divBdr>
        <w:top w:val="none" w:sz="0" w:space="0" w:color="auto"/>
        <w:left w:val="none" w:sz="0" w:space="0" w:color="auto"/>
        <w:bottom w:val="none" w:sz="0" w:space="0" w:color="auto"/>
        <w:right w:val="none" w:sz="0" w:space="0" w:color="auto"/>
      </w:divBdr>
    </w:div>
    <w:div w:id="1505244573">
      <w:bodyDiv w:val="1"/>
      <w:marLeft w:val="0"/>
      <w:marRight w:val="0"/>
      <w:marTop w:val="0"/>
      <w:marBottom w:val="0"/>
      <w:divBdr>
        <w:top w:val="none" w:sz="0" w:space="0" w:color="auto"/>
        <w:left w:val="none" w:sz="0" w:space="0" w:color="auto"/>
        <w:bottom w:val="none" w:sz="0" w:space="0" w:color="auto"/>
        <w:right w:val="none" w:sz="0" w:space="0" w:color="auto"/>
      </w:divBdr>
    </w:div>
    <w:div w:id="183607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9CB13-6E7A-4A32-8517-F58B3C75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cp:lastModifiedBy>
  <cp:revision>2</cp:revision>
  <dcterms:created xsi:type="dcterms:W3CDTF">2020-08-14T16:15:00Z</dcterms:created>
  <dcterms:modified xsi:type="dcterms:W3CDTF">2020-08-14T16:15:00Z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4DD512F63FC1D22001D4ACB7336617714F7AAB4724899038E9686D9BD7C4CC5A</vt:lpwstr>
  </property>
  <property fmtid="{D5CDD505-2E9C-101B-9397-08002B2CF9AE}" pid="2" name="NSCPROP_SA">
    <vt:lpwstr>C:\Users\erik.guttman.CORP\AppData\Local\Temp\Temp1_Template-Discussion_paper.zip\Template-Discussion_paper.doc</vt:lpwstr>
  </property>
</Properties>
</file>