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170CC" w14:textId="4DC9E69B" w:rsidR="001C332D" w:rsidRPr="001C332D" w:rsidRDefault="001C332D" w:rsidP="00C66BC5">
      <w:pPr>
        <w:pStyle w:val="hdr"/>
      </w:pPr>
      <w:r w:rsidRPr="001C332D">
        <w:t>3GPP TSG-SA WG1 Meeting #</w:t>
      </w:r>
      <w:r w:rsidR="004B7D4F">
        <w:t>90</w:t>
      </w:r>
      <w:bookmarkStart w:id="0" w:name="_GoBack"/>
      <w:bookmarkEnd w:id="0"/>
      <w:r w:rsidR="00722542">
        <w:t>e</w:t>
      </w:r>
      <w:r w:rsidRPr="001C332D">
        <w:tab/>
        <w:t>S1-</w:t>
      </w:r>
      <w:r w:rsidR="008D31FF">
        <w:t>202</w:t>
      </w:r>
      <w:r w:rsidR="00722542">
        <w:t>131</w:t>
      </w:r>
    </w:p>
    <w:p w14:paraId="30710300" w14:textId="4A76E206" w:rsidR="00B4181D" w:rsidRPr="000D6532" w:rsidRDefault="00722542" w:rsidP="00C66BC5">
      <w:pPr>
        <w:pStyle w:val="hdr"/>
      </w:pPr>
      <w:r>
        <w:t>Electronic Meeting</w:t>
      </w:r>
      <w:r w:rsidR="00786473" w:rsidRPr="00786473">
        <w:t>,</w:t>
      </w:r>
      <w:r w:rsidR="00935510">
        <w:t xml:space="preserve"> 18-22.05.20</w:t>
      </w:r>
      <w:r w:rsidR="001C332D" w:rsidRPr="001C332D">
        <w:tab/>
      </w:r>
      <w:r w:rsidR="001C332D" w:rsidRPr="001C332D">
        <w:rPr>
          <w:i/>
        </w:rPr>
        <w:t>(revision of S1-</w:t>
      </w:r>
      <w:r w:rsidR="00786473">
        <w:rPr>
          <w:i/>
        </w:rPr>
        <w:t>20</w:t>
      </w:r>
      <w:r w:rsidR="006731AC">
        <w:rPr>
          <w:i/>
        </w:rPr>
        <w:t>2</w:t>
      </w:r>
      <w:r w:rsidR="001C332D" w:rsidRPr="001C332D">
        <w:rPr>
          <w:i/>
        </w:rPr>
        <w:t>xxx)</w:t>
      </w:r>
    </w:p>
    <w:p w14:paraId="7A8CD603" w14:textId="77777777" w:rsidR="00B4181D" w:rsidRPr="000D6532" w:rsidRDefault="00B4181D" w:rsidP="00B4181D">
      <w:pPr>
        <w:spacing w:after="0"/>
        <w:rPr>
          <w:rFonts w:ascii="Arial" w:eastAsia="MS Mincho" w:hAnsi="Arial"/>
          <w:sz w:val="24"/>
          <w:szCs w:val="24"/>
          <w:lang w:eastAsia="ja-JP"/>
        </w:rPr>
      </w:pPr>
    </w:p>
    <w:p w14:paraId="07FB2814" w14:textId="048963DD" w:rsidR="00B4181D" w:rsidRPr="000D6532" w:rsidRDefault="00B4181D" w:rsidP="00C66BC5">
      <w:pPr>
        <w:pStyle w:val="toc"/>
      </w:pPr>
      <w:r w:rsidRPr="000D6532">
        <w:t>Title:</w:t>
      </w:r>
      <w:r w:rsidRPr="000D6532">
        <w:tab/>
      </w:r>
      <w:r w:rsidR="00E72FC9">
        <w:t xml:space="preserve">Smart Grid and </w:t>
      </w:r>
      <w:r w:rsidR="00066BB9">
        <w:t>Mobile Telecommunication</w:t>
      </w:r>
      <w:r w:rsidR="00722542">
        <w:t xml:space="preserve"> Opportunities</w:t>
      </w:r>
    </w:p>
    <w:p w14:paraId="493D4BD3" w14:textId="77777777" w:rsidR="00B4181D" w:rsidRPr="000D6532" w:rsidRDefault="00B4181D" w:rsidP="00C66BC5">
      <w:pPr>
        <w:pStyle w:val="toc"/>
      </w:pPr>
      <w:r w:rsidRPr="000D6532">
        <w:t>Agenda Item:</w:t>
      </w:r>
      <w:r w:rsidRPr="000D6532">
        <w:tab/>
      </w:r>
      <w:r w:rsidR="00040EA5">
        <w:t>4</w:t>
      </w:r>
    </w:p>
    <w:p w14:paraId="4F92BF35" w14:textId="58C6C643" w:rsidR="00B4181D" w:rsidRDefault="00B4181D" w:rsidP="00C66BC5">
      <w:pPr>
        <w:pStyle w:val="toc"/>
      </w:pPr>
      <w:r w:rsidRPr="000D6532">
        <w:t>Source:</w:t>
      </w:r>
      <w:r w:rsidRPr="000D6532">
        <w:tab/>
      </w:r>
      <w:r w:rsidR="00040EA5">
        <w:t>Samsung</w:t>
      </w:r>
    </w:p>
    <w:p w14:paraId="4BBE4120" w14:textId="22BFA3E7" w:rsidR="00040EA5" w:rsidRPr="000D6532" w:rsidRDefault="00040EA5" w:rsidP="00C66BC5">
      <w:pPr>
        <w:pStyle w:val="toc"/>
      </w:pPr>
      <w:r>
        <w:t>Document for:</w:t>
      </w:r>
      <w:r>
        <w:tab/>
      </w:r>
      <w:r w:rsidR="004B71F3">
        <w:t>Information</w:t>
      </w:r>
    </w:p>
    <w:p w14:paraId="5CD53F8A" w14:textId="77777777" w:rsidR="00B4181D" w:rsidRPr="000D6532" w:rsidRDefault="00B4181D" w:rsidP="00C66BC5">
      <w:pPr>
        <w:pStyle w:val="toc"/>
      </w:pPr>
      <w:r w:rsidRPr="000D6532">
        <w:t>Contact:</w:t>
      </w:r>
      <w:r w:rsidRPr="000D6532">
        <w:tab/>
      </w:r>
      <w:r w:rsidR="00040EA5">
        <w:t>Erik Guttman &lt;erik.guttman@samsung.com&gt;</w:t>
      </w:r>
      <w:r w:rsidRPr="000D6532">
        <w:t xml:space="preserve"> </w:t>
      </w:r>
    </w:p>
    <w:p w14:paraId="7BF385F1" w14:textId="77777777" w:rsidR="00B4181D" w:rsidRPr="000D6532" w:rsidRDefault="00B4181D" w:rsidP="00B4181D">
      <w:pPr>
        <w:pBdr>
          <w:bottom w:val="single" w:sz="6" w:space="1" w:color="auto"/>
        </w:pBdr>
        <w:spacing w:after="0"/>
        <w:rPr>
          <w:rFonts w:eastAsia="MS Mincho"/>
          <w:sz w:val="24"/>
          <w:szCs w:val="24"/>
          <w:lang w:eastAsia="ja-JP"/>
        </w:rPr>
      </w:pPr>
    </w:p>
    <w:p w14:paraId="48667592" w14:textId="77777777" w:rsidR="00457DD6" w:rsidRDefault="00B4181D" w:rsidP="00C66BC5">
      <w:pPr>
        <w:pStyle w:val="abstract"/>
      </w:pPr>
      <w:r w:rsidRPr="000D6532">
        <w:t xml:space="preserve">Abstract: </w:t>
      </w:r>
    </w:p>
    <w:p w14:paraId="1DB9482B" w14:textId="77777777" w:rsidR="00B4181D" w:rsidRPr="000D6532" w:rsidRDefault="00457DD6" w:rsidP="00C66BC5">
      <w:pPr>
        <w:pStyle w:val="abstract"/>
      </w:pPr>
      <w:r>
        <w:t xml:space="preserve">A study in </w:t>
      </w:r>
      <w:r w:rsidR="0032025C">
        <w:t>Smart Grid and telecommunications</w:t>
      </w:r>
      <w:r>
        <w:t xml:space="preserve"> in SA1 could lead to useful results</w:t>
      </w:r>
      <w:r w:rsidR="0032025C">
        <w:t>, as this sector has specific needs that are today only partially served by existing 3GPP standards</w:t>
      </w:r>
      <w:r>
        <w:t>.</w:t>
      </w:r>
    </w:p>
    <w:p w14:paraId="68126333" w14:textId="77777777" w:rsidR="00234E84" w:rsidRPr="0028267B" w:rsidRDefault="0028267B" w:rsidP="00B4181D">
      <w:pPr>
        <w:rPr>
          <w:rFonts w:ascii="Arial" w:hAnsi="Arial" w:cs="Arial"/>
          <w:b/>
          <w:sz w:val="22"/>
        </w:rPr>
      </w:pPr>
      <w:r>
        <w:rPr>
          <w:rFonts w:ascii="Arial" w:hAnsi="Arial" w:cs="Arial"/>
          <w:b/>
          <w:sz w:val="22"/>
        </w:rPr>
        <w:t>Discussion</w:t>
      </w:r>
    </w:p>
    <w:p w14:paraId="2474839B" w14:textId="77777777" w:rsidR="00AC2542" w:rsidRDefault="00066BB9" w:rsidP="00442626">
      <w:pPr>
        <w:spacing w:after="120"/>
      </w:pPr>
      <w:r>
        <w:t xml:space="preserve">Smart Grid refers to the application of communications and IT to the needs of the electrical system: from </w:t>
      </w:r>
      <w:r w:rsidRPr="00066BB9">
        <w:rPr>
          <w:b/>
        </w:rPr>
        <w:t>generation</w:t>
      </w:r>
      <w:r>
        <w:t xml:space="preserve"> to </w:t>
      </w:r>
      <w:r w:rsidRPr="00066BB9">
        <w:rPr>
          <w:b/>
        </w:rPr>
        <w:t>transport</w:t>
      </w:r>
      <w:r>
        <w:t xml:space="preserve">, to </w:t>
      </w:r>
      <w:r w:rsidRPr="00066BB9">
        <w:rPr>
          <w:b/>
        </w:rPr>
        <w:t>distribution</w:t>
      </w:r>
      <w:r>
        <w:t xml:space="preserve">, even including the </w:t>
      </w:r>
      <w:r w:rsidRPr="00066BB9">
        <w:rPr>
          <w:b/>
        </w:rPr>
        <w:t>consumers</w:t>
      </w:r>
      <w:r>
        <w:t xml:space="preserve"> of electricity. </w:t>
      </w:r>
      <w:r w:rsidR="00AC2542">
        <w:t xml:space="preserve">The European Commission Task Force for Smart Grids defines them as </w:t>
      </w:r>
    </w:p>
    <w:p w14:paraId="24E99040" w14:textId="6952201A" w:rsidR="00AC2542" w:rsidRPr="004D6436" w:rsidRDefault="00AC2542" w:rsidP="00442626">
      <w:pPr>
        <w:pStyle w:val="B1"/>
        <w:spacing w:after="120"/>
        <w:ind w:firstLine="0"/>
      </w:pPr>
      <w:r w:rsidRPr="00AC2542">
        <w:t xml:space="preserve">"A Smart Grid is an electricity network that can </w:t>
      </w:r>
      <w:r w:rsidR="00000646">
        <w:t>…</w:t>
      </w:r>
      <w:r w:rsidRPr="00AC2542">
        <w:t xml:space="preserve"> efficiently integrate the behaviour and actions of all users connected to it – generators, consumers and those that do both – in order to ensure economically efficient, sustainable power system with low losses and high levels of quality and security of supply and safety. A smart grid employs innovative products and services together with intelligent monitoring, control, communication, and self-healing technologies in order to:</w:t>
      </w:r>
    </w:p>
    <w:p w14:paraId="2F4FB0E8" w14:textId="77777777" w:rsidR="004D6436" w:rsidRDefault="00AC2542" w:rsidP="00442626">
      <w:pPr>
        <w:pStyle w:val="B1"/>
        <w:spacing w:after="120"/>
        <w:ind w:left="852"/>
      </w:pPr>
      <w:r w:rsidRPr="00AC2542">
        <w:t xml:space="preserve">• </w:t>
      </w:r>
      <w:r w:rsidR="004D6436" w:rsidRPr="004D6436">
        <w:t>Better facilitate the connection and operation of generators of all sizes and technologies.</w:t>
      </w:r>
    </w:p>
    <w:p w14:paraId="1F427CF7" w14:textId="77777777" w:rsidR="00AC2542" w:rsidRPr="00AC2542" w:rsidRDefault="004D6436" w:rsidP="00442626">
      <w:pPr>
        <w:pStyle w:val="B1"/>
        <w:spacing w:after="120"/>
        <w:ind w:left="852"/>
      </w:pPr>
      <w:r w:rsidRPr="00AC2542">
        <w:t>•</w:t>
      </w:r>
      <w:r>
        <w:t xml:space="preserve"> </w:t>
      </w:r>
      <w:r w:rsidR="00AC2542" w:rsidRPr="00AC2542">
        <w:t>Allow consumers to play a part in optimising the operation of the system.</w:t>
      </w:r>
    </w:p>
    <w:p w14:paraId="54C0CA8C" w14:textId="77777777" w:rsidR="00AC2542" w:rsidRPr="00AC2542" w:rsidRDefault="00AC2542" w:rsidP="00442626">
      <w:pPr>
        <w:pStyle w:val="B1"/>
        <w:spacing w:after="120"/>
        <w:ind w:left="852"/>
      </w:pPr>
      <w:r w:rsidRPr="00AC2542">
        <w:t>• Provide consumers with greater information and options for how they use their supply.</w:t>
      </w:r>
    </w:p>
    <w:p w14:paraId="03274D41" w14:textId="77777777" w:rsidR="00AC2542" w:rsidRPr="00AC2542" w:rsidRDefault="00AC2542" w:rsidP="00442626">
      <w:pPr>
        <w:pStyle w:val="B1"/>
        <w:spacing w:after="120"/>
        <w:ind w:left="852"/>
      </w:pPr>
      <w:r w:rsidRPr="00AC2542">
        <w:t>• Significantly reduce the environmental impact of the whole electricity supply system.</w:t>
      </w:r>
    </w:p>
    <w:p w14:paraId="15CB7BC6" w14:textId="77777777" w:rsidR="00AC2542" w:rsidRPr="00AC2542" w:rsidRDefault="00AC2542" w:rsidP="00442626">
      <w:pPr>
        <w:pStyle w:val="B1"/>
        <w:spacing w:after="120"/>
        <w:ind w:left="852"/>
      </w:pPr>
      <w:r w:rsidRPr="00AC2542">
        <w:t>• Maintain or even improve the existing high levels of system reliability, quality and security of supply.</w:t>
      </w:r>
    </w:p>
    <w:p w14:paraId="3A582782" w14:textId="77777777" w:rsidR="00AC2542" w:rsidRPr="00AC2542" w:rsidRDefault="00AC2542" w:rsidP="00442626">
      <w:pPr>
        <w:pStyle w:val="B1"/>
        <w:spacing w:after="120"/>
        <w:ind w:left="852"/>
      </w:pPr>
      <w:r w:rsidRPr="00AC2542">
        <w:t>• Maintain and improve the existing services efficiently."</w:t>
      </w:r>
      <w:r w:rsidR="004D6436">
        <w:t xml:space="preserve"> [</w:t>
      </w:r>
      <w:r w:rsidR="00A2470F">
        <w:t>1</w:t>
      </w:r>
      <w:r w:rsidR="004D6436">
        <w:t>]</w:t>
      </w:r>
    </w:p>
    <w:p w14:paraId="62F08921" w14:textId="77777777" w:rsidR="00353F8C" w:rsidRDefault="00066BB9" w:rsidP="00442626">
      <w:pPr>
        <w:spacing w:after="120"/>
      </w:pPr>
      <w:r>
        <w:t xml:space="preserve">This paper will consider how </w:t>
      </w:r>
      <w:r w:rsidR="001848A0">
        <w:t xml:space="preserve">mobile </w:t>
      </w:r>
      <w:r>
        <w:t xml:space="preserve">telecommunications applies to </w:t>
      </w:r>
      <w:r w:rsidR="001848A0">
        <w:t xml:space="preserve">services of the </w:t>
      </w:r>
      <w:r>
        <w:t>Smart Grid at a very high level, and identify areas of potential shared interest between utilities and the stakeholders in mobile telecommunication.</w:t>
      </w:r>
    </w:p>
    <w:p w14:paraId="40C9AE33" w14:textId="4B7DCE6B" w:rsidR="00A2470F" w:rsidRDefault="00066BB9" w:rsidP="00442626">
      <w:pPr>
        <w:spacing w:after="120"/>
      </w:pPr>
      <w:r>
        <w:t xml:space="preserve">Even before application of ICT, communication has been important for managing the electrical system for decades. The </w:t>
      </w:r>
      <w:r w:rsidR="00072A5D">
        <w:t xml:space="preserve">main </w:t>
      </w:r>
      <w:r>
        <w:t xml:space="preserve">requirements for electrical system management are to monitor and control critical components of the power system, assure resilience of power supply by preventing failures and responding to them when they occur, and assuring power supply quality. Analog and eventually digital communications enabled those responsible for different components of the managed </w:t>
      </w:r>
      <w:r w:rsidR="00FE291A">
        <w:t xml:space="preserve">electrical system </w:t>
      </w:r>
      <w:r>
        <w:t xml:space="preserve">in increasingly sophisticated ways. </w:t>
      </w:r>
    </w:p>
    <w:p w14:paraId="142CB3FF" w14:textId="3464BC02" w:rsidR="00066BB9" w:rsidRDefault="00A2470F" w:rsidP="00442626">
      <w:pPr>
        <w:spacing w:after="120"/>
      </w:pPr>
      <w:r>
        <w:t>What distinguish</w:t>
      </w:r>
      <w:r w:rsidR="00072A5D">
        <w:t>es</w:t>
      </w:r>
      <w:r>
        <w:t xml:space="preserve"> the ‘Smart Grid’ from earlier control and monitoring systems is the sheer diversity of the services that can be deployed and the degree to which they are needed through the growth of the electrical system, both in the amount of energy provided and the complexity of the overall grid.</w:t>
      </w:r>
      <w:r w:rsidR="00072A5D">
        <w:t xml:space="preserve"> Above all, the overarching idea of automation of the grid, to evolve grid operations from a manual activity to an automated process, defines the needs and evolution under the concept of the Smart Grid, or an increasingly ‘Smarter’ Grid.</w:t>
      </w:r>
    </w:p>
    <w:p w14:paraId="1201EC78" w14:textId="77777777" w:rsidR="002B3F69" w:rsidRDefault="002B3F69" w:rsidP="00442626">
      <w:pPr>
        <w:spacing w:after="120"/>
      </w:pPr>
      <w:r>
        <w:t xml:space="preserve">The requirements discussed </w:t>
      </w:r>
      <w:r w:rsidR="00935510">
        <w:t xml:space="preserve">below </w:t>
      </w:r>
      <w:r>
        <w:t xml:space="preserve">with respect to the smart grid relate to </w:t>
      </w:r>
      <w:r w:rsidR="00FA6417">
        <w:t>‘traditional’ control and monitoring services, but also many new services that need communication to ensure proper operation of the electrical system</w:t>
      </w:r>
      <w:r w:rsidR="00B41927">
        <w:t xml:space="preserve"> (automation of the grid)</w:t>
      </w:r>
      <w:r w:rsidR="00FA6417">
        <w:t>.</w:t>
      </w:r>
    </w:p>
    <w:p w14:paraId="6ED97F39" w14:textId="77777777" w:rsidR="00FA6417" w:rsidRDefault="00FA6417" w:rsidP="00442626">
      <w:pPr>
        <w:spacing w:after="120"/>
      </w:pPr>
      <w:r>
        <w:t>One key aspect of the ‘utility communication’ problem is the growth in demand. The following figure shows the historic and projected growth of global electrical generation capacity. [2]</w:t>
      </w:r>
    </w:p>
    <w:p w14:paraId="28F2A06D" w14:textId="77777777" w:rsidR="00B368C8" w:rsidRDefault="008D31FF" w:rsidP="00B368C8">
      <w:pPr>
        <w:jc w:val="center"/>
        <w:rPr>
          <w:noProof/>
          <w:lang w:val="en-US"/>
        </w:rPr>
      </w:pPr>
      <w:r w:rsidRPr="00FA6417">
        <w:rPr>
          <w:noProof/>
          <w:lang w:val="en-US"/>
        </w:rPr>
        <w:lastRenderedPageBreak/>
        <w:drawing>
          <wp:inline distT="0" distB="0" distL="0" distR="0" wp14:anchorId="4320C065" wp14:editId="5A81AE4B">
            <wp:extent cx="4752340" cy="21056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2340" cy="2105660"/>
                    </a:xfrm>
                    <a:prstGeom prst="rect">
                      <a:avLst/>
                    </a:prstGeom>
                    <a:noFill/>
                    <a:ln>
                      <a:noFill/>
                    </a:ln>
                  </pic:spPr>
                </pic:pic>
              </a:graphicData>
            </a:graphic>
          </wp:inline>
        </w:drawing>
      </w:r>
    </w:p>
    <w:p w14:paraId="7F012CAB" w14:textId="77777777" w:rsidR="00B368C8" w:rsidRDefault="00B368C8" w:rsidP="00B368C8">
      <w:pPr>
        <w:jc w:val="center"/>
        <w:rPr>
          <w:noProof/>
          <w:lang w:val="en-US"/>
        </w:rPr>
      </w:pPr>
      <w:r>
        <w:rPr>
          <w:noProof/>
          <w:lang w:val="en-US"/>
        </w:rPr>
        <w:t>Figure 1: Electrical Generation Capacity and Sources Past, Present and Future</w:t>
      </w:r>
    </w:p>
    <w:p w14:paraId="4D3F1ECF" w14:textId="24764D95" w:rsidR="00A536C4" w:rsidRDefault="00FA6417" w:rsidP="0081593C">
      <w:pPr>
        <w:spacing w:after="120"/>
        <w:rPr>
          <w:noProof/>
          <w:lang w:val="en-US"/>
        </w:rPr>
      </w:pPr>
      <w:r>
        <w:rPr>
          <w:noProof/>
          <w:lang w:val="en-US"/>
        </w:rPr>
        <w:t>This figure is based upon the ‘Stated Policies Scenario,’ that is</w:t>
      </w:r>
      <w:r w:rsidR="004B7D4F">
        <w:rPr>
          <w:noProof/>
          <w:lang w:val="en-US"/>
        </w:rPr>
        <w:t>,</w:t>
      </w:r>
      <w:r>
        <w:rPr>
          <w:noProof/>
          <w:lang w:val="en-US"/>
        </w:rPr>
        <w:t xml:space="preserve"> the plans and actions of different energy generation sources – public and private. It is not clear that this scenario will apply, as there are good reasons to aim at greater efficiency and less demand: energy is very expensive to produce and deliver on the one hand, and the CO</w:t>
      </w:r>
      <w:r w:rsidRPr="00FA6417">
        <w:rPr>
          <w:noProof/>
          <w:vertAlign w:val="subscript"/>
          <w:lang w:val="en-US"/>
        </w:rPr>
        <w:t>2</w:t>
      </w:r>
      <w:r>
        <w:rPr>
          <w:noProof/>
          <w:lang w:val="en-US"/>
        </w:rPr>
        <w:t xml:space="preserve"> and other emissions resulting from electrical power generation is not sustainable. Flexible, efficient, clean and above all </w:t>
      </w:r>
      <w:r w:rsidR="00000646">
        <w:rPr>
          <w:noProof/>
          <w:lang w:val="en-US"/>
        </w:rPr>
        <w:t xml:space="preserve">competitive </w:t>
      </w:r>
      <w:r>
        <w:rPr>
          <w:noProof/>
          <w:lang w:val="en-US"/>
        </w:rPr>
        <w:t xml:space="preserve">effective means of providing alternative energy will be key to meeting ‘Sustainable </w:t>
      </w:r>
      <w:r w:rsidR="00633871">
        <w:rPr>
          <w:noProof/>
          <w:lang w:val="en-US"/>
        </w:rPr>
        <w:t xml:space="preserve">Development’ objectives. This implies significantly more complicated generation, delivery and use of energy. </w:t>
      </w:r>
    </w:p>
    <w:p w14:paraId="4CA00322" w14:textId="115A9805" w:rsidR="00A536C4" w:rsidRDefault="002B6D2F" w:rsidP="0081593C">
      <w:pPr>
        <w:spacing w:after="120"/>
        <w:rPr>
          <w:noProof/>
          <w:lang w:val="en-US"/>
        </w:rPr>
      </w:pPr>
      <w:r>
        <w:rPr>
          <w:noProof/>
          <w:lang w:val="en-US"/>
        </w:rPr>
        <w:t xml:space="preserve">A useful model of these alternatives has been proposed by the World Economic Forum, termed the “Grid Edge.” [6] They observe that there are three important trends, all reinforcing each other. </w:t>
      </w:r>
      <w:r>
        <w:rPr>
          <w:b/>
          <w:noProof/>
          <w:lang w:val="en-US"/>
        </w:rPr>
        <w:t>Decentralization</w:t>
      </w:r>
      <w:r>
        <w:rPr>
          <w:noProof/>
          <w:lang w:val="en-US"/>
        </w:rPr>
        <w:t xml:space="preserve"> makes customers active elements of the system, though this requires significant coordination. Key aspects include energy efficiency, solar power generation, distributed storage, microgrids and demand response. </w:t>
      </w:r>
      <w:r>
        <w:rPr>
          <w:b/>
          <w:noProof/>
          <w:lang w:val="en-US"/>
        </w:rPr>
        <w:t>Key technologies</w:t>
      </w:r>
      <w:r>
        <w:rPr>
          <w:noProof/>
          <w:lang w:val="en-US"/>
        </w:rPr>
        <w:t xml:space="preserve"> have emerged – such as smart metering, remote control and automation systems</w:t>
      </w:r>
      <w:r w:rsidR="00735F1B">
        <w:rPr>
          <w:noProof/>
          <w:lang w:val="en-US"/>
        </w:rPr>
        <w:t xml:space="preserve"> and</w:t>
      </w:r>
      <w:r>
        <w:rPr>
          <w:noProof/>
          <w:lang w:val="en-US"/>
        </w:rPr>
        <w:t xml:space="preserve"> smart appliances. </w:t>
      </w:r>
      <w:r>
        <w:rPr>
          <w:b/>
          <w:noProof/>
          <w:lang w:val="en-US"/>
        </w:rPr>
        <w:t xml:space="preserve">Digitization </w:t>
      </w:r>
      <w:r>
        <w:rPr>
          <w:noProof/>
          <w:lang w:val="en-US"/>
        </w:rPr>
        <w:t>in the form of electric vehicles, smart charging, heat pumps.</w:t>
      </w:r>
      <w:r w:rsidR="00510931">
        <w:rPr>
          <w:noProof/>
          <w:lang w:val="en-US"/>
        </w:rPr>
        <w:t xml:space="preserve"> These areas have been developed and have shown great promise and results in utilization rates. The future electric system will include these Grid Edge technologies. The key question is not how to achieve these services per se (as they are being developed by vertical industries in an access independent manner), but to identify how they can best be served by mobile telecommunications. We ask: how can the 3GPP System provide a compelling best fit for as many of the emerging services?</w:t>
      </w:r>
    </w:p>
    <w:p w14:paraId="6B1B895D" w14:textId="098DC830" w:rsidR="00FA6417" w:rsidRDefault="00633871" w:rsidP="0081593C">
      <w:pPr>
        <w:spacing w:after="120"/>
        <w:rPr>
          <w:noProof/>
          <w:lang w:val="en-US"/>
        </w:rPr>
      </w:pPr>
      <w:r>
        <w:rPr>
          <w:noProof/>
          <w:lang w:val="en-US"/>
        </w:rPr>
        <w:t xml:space="preserve">This is all associated with </w:t>
      </w:r>
      <w:r w:rsidR="00AC3081">
        <w:rPr>
          <w:noProof/>
          <w:lang w:val="en-US"/>
        </w:rPr>
        <w:t xml:space="preserve">strict </w:t>
      </w:r>
      <w:r>
        <w:rPr>
          <w:noProof/>
          <w:lang w:val="en-US"/>
        </w:rPr>
        <w:t>communication requirements</w:t>
      </w:r>
      <w:r w:rsidR="00AC3081">
        <w:rPr>
          <w:noProof/>
          <w:lang w:val="en-US"/>
        </w:rPr>
        <w:t xml:space="preserve"> both in terms of qualitative (networks -priority, resilience, etc.; and devices -environmental requirement, etc.) and quantitative aspects (pervasive coverage, etc.)</w:t>
      </w:r>
      <w:r>
        <w:rPr>
          <w:noProof/>
          <w:lang w:val="en-US"/>
        </w:rPr>
        <w:t>, as discussed below.</w:t>
      </w:r>
    </w:p>
    <w:p w14:paraId="1A71AEB2" w14:textId="485A8CCE" w:rsidR="00696651" w:rsidRPr="00696651" w:rsidRDefault="00696651" w:rsidP="00442626">
      <w:pPr>
        <w:numPr>
          <w:ilvl w:val="0"/>
          <w:numId w:val="4"/>
        </w:numPr>
        <w:spacing w:after="120"/>
      </w:pPr>
      <w:r>
        <w:rPr>
          <w:noProof/>
          <w:lang w:val="en-US"/>
        </w:rPr>
        <w:t xml:space="preserve">Notice the ascent of Solar Photovoltaics (PV) and Other Renewables in the chart above. Renewables will rise from 26% globally in 2018 to 44% in 2040 (as a contribution to totally generated power.) 75% of all growth in electrical supply will occur in </w:t>
      </w:r>
      <w:r w:rsidR="0081593C">
        <w:rPr>
          <w:noProof/>
          <w:lang w:val="en-US"/>
        </w:rPr>
        <w:t>renewables</w:t>
      </w:r>
      <w:r>
        <w:rPr>
          <w:noProof/>
          <w:lang w:val="en-US"/>
        </w:rPr>
        <w:t xml:space="preserve">, mainly due to technical advances and </w:t>
      </w:r>
      <w:r w:rsidR="00000646">
        <w:rPr>
          <w:noProof/>
          <w:lang w:val="en-US"/>
        </w:rPr>
        <w:t>business rationale for investment</w:t>
      </w:r>
      <w:r>
        <w:rPr>
          <w:noProof/>
          <w:lang w:val="en-US"/>
        </w:rPr>
        <w:t xml:space="preserve"> (including supportive government policies.) [2] </w:t>
      </w:r>
      <w:r w:rsidRPr="005E47D4">
        <w:rPr>
          <w:noProof/>
          <w:color w:val="0070C0"/>
          <w:lang w:val="en-US"/>
        </w:rPr>
        <w:t>The integration of these forms of energy require coordination of the electrical grid with Distributed Generation (DG)</w:t>
      </w:r>
      <w:r w:rsidR="00AF7C17" w:rsidRPr="005E47D4">
        <w:rPr>
          <w:noProof/>
          <w:color w:val="0070C0"/>
          <w:lang w:val="en-US"/>
        </w:rPr>
        <w:t>, which will be discussed further below</w:t>
      </w:r>
      <w:r w:rsidRPr="004D45F9">
        <w:rPr>
          <w:noProof/>
          <w:color w:val="000000"/>
          <w:lang w:val="en-US"/>
        </w:rPr>
        <w:t>.</w:t>
      </w:r>
    </w:p>
    <w:p w14:paraId="1647AA86" w14:textId="77777777" w:rsidR="00696651" w:rsidRDefault="0081593C" w:rsidP="00442626">
      <w:pPr>
        <w:numPr>
          <w:ilvl w:val="0"/>
          <w:numId w:val="4"/>
        </w:numPr>
        <w:spacing w:after="120"/>
      </w:pPr>
      <w:r>
        <w:t xml:space="preserve">Another important factor is </w:t>
      </w:r>
      <w:r w:rsidR="00C66BC5">
        <w:t xml:space="preserve">the emergence of </w:t>
      </w:r>
      <w:r w:rsidR="0027395B">
        <w:t xml:space="preserve">Energy </w:t>
      </w:r>
      <w:r w:rsidR="00C66BC5">
        <w:t>Storage</w:t>
      </w:r>
      <w:r w:rsidR="0027395B">
        <w:t xml:space="preserve"> (e.g. Battery storage)</w:t>
      </w:r>
      <w:r w:rsidR="00C66BC5">
        <w:t xml:space="preserve"> as part of the energy system. Some storage exists already, e.g. at generators to enable them to restart after they are forced to stop for some reason.</w:t>
      </w:r>
      <w:r w:rsidR="00AF7C17">
        <w:t xml:space="preserve"> The increased reliance on </w:t>
      </w:r>
      <w:r w:rsidR="00654814">
        <w:t xml:space="preserve">storage will make it possible to rely more on renewable energy sources such as wind and solar, that are not always available. </w:t>
      </w:r>
      <w:r w:rsidR="00654814" w:rsidRPr="005E47D4">
        <w:rPr>
          <w:color w:val="0070C0"/>
        </w:rPr>
        <w:t>Management of power storage as part of overall energy delivery is a further complication requiring additional management and coordination by the Smart Grid</w:t>
      </w:r>
      <w:r w:rsidR="00654814">
        <w:t>.</w:t>
      </w:r>
    </w:p>
    <w:p w14:paraId="56659193" w14:textId="26A9ECE0" w:rsidR="00FA6417" w:rsidRDefault="00E30EBD" w:rsidP="00442626">
      <w:pPr>
        <w:numPr>
          <w:ilvl w:val="0"/>
          <w:numId w:val="4"/>
        </w:numPr>
        <w:spacing w:after="120"/>
      </w:pPr>
      <w:r>
        <w:t xml:space="preserve">In order to achieve </w:t>
      </w:r>
      <w:r w:rsidR="00000646">
        <w:t>clearly justified rationale for investment</w:t>
      </w:r>
      <w:r>
        <w:t xml:space="preserve">, greater efficiency in use and operation of the network, it is important to operate in such a way as to reduce peak demand. This can be achieved (at least potentially) by involving the consumers in the electrical system, so that their energy intensive tasks can occur when energy is available. </w:t>
      </w:r>
      <w:r w:rsidR="005E47D4">
        <w:t xml:space="preserve">Different strategies exist – either charging different rates for use at different times or even giving the energy utility control the scheduling of energy intensive appliances. </w:t>
      </w:r>
      <w:r w:rsidR="005E47D4" w:rsidRPr="005E47D4">
        <w:rPr>
          <w:color w:val="0070C0"/>
        </w:rPr>
        <w:t>End user coordination for efficiency constitutes another important set of services to achieve the Smart Grid’s promise</w:t>
      </w:r>
      <w:r w:rsidR="005E47D4">
        <w:t>.</w:t>
      </w:r>
    </w:p>
    <w:p w14:paraId="118E8567" w14:textId="77777777" w:rsidR="00A92805" w:rsidRDefault="005E47D4" w:rsidP="00442626">
      <w:pPr>
        <w:spacing w:after="120"/>
      </w:pPr>
      <w:r>
        <w:t>The electrical system includes four ‘building blocks’: Generation, Transmission, Distribution and Consumption. Different countries have different mixes of entities that provide electrical generation, transmission (long distance) and distribution (shorter distances, all the way to the consumers.) Service providers may be a mix of government and private entities. The use of Smart Grid services is needed at every level, and across the different building blocks.</w:t>
      </w:r>
      <w:r w:rsidR="00A92805">
        <w:t xml:space="preserve"> </w:t>
      </w:r>
    </w:p>
    <w:p w14:paraId="23A08175" w14:textId="77B40267" w:rsidR="00CC0681" w:rsidRDefault="00CC0681" w:rsidP="00B4181D">
      <w:r>
        <w:lastRenderedPageBreak/>
        <w:t>It is also important to mention, at a very high level, the services and communication that typical</w:t>
      </w:r>
      <w:r w:rsidR="00A86814">
        <w:t>ly occur across the electrical system. The figure below is adapted from [4]</w:t>
      </w:r>
      <w:r w:rsidR="0078182F">
        <w:t xml:space="preserve"> and offers a simplified vision of the complex world of applications in utility operations</w:t>
      </w:r>
      <w:r w:rsidR="00A86814">
        <w:t>.</w:t>
      </w:r>
    </w:p>
    <w:p w14:paraId="5F933274" w14:textId="77777777" w:rsidR="00B368C8" w:rsidRDefault="008D31FF" w:rsidP="001F1917">
      <w:pPr>
        <w:jc w:val="center"/>
      </w:pPr>
      <w:r>
        <w:rPr>
          <w:noProof/>
          <w:lang w:val="en-US"/>
        </w:rPr>
        <w:drawing>
          <wp:inline distT="0" distB="0" distL="0" distR="0" wp14:anchorId="5077EA53" wp14:editId="23655A74">
            <wp:extent cx="3796030" cy="1316355"/>
            <wp:effectExtent l="0" t="0" r="0" b="0"/>
            <wp:docPr id="2" name="Picture 2" descr="Asset 2@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et 2@2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6030" cy="1316355"/>
                    </a:xfrm>
                    <a:prstGeom prst="rect">
                      <a:avLst/>
                    </a:prstGeom>
                    <a:noFill/>
                    <a:ln>
                      <a:noFill/>
                    </a:ln>
                  </pic:spPr>
                </pic:pic>
              </a:graphicData>
            </a:graphic>
          </wp:inline>
        </w:drawing>
      </w:r>
    </w:p>
    <w:p w14:paraId="2D037AE3" w14:textId="77777777" w:rsidR="001F1917" w:rsidRDefault="00B368C8" w:rsidP="001F1917">
      <w:pPr>
        <w:jc w:val="center"/>
      </w:pPr>
      <w:r>
        <w:t>Figure 2: Utility Communication Services by Type and Building Block</w:t>
      </w:r>
    </w:p>
    <w:p w14:paraId="798E1BC5" w14:textId="77777777" w:rsidR="001F1917" w:rsidRPr="00B368C8" w:rsidRDefault="001F1917" w:rsidP="001F1917">
      <w:r>
        <w:t>Supervisory Control and Data Acquisition (SCADA) applications include Energy Management Systems</w:t>
      </w:r>
      <w:r w:rsidR="00B368C8">
        <w:t xml:space="preserve"> and Distributed Management Systems in the figure above. These are real-time processes that monitor and control remote systems. SCADA, as standardized by the IEC defines application layer standards (both for the SCADA application, its enablers and interfaces to user processes “above” the application layer.) These applications run over </w:t>
      </w:r>
      <w:r w:rsidR="00B368C8">
        <w:rPr>
          <w:i/>
        </w:rPr>
        <w:t>any access</w:t>
      </w:r>
      <w:r w:rsidR="00B368C8">
        <w:t xml:space="preserve"> that can support TCP/IP. This is indicative of the overall landscape. Communications for the Smart Grid is flexible – it can use whatever access satisfies the constraints of the utility operator.</w:t>
      </w:r>
    </w:p>
    <w:p w14:paraId="5BCC5571" w14:textId="335B364E" w:rsidR="00CC0681" w:rsidRDefault="00A92805" w:rsidP="00B4181D">
      <w:r>
        <w:t xml:space="preserve">Standards have been developed </w:t>
      </w:r>
      <w:r w:rsidR="00CC0681">
        <w:t>to address</w:t>
      </w:r>
      <w:r>
        <w:t xml:space="preserve"> many of the requirements for the electrical system</w:t>
      </w:r>
      <w:r w:rsidR="00CC0681">
        <w:t xml:space="preserve"> (to provide the services</w:t>
      </w:r>
      <w:r w:rsidR="00B368C8">
        <w:t xml:space="preserve"> in Figure 2, and more</w:t>
      </w:r>
      <w:r w:rsidR="00CC0681">
        <w:t>)</w:t>
      </w:r>
      <w:r>
        <w:t xml:space="preserve"> by the IEC, NIST, IEEE and EU (CENELEC</w:t>
      </w:r>
      <w:r w:rsidR="00CC0681">
        <w:t>, ETSI</w:t>
      </w:r>
      <w:r>
        <w:t xml:space="preserve">). These cover metering, monitoring, control, communications, operations, testing and more. There are even areas in which particular communication stacks have been developed and standardized </w:t>
      </w:r>
      <w:r w:rsidR="00D73CA4">
        <w:t>–</w:t>
      </w:r>
      <w:r>
        <w:t xml:space="preserve"> </w:t>
      </w:r>
      <w:r w:rsidR="00D73CA4">
        <w:t>e.g. ITU-T G.9904</w:t>
      </w:r>
      <w:r w:rsidR="00CC0681">
        <w:t xml:space="preserve"> [3], a narrowband standard</w:t>
      </w:r>
      <w:r w:rsidR="00D73CA4">
        <w:t xml:space="preserve"> for power line communication</w:t>
      </w:r>
      <w:r w:rsidR="00CC0681">
        <w:t xml:space="preserve"> (PLC) in premises, largely for smart metering</w:t>
      </w:r>
      <w:r w:rsidR="00D73CA4">
        <w:t>.</w:t>
      </w:r>
      <w:r w:rsidR="00CC0681">
        <w:t xml:space="preserve"> This is only one of </w:t>
      </w:r>
      <w:r w:rsidR="00CC0681" w:rsidRPr="00CC0681">
        <w:rPr>
          <w:i/>
        </w:rPr>
        <w:t>many</w:t>
      </w:r>
      <w:r w:rsidR="00CC0681">
        <w:t xml:space="preserve"> access networks used at the Consumption level of the electrical system, let alone the overall system. It is out of scope of this document to even outline the diversity of access networks, but they include fixed networks (e.g. </w:t>
      </w:r>
      <w:proofErr w:type="spellStart"/>
      <w:r w:rsidR="00CC0681">
        <w:t>xDSL</w:t>
      </w:r>
      <w:proofErr w:type="spellEnd"/>
      <w:r w:rsidR="00CC0681">
        <w:t xml:space="preserve">), mobile telecommunications networks (2G, 3G and 4G), optical fiber, satellite communication and more. </w:t>
      </w:r>
      <w:r w:rsidR="00A536C4">
        <w:t>Please note that it is not assumed, nor ever been the case, that any single access technology will suit all needs in the utility communication sector.</w:t>
      </w:r>
    </w:p>
    <w:p w14:paraId="48F6BA13" w14:textId="77777777" w:rsidR="00A2470F" w:rsidRDefault="00CC0681" w:rsidP="00B4181D">
      <w:r>
        <w:t xml:space="preserve">Which </w:t>
      </w:r>
      <w:r w:rsidR="00B368C8">
        <w:t xml:space="preserve">communications </w:t>
      </w:r>
      <w:r>
        <w:t>technology is used for which link depends on several factors, which is really the topic of this discussion paper.</w:t>
      </w:r>
    </w:p>
    <w:p w14:paraId="3C4D4591" w14:textId="77777777" w:rsidR="00943FFB" w:rsidRDefault="00B368C8" w:rsidP="00442626">
      <w:pPr>
        <w:spacing w:after="120"/>
      </w:pPr>
      <w:r>
        <w:t xml:space="preserve">There is a great diversity of services and operating </w:t>
      </w:r>
      <w:r w:rsidR="00943FFB">
        <w:t>scenarios</w:t>
      </w:r>
      <w:r>
        <w:t xml:space="preserve"> related to Smart Grid. Deployment and development in this field focus on only some services; there is no definitive list of services and their requirements. </w:t>
      </w:r>
      <w:r w:rsidR="00943FFB">
        <w:t xml:space="preserve">The purpose of this paper is to focus on the opportunity for mobile telecommunications to support a broader range of services and use cases for Smart Grid and Utility Communication in general. </w:t>
      </w:r>
    </w:p>
    <w:p w14:paraId="7B729D45" w14:textId="77777777" w:rsidR="00943FFB" w:rsidRDefault="00943FFB" w:rsidP="00442626">
      <w:pPr>
        <w:spacing w:after="120"/>
      </w:pPr>
      <w:r>
        <w:t>There are general characteristics of a communication system that make it more attractive for utility service providers:</w:t>
      </w:r>
    </w:p>
    <w:p w14:paraId="770858D9" w14:textId="77777777" w:rsidR="00943FFB" w:rsidRDefault="00D52FDE" w:rsidP="00442626">
      <w:pPr>
        <w:numPr>
          <w:ilvl w:val="0"/>
          <w:numId w:val="4"/>
        </w:numPr>
        <w:spacing w:after="120"/>
      </w:pPr>
      <w:r w:rsidRPr="00EE4B0C">
        <w:rPr>
          <w:b/>
        </w:rPr>
        <w:t>‘Ubiquitous’ coverage</w:t>
      </w:r>
      <w:r>
        <w:t xml:space="preserve"> – this is important for monitoring transit networks and management of operations in remote area.</w:t>
      </w:r>
    </w:p>
    <w:p w14:paraId="01BB20F4" w14:textId="00F6FC25" w:rsidR="00D52FDE" w:rsidRDefault="00D52FDE" w:rsidP="00442626">
      <w:pPr>
        <w:numPr>
          <w:ilvl w:val="0"/>
          <w:numId w:val="4"/>
        </w:numPr>
        <w:spacing w:after="120"/>
      </w:pPr>
      <w:r>
        <w:t xml:space="preserve">The </w:t>
      </w:r>
      <w:r w:rsidR="00090433">
        <w:rPr>
          <w:b/>
        </w:rPr>
        <w:t>Service Lifetime</w:t>
      </w:r>
      <w:r>
        <w:t xml:space="preserve"> of </w:t>
      </w:r>
      <w:r w:rsidR="0028267B">
        <w:t>utilities is much greater than in most commercial sectors that require communication services. This relates to the previous point (where CAPEX and OPEX must be minimized.)</w:t>
      </w:r>
      <w:r w:rsidR="00EE4B0C">
        <w:t xml:space="preserve"> Investments for components of the power distribution system can exceed 40 years expected operation.</w:t>
      </w:r>
    </w:p>
    <w:p w14:paraId="02EBE0C0" w14:textId="77777777" w:rsidR="00CB01AA" w:rsidRDefault="00CB01AA" w:rsidP="00442626">
      <w:pPr>
        <w:numPr>
          <w:ilvl w:val="0"/>
          <w:numId w:val="4"/>
        </w:numPr>
        <w:spacing w:after="120"/>
      </w:pPr>
      <w:r w:rsidRPr="00CB01AA">
        <w:rPr>
          <w:b/>
        </w:rPr>
        <w:t>Communications Security</w:t>
      </w:r>
      <w:r>
        <w:t xml:space="preserve"> aspects of the infrastructure become much more important as Smart Grid services are deployed. This is an area in which utility providers need to invest much more attention and investment than they have in the past.</w:t>
      </w:r>
    </w:p>
    <w:p w14:paraId="2E19CA65" w14:textId="77777777" w:rsidR="00E259C1" w:rsidRDefault="0027395B" w:rsidP="00442626">
      <w:pPr>
        <w:numPr>
          <w:ilvl w:val="0"/>
          <w:numId w:val="4"/>
        </w:numPr>
        <w:spacing w:after="120"/>
      </w:pPr>
      <w:r>
        <w:rPr>
          <w:b/>
        </w:rPr>
        <w:t>Resilience</w:t>
      </w:r>
      <w:r w:rsidR="00E259C1">
        <w:t xml:space="preserve"> is related to availability, but this focusses on the ability of the communications service to be restored in case of failure.</w:t>
      </w:r>
    </w:p>
    <w:p w14:paraId="2E764859" w14:textId="77777777" w:rsidR="00B368C8" w:rsidRDefault="00943FFB" w:rsidP="00442626">
      <w:pPr>
        <w:spacing w:after="120"/>
      </w:pPr>
      <w:r>
        <w:t>For this reason a few indicative services will be discussed that show the possibility for increased involvement of telecommunication in this sector. Highly promising scenarios are selected, to make the case for a study in SA1 as clearly as possible.</w:t>
      </w:r>
      <w:r w:rsidR="00B368C8">
        <w:t xml:space="preserve"> </w:t>
      </w:r>
    </w:p>
    <w:p w14:paraId="0AC2515B" w14:textId="77777777" w:rsidR="00943FFB" w:rsidRDefault="00CC5210" w:rsidP="00442626">
      <w:pPr>
        <w:numPr>
          <w:ilvl w:val="0"/>
          <w:numId w:val="5"/>
        </w:numPr>
        <w:spacing w:after="120"/>
      </w:pPr>
      <w:r>
        <w:t>Energy Management System</w:t>
      </w:r>
      <w:r w:rsidR="00943FFB">
        <w:t>s</w:t>
      </w:r>
      <w:r>
        <w:t xml:space="preserve"> Operation</w:t>
      </w:r>
    </w:p>
    <w:p w14:paraId="5BB7CD6C" w14:textId="77777777" w:rsidR="005D6BDA" w:rsidRDefault="00CC5210" w:rsidP="00442626">
      <w:pPr>
        <w:spacing w:after="120"/>
        <w:ind w:left="360"/>
      </w:pPr>
      <w:r>
        <w:t>Electrical generation operates as a critical component to the electrical grid. Beyond adjusting the quantity of power produced, the quality must be adjusted (characteristics of the current, etc.) Key Performance Indicators for this domain are:</w:t>
      </w:r>
    </w:p>
    <w:p w14:paraId="35509F5F" w14:textId="25BDF3E0" w:rsidR="00CC5210" w:rsidRDefault="00CC5210" w:rsidP="00442626">
      <w:pPr>
        <w:numPr>
          <w:ilvl w:val="0"/>
          <w:numId w:val="6"/>
        </w:numPr>
        <w:spacing w:after="120"/>
      </w:pPr>
      <w:r w:rsidRPr="00CC5210">
        <w:rPr>
          <w:b/>
        </w:rPr>
        <w:lastRenderedPageBreak/>
        <w:t>Availability</w:t>
      </w:r>
      <w:r>
        <w:t xml:space="preserve">: While there is not yet an agreed framework for reliability targets for smart grid services, it is broadly assumed that the </w:t>
      </w:r>
      <w:r w:rsidR="00EE4B0C">
        <w:t>strictest (most critical)</w:t>
      </w:r>
      <w:r>
        <w:t xml:space="preserve"> services may require 99.999% availability. [4]</w:t>
      </w:r>
      <w:r w:rsidR="00A536C4">
        <w:t xml:space="preserve"> This is a fundamental quality of service key performance indicator for Smart Grid services. The use of </w:t>
      </w:r>
      <w:proofErr w:type="spellStart"/>
      <w:r w:rsidR="00A536C4">
        <w:t>QoS</w:t>
      </w:r>
      <w:proofErr w:type="spellEnd"/>
      <w:r w:rsidR="00A536C4">
        <w:t xml:space="preserve"> (granularity of measurement, reporting and actions expected when requirements cannot be achieved) would be topics of study in SA1.</w:t>
      </w:r>
    </w:p>
    <w:p w14:paraId="70FED201" w14:textId="2A105B98" w:rsidR="00CC5210" w:rsidRDefault="00CC5210" w:rsidP="00442626">
      <w:pPr>
        <w:numPr>
          <w:ilvl w:val="0"/>
          <w:numId w:val="6"/>
        </w:numPr>
        <w:spacing w:after="120"/>
      </w:pPr>
      <w:r>
        <w:rPr>
          <w:b/>
        </w:rPr>
        <w:t>Latency</w:t>
      </w:r>
      <w:r>
        <w:t>:</w:t>
      </w:r>
      <w:r w:rsidR="004D45F9">
        <w:t xml:space="preserve"> </w:t>
      </w:r>
      <w:r>
        <w:t xml:space="preserve">  </w:t>
      </w:r>
      <w:r w:rsidR="004D45F9">
        <w:t>As low as 6</w:t>
      </w:r>
      <w:r w:rsidR="0078182F">
        <w:t xml:space="preserve"> </w:t>
      </w:r>
      <w:proofErr w:type="spellStart"/>
      <w:r w:rsidR="004D45F9">
        <w:t>ms</w:t>
      </w:r>
      <w:proofErr w:type="spellEnd"/>
      <w:r w:rsidR="004D45F9">
        <w:t xml:space="preserve"> round trip for ‘tele-protection’ services.</w:t>
      </w:r>
    </w:p>
    <w:p w14:paraId="7ACB700A" w14:textId="3E0ACD03" w:rsidR="00943FFB" w:rsidRDefault="00943FFB" w:rsidP="00442626">
      <w:pPr>
        <w:numPr>
          <w:ilvl w:val="0"/>
          <w:numId w:val="5"/>
        </w:numPr>
        <w:spacing w:after="120"/>
      </w:pPr>
      <w:r>
        <w:t>Distributed Automation of Distribution Networks</w:t>
      </w:r>
      <w:r w:rsidR="00177354">
        <w:t>,</w:t>
      </w:r>
      <w:r>
        <w:t xml:space="preserve"> given Distributed Generation with renewable sources and Energy Storage</w:t>
      </w:r>
      <w:r w:rsidR="00177354">
        <w:t xml:space="preserve"> (Grid Edge technologies)</w:t>
      </w:r>
    </w:p>
    <w:p w14:paraId="69961D40" w14:textId="77777777" w:rsidR="00442626" w:rsidRDefault="00CB01AA" w:rsidP="00442626">
      <w:pPr>
        <w:spacing w:after="120"/>
        <w:ind w:left="360"/>
      </w:pPr>
      <w:r>
        <w:t xml:space="preserve">Communications </w:t>
      </w:r>
      <w:r w:rsidR="006A774F">
        <w:t xml:space="preserve">exist already in power distribution, based on the monitoring demands of a unidirectional power system (Generation → Transmission → Distribution → Consumption.) </w:t>
      </w:r>
      <w:r w:rsidR="00442626">
        <w:t>In this system, the amount of data that needs to be transmitted is modest.</w:t>
      </w:r>
    </w:p>
    <w:p w14:paraId="3EED1690" w14:textId="77777777" w:rsidR="00442626" w:rsidRDefault="006A774F" w:rsidP="004D45F9">
      <w:pPr>
        <w:spacing w:after="240"/>
        <w:ind w:left="360"/>
      </w:pPr>
      <w:r>
        <w:t xml:space="preserve">This system becomes much more complex as distributed generation and power storage </w:t>
      </w:r>
      <w:r w:rsidR="00442626">
        <w:t xml:space="preserve">is added to the overall system, as the flows now change </w:t>
      </w:r>
      <w:r w:rsidR="00442626">
        <w:rPr>
          <w:i/>
        </w:rPr>
        <w:t xml:space="preserve">into </w:t>
      </w:r>
      <w:r w:rsidR="00442626">
        <w:t xml:space="preserve">the system. This presents many more opportunities for failure, introduction of poor </w:t>
      </w:r>
      <w:r w:rsidR="00442626">
        <w:rPr>
          <w:i/>
        </w:rPr>
        <w:t>quality</w:t>
      </w:r>
      <w:r w:rsidR="00442626">
        <w:t xml:space="preserve"> power (voltage and current characteristics,) and challenges for monitoring in general. This increases the demand for communications capacity significantly. Another factor that is expected to increase the amount of data to be communicated is encryption and other security services applied to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1806"/>
        <w:gridCol w:w="1620"/>
        <w:gridCol w:w="1217"/>
        <w:gridCol w:w="1123"/>
      </w:tblGrid>
      <w:tr w:rsidR="00D4790A" w:rsidRPr="004D45F9" w14:paraId="50EA5F2F" w14:textId="77777777" w:rsidTr="004D45F9">
        <w:trPr>
          <w:jc w:val="center"/>
        </w:trPr>
        <w:tc>
          <w:tcPr>
            <w:tcW w:w="2298" w:type="dxa"/>
            <w:shd w:val="clear" w:color="auto" w:fill="auto"/>
          </w:tcPr>
          <w:p w14:paraId="288764E3" w14:textId="77777777" w:rsidR="00D4790A" w:rsidRPr="004D45F9" w:rsidRDefault="00D4790A" w:rsidP="004D45F9">
            <w:pPr>
              <w:spacing w:after="120"/>
              <w:rPr>
                <w:b/>
              </w:rPr>
            </w:pPr>
            <w:r w:rsidRPr="004D45F9">
              <w:rPr>
                <w:b/>
              </w:rPr>
              <w:t>Service</w:t>
            </w:r>
          </w:p>
        </w:tc>
        <w:tc>
          <w:tcPr>
            <w:tcW w:w="1806" w:type="dxa"/>
            <w:shd w:val="clear" w:color="auto" w:fill="auto"/>
          </w:tcPr>
          <w:p w14:paraId="6D361262" w14:textId="77777777" w:rsidR="00D4790A" w:rsidRPr="004D45F9" w:rsidRDefault="00D4790A" w:rsidP="004D45F9">
            <w:pPr>
              <w:spacing w:after="120"/>
              <w:rPr>
                <w:b/>
              </w:rPr>
            </w:pPr>
            <w:r w:rsidRPr="004D45F9">
              <w:rPr>
                <w:b/>
              </w:rPr>
              <w:t>Bandwidth (kbps)</w:t>
            </w:r>
          </w:p>
        </w:tc>
        <w:tc>
          <w:tcPr>
            <w:tcW w:w="1620" w:type="dxa"/>
            <w:shd w:val="clear" w:color="auto" w:fill="auto"/>
          </w:tcPr>
          <w:p w14:paraId="4E6C231A" w14:textId="77777777" w:rsidR="00D4790A" w:rsidRPr="004D45F9" w:rsidRDefault="00D4790A" w:rsidP="004D45F9">
            <w:pPr>
              <w:spacing w:after="120"/>
              <w:rPr>
                <w:b/>
              </w:rPr>
            </w:pPr>
            <w:r w:rsidRPr="004D45F9">
              <w:rPr>
                <w:b/>
              </w:rPr>
              <w:t xml:space="preserve">Latency </w:t>
            </w:r>
          </w:p>
        </w:tc>
        <w:tc>
          <w:tcPr>
            <w:tcW w:w="1217" w:type="dxa"/>
            <w:shd w:val="clear" w:color="auto" w:fill="auto"/>
          </w:tcPr>
          <w:p w14:paraId="258B6CB2" w14:textId="77777777" w:rsidR="00D4790A" w:rsidRPr="004D45F9" w:rsidRDefault="00D4790A" w:rsidP="004D45F9">
            <w:pPr>
              <w:spacing w:after="120"/>
              <w:rPr>
                <w:b/>
              </w:rPr>
            </w:pPr>
            <w:r w:rsidRPr="004D45F9">
              <w:rPr>
                <w:b/>
              </w:rPr>
              <w:t>Availability</w:t>
            </w:r>
          </w:p>
        </w:tc>
        <w:tc>
          <w:tcPr>
            <w:tcW w:w="1123" w:type="dxa"/>
            <w:shd w:val="clear" w:color="auto" w:fill="auto"/>
          </w:tcPr>
          <w:p w14:paraId="70D5B0BE" w14:textId="77777777" w:rsidR="00D4790A" w:rsidRPr="004D45F9" w:rsidRDefault="00D4790A" w:rsidP="004D45F9">
            <w:pPr>
              <w:spacing w:after="120"/>
              <w:rPr>
                <w:b/>
              </w:rPr>
            </w:pPr>
            <w:r w:rsidRPr="004D45F9">
              <w:rPr>
                <w:b/>
              </w:rPr>
              <w:t>Security</w:t>
            </w:r>
          </w:p>
        </w:tc>
      </w:tr>
      <w:tr w:rsidR="00D4790A" w14:paraId="46E21D1E" w14:textId="77777777" w:rsidTr="004D45F9">
        <w:trPr>
          <w:jc w:val="center"/>
        </w:trPr>
        <w:tc>
          <w:tcPr>
            <w:tcW w:w="2298" w:type="dxa"/>
            <w:shd w:val="clear" w:color="auto" w:fill="auto"/>
          </w:tcPr>
          <w:p w14:paraId="4A527925" w14:textId="77777777" w:rsidR="00D4790A" w:rsidRDefault="00D4790A" w:rsidP="004D45F9">
            <w:pPr>
              <w:spacing w:after="120"/>
            </w:pPr>
            <w:r>
              <w:t>Advanced Metering Infrastructure</w:t>
            </w:r>
          </w:p>
        </w:tc>
        <w:tc>
          <w:tcPr>
            <w:tcW w:w="1806" w:type="dxa"/>
            <w:shd w:val="clear" w:color="auto" w:fill="auto"/>
          </w:tcPr>
          <w:p w14:paraId="58FE6FEF" w14:textId="77777777" w:rsidR="00D4790A" w:rsidRDefault="00D4790A" w:rsidP="004D45F9">
            <w:pPr>
              <w:spacing w:after="120"/>
            </w:pPr>
            <w:r>
              <w:t>10-100</w:t>
            </w:r>
          </w:p>
        </w:tc>
        <w:tc>
          <w:tcPr>
            <w:tcW w:w="1620" w:type="dxa"/>
            <w:shd w:val="clear" w:color="auto" w:fill="auto"/>
          </w:tcPr>
          <w:p w14:paraId="34190874" w14:textId="77777777" w:rsidR="00D4790A" w:rsidRDefault="00D4790A" w:rsidP="004D45F9">
            <w:pPr>
              <w:spacing w:after="120"/>
            </w:pPr>
            <w:r>
              <w:t>2-15 sec</w:t>
            </w:r>
          </w:p>
        </w:tc>
        <w:tc>
          <w:tcPr>
            <w:tcW w:w="1217" w:type="dxa"/>
            <w:shd w:val="clear" w:color="auto" w:fill="auto"/>
          </w:tcPr>
          <w:p w14:paraId="3F6621CF" w14:textId="77777777" w:rsidR="00D4790A" w:rsidRDefault="00D4790A" w:rsidP="004D45F9">
            <w:pPr>
              <w:spacing w:after="120"/>
            </w:pPr>
            <w:r>
              <w:t>99-99.99</w:t>
            </w:r>
          </w:p>
        </w:tc>
        <w:tc>
          <w:tcPr>
            <w:tcW w:w="1123" w:type="dxa"/>
            <w:shd w:val="clear" w:color="auto" w:fill="auto"/>
          </w:tcPr>
          <w:p w14:paraId="4C2BC99B" w14:textId="77777777" w:rsidR="00D4790A" w:rsidRDefault="00D4790A" w:rsidP="004D45F9">
            <w:pPr>
              <w:spacing w:after="120"/>
            </w:pPr>
            <w:r>
              <w:t>High</w:t>
            </w:r>
          </w:p>
        </w:tc>
      </w:tr>
      <w:tr w:rsidR="00D4790A" w14:paraId="26F8C58D" w14:textId="77777777" w:rsidTr="004D45F9">
        <w:trPr>
          <w:jc w:val="center"/>
        </w:trPr>
        <w:tc>
          <w:tcPr>
            <w:tcW w:w="2298" w:type="dxa"/>
            <w:shd w:val="clear" w:color="auto" w:fill="auto"/>
          </w:tcPr>
          <w:p w14:paraId="6B83F19F" w14:textId="77777777" w:rsidR="00D4790A" w:rsidRDefault="00D4790A" w:rsidP="004D45F9">
            <w:pPr>
              <w:spacing w:after="120"/>
            </w:pPr>
            <w:r>
              <w:t>Distribution Automation</w:t>
            </w:r>
          </w:p>
        </w:tc>
        <w:tc>
          <w:tcPr>
            <w:tcW w:w="1806" w:type="dxa"/>
            <w:shd w:val="clear" w:color="auto" w:fill="auto"/>
          </w:tcPr>
          <w:p w14:paraId="3FD945EA" w14:textId="77777777" w:rsidR="00D4790A" w:rsidRDefault="00D4790A" w:rsidP="004D45F9">
            <w:pPr>
              <w:spacing w:after="120"/>
            </w:pPr>
            <w:r>
              <w:t>9.6-100</w:t>
            </w:r>
          </w:p>
        </w:tc>
        <w:tc>
          <w:tcPr>
            <w:tcW w:w="1620" w:type="dxa"/>
            <w:shd w:val="clear" w:color="auto" w:fill="auto"/>
          </w:tcPr>
          <w:p w14:paraId="0D5C043E" w14:textId="77777777" w:rsidR="00D4790A" w:rsidRDefault="00D4790A" w:rsidP="004D45F9">
            <w:pPr>
              <w:spacing w:after="120"/>
            </w:pPr>
            <w:r>
              <w:t>100ms-2 sec</w:t>
            </w:r>
          </w:p>
        </w:tc>
        <w:tc>
          <w:tcPr>
            <w:tcW w:w="1217" w:type="dxa"/>
            <w:shd w:val="clear" w:color="auto" w:fill="auto"/>
          </w:tcPr>
          <w:p w14:paraId="1E1B7706" w14:textId="77777777" w:rsidR="00D4790A" w:rsidRDefault="00D4790A" w:rsidP="004D45F9">
            <w:pPr>
              <w:spacing w:after="120"/>
            </w:pPr>
            <w:r>
              <w:t>99-99.999</w:t>
            </w:r>
          </w:p>
        </w:tc>
        <w:tc>
          <w:tcPr>
            <w:tcW w:w="1123" w:type="dxa"/>
            <w:shd w:val="clear" w:color="auto" w:fill="auto"/>
          </w:tcPr>
          <w:p w14:paraId="1EB1D302" w14:textId="77777777" w:rsidR="00D4790A" w:rsidRDefault="00D4790A" w:rsidP="00D4790A">
            <w:r w:rsidRPr="00306C6D">
              <w:t>High</w:t>
            </w:r>
          </w:p>
        </w:tc>
      </w:tr>
      <w:tr w:rsidR="00D4790A" w14:paraId="07CD9AE2" w14:textId="77777777" w:rsidTr="004D45F9">
        <w:trPr>
          <w:jc w:val="center"/>
        </w:trPr>
        <w:tc>
          <w:tcPr>
            <w:tcW w:w="2298" w:type="dxa"/>
            <w:shd w:val="clear" w:color="auto" w:fill="auto"/>
          </w:tcPr>
          <w:p w14:paraId="30BF7330" w14:textId="77777777" w:rsidR="00D4790A" w:rsidRDefault="00D4790A" w:rsidP="004D45F9">
            <w:pPr>
              <w:spacing w:after="120"/>
            </w:pPr>
            <w:r>
              <w:t>Demand Response</w:t>
            </w:r>
          </w:p>
        </w:tc>
        <w:tc>
          <w:tcPr>
            <w:tcW w:w="1806" w:type="dxa"/>
            <w:shd w:val="clear" w:color="auto" w:fill="auto"/>
          </w:tcPr>
          <w:p w14:paraId="3BB2BE6C" w14:textId="77777777" w:rsidR="00D4790A" w:rsidRDefault="00D4790A" w:rsidP="004D45F9">
            <w:pPr>
              <w:spacing w:after="120"/>
            </w:pPr>
            <w:r>
              <w:t>14-100</w:t>
            </w:r>
          </w:p>
        </w:tc>
        <w:tc>
          <w:tcPr>
            <w:tcW w:w="1620" w:type="dxa"/>
            <w:shd w:val="clear" w:color="auto" w:fill="auto"/>
          </w:tcPr>
          <w:p w14:paraId="534001BC" w14:textId="77777777" w:rsidR="00D4790A" w:rsidRDefault="00D4790A" w:rsidP="004D45F9">
            <w:pPr>
              <w:spacing w:after="120"/>
            </w:pPr>
            <w:r>
              <w:t>500ms-minutes</w:t>
            </w:r>
          </w:p>
        </w:tc>
        <w:tc>
          <w:tcPr>
            <w:tcW w:w="1217" w:type="dxa"/>
            <w:shd w:val="clear" w:color="auto" w:fill="auto"/>
          </w:tcPr>
          <w:p w14:paraId="598F7498" w14:textId="77777777" w:rsidR="00D4790A" w:rsidRDefault="00D4790A" w:rsidP="004D45F9">
            <w:pPr>
              <w:spacing w:after="120"/>
            </w:pPr>
            <w:r>
              <w:t>99-99.99</w:t>
            </w:r>
          </w:p>
        </w:tc>
        <w:tc>
          <w:tcPr>
            <w:tcW w:w="1123" w:type="dxa"/>
            <w:shd w:val="clear" w:color="auto" w:fill="auto"/>
          </w:tcPr>
          <w:p w14:paraId="6F78C940" w14:textId="77777777" w:rsidR="00D4790A" w:rsidRDefault="00D4790A" w:rsidP="00D4790A">
            <w:r w:rsidRPr="00306C6D">
              <w:t>High</w:t>
            </w:r>
          </w:p>
        </w:tc>
      </w:tr>
      <w:tr w:rsidR="00D4790A" w14:paraId="34FAF28D" w14:textId="77777777" w:rsidTr="004D45F9">
        <w:trPr>
          <w:jc w:val="center"/>
        </w:trPr>
        <w:tc>
          <w:tcPr>
            <w:tcW w:w="2298" w:type="dxa"/>
            <w:shd w:val="clear" w:color="auto" w:fill="auto"/>
          </w:tcPr>
          <w:p w14:paraId="75BB82AD" w14:textId="77777777" w:rsidR="00D4790A" w:rsidRDefault="00D4790A" w:rsidP="004D45F9">
            <w:pPr>
              <w:spacing w:after="120"/>
            </w:pPr>
            <w:r>
              <w:t>Distributed Generation</w:t>
            </w:r>
          </w:p>
        </w:tc>
        <w:tc>
          <w:tcPr>
            <w:tcW w:w="1806" w:type="dxa"/>
            <w:shd w:val="clear" w:color="auto" w:fill="auto"/>
          </w:tcPr>
          <w:p w14:paraId="359117FE" w14:textId="77777777" w:rsidR="00D4790A" w:rsidRDefault="00D4790A" w:rsidP="004D45F9">
            <w:pPr>
              <w:spacing w:after="120"/>
            </w:pPr>
            <w:r>
              <w:t>9.6-56</w:t>
            </w:r>
          </w:p>
        </w:tc>
        <w:tc>
          <w:tcPr>
            <w:tcW w:w="1620" w:type="dxa"/>
            <w:shd w:val="clear" w:color="auto" w:fill="auto"/>
          </w:tcPr>
          <w:p w14:paraId="1A52298B" w14:textId="77777777" w:rsidR="00D4790A" w:rsidRDefault="00D4790A" w:rsidP="004D45F9">
            <w:pPr>
              <w:spacing w:after="120"/>
            </w:pPr>
            <w:r>
              <w:t>20ms-15 sec</w:t>
            </w:r>
          </w:p>
        </w:tc>
        <w:tc>
          <w:tcPr>
            <w:tcW w:w="1217" w:type="dxa"/>
            <w:shd w:val="clear" w:color="auto" w:fill="auto"/>
          </w:tcPr>
          <w:p w14:paraId="5D106ACC" w14:textId="77777777" w:rsidR="00D4790A" w:rsidRDefault="00D4790A" w:rsidP="004D45F9">
            <w:pPr>
              <w:spacing w:after="120"/>
            </w:pPr>
            <w:r>
              <w:t>99-99.99</w:t>
            </w:r>
          </w:p>
        </w:tc>
        <w:tc>
          <w:tcPr>
            <w:tcW w:w="1123" w:type="dxa"/>
            <w:shd w:val="clear" w:color="auto" w:fill="auto"/>
          </w:tcPr>
          <w:p w14:paraId="59DE01E1" w14:textId="77777777" w:rsidR="00D4790A" w:rsidRDefault="00D4790A" w:rsidP="00D4790A">
            <w:r w:rsidRPr="00306C6D">
              <w:t>High</w:t>
            </w:r>
          </w:p>
        </w:tc>
      </w:tr>
      <w:tr w:rsidR="00D4790A" w14:paraId="185C5CE3" w14:textId="77777777" w:rsidTr="004D45F9">
        <w:trPr>
          <w:jc w:val="center"/>
        </w:trPr>
        <w:tc>
          <w:tcPr>
            <w:tcW w:w="2298" w:type="dxa"/>
            <w:shd w:val="clear" w:color="auto" w:fill="auto"/>
          </w:tcPr>
          <w:p w14:paraId="1A37CE96" w14:textId="77777777" w:rsidR="00D4790A" w:rsidRDefault="00D4790A" w:rsidP="004D45F9">
            <w:pPr>
              <w:spacing w:after="120"/>
            </w:pPr>
            <w:r>
              <w:t>Electric Vehicles</w:t>
            </w:r>
          </w:p>
        </w:tc>
        <w:tc>
          <w:tcPr>
            <w:tcW w:w="1806" w:type="dxa"/>
            <w:shd w:val="clear" w:color="auto" w:fill="auto"/>
          </w:tcPr>
          <w:p w14:paraId="69FD0F48" w14:textId="77777777" w:rsidR="00D4790A" w:rsidRDefault="00D4790A" w:rsidP="004D45F9">
            <w:pPr>
              <w:spacing w:after="120"/>
            </w:pPr>
            <w:r>
              <w:t>9.6-56</w:t>
            </w:r>
          </w:p>
        </w:tc>
        <w:tc>
          <w:tcPr>
            <w:tcW w:w="1620" w:type="dxa"/>
            <w:shd w:val="clear" w:color="auto" w:fill="auto"/>
          </w:tcPr>
          <w:p w14:paraId="2C401F3D" w14:textId="77777777" w:rsidR="00D4790A" w:rsidRDefault="00D4790A" w:rsidP="004D45F9">
            <w:pPr>
              <w:spacing w:after="120"/>
            </w:pPr>
            <w:r>
              <w:t>2-300 sec</w:t>
            </w:r>
          </w:p>
        </w:tc>
        <w:tc>
          <w:tcPr>
            <w:tcW w:w="1217" w:type="dxa"/>
            <w:shd w:val="clear" w:color="auto" w:fill="auto"/>
          </w:tcPr>
          <w:p w14:paraId="32FB3815" w14:textId="77777777" w:rsidR="00D4790A" w:rsidRDefault="00D4790A" w:rsidP="004D45F9">
            <w:pPr>
              <w:spacing w:after="120"/>
            </w:pPr>
            <w:r>
              <w:t>99-99.99</w:t>
            </w:r>
          </w:p>
        </w:tc>
        <w:tc>
          <w:tcPr>
            <w:tcW w:w="1123" w:type="dxa"/>
            <w:shd w:val="clear" w:color="auto" w:fill="auto"/>
          </w:tcPr>
          <w:p w14:paraId="6AA35E0F" w14:textId="77777777" w:rsidR="00D4790A" w:rsidRDefault="00D4790A" w:rsidP="004D45F9">
            <w:pPr>
              <w:spacing w:after="120"/>
            </w:pPr>
            <w:r>
              <w:t>Moderate</w:t>
            </w:r>
          </w:p>
        </w:tc>
      </w:tr>
    </w:tbl>
    <w:p w14:paraId="2A643879" w14:textId="77777777" w:rsidR="00E259C1" w:rsidRPr="00442626" w:rsidRDefault="00D4790A" w:rsidP="00D4790A">
      <w:pPr>
        <w:spacing w:before="120" w:after="120"/>
        <w:ind w:left="360"/>
        <w:jc w:val="center"/>
      </w:pPr>
      <w:r>
        <w:t>Figure 3</w:t>
      </w:r>
      <w:r w:rsidR="00E259C1">
        <w:t xml:space="preserve">: Smart Grid Service Requirements </w:t>
      </w:r>
      <w:r>
        <w:t>on</w:t>
      </w:r>
      <w:r w:rsidR="00E259C1">
        <w:t xml:space="preserve"> the Access Network [</w:t>
      </w:r>
      <w:r>
        <w:t>4]</w:t>
      </w:r>
    </w:p>
    <w:p w14:paraId="61D742C9" w14:textId="77777777" w:rsidR="005D6BDA" w:rsidRPr="00CB01AA" w:rsidRDefault="00CB01AA" w:rsidP="00442626">
      <w:pPr>
        <w:pStyle w:val="ListParagraph"/>
        <w:numPr>
          <w:ilvl w:val="0"/>
          <w:numId w:val="6"/>
        </w:numPr>
        <w:spacing w:after="120"/>
        <w:rPr>
          <w:rFonts w:ascii="Times New Roman" w:hAnsi="Times New Roman" w:cs="Times New Roman"/>
        </w:rPr>
      </w:pPr>
      <w:r w:rsidRPr="00CB01AA">
        <w:rPr>
          <w:rFonts w:ascii="Times New Roman" w:hAnsi="Times New Roman" w:cs="Times New Roman"/>
          <w:b/>
          <w:sz w:val="20"/>
        </w:rPr>
        <w:t>Capacity</w:t>
      </w:r>
      <w:r>
        <w:rPr>
          <w:rFonts w:ascii="Times New Roman" w:hAnsi="Times New Roman" w:cs="Times New Roman"/>
          <w:sz w:val="20"/>
        </w:rPr>
        <w:t xml:space="preserve">: </w:t>
      </w:r>
      <w:r w:rsidR="00E259C1">
        <w:rPr>
          <w:rFonts w:ascii="Times New Roman" w:hAnsi="Times New Roman" w:cs="Times New Roman"/>
          <w:sz w:val="20"/>
        </w:rPr>
        <w:t>while this is very modest now, it is expected to increase over time, especially due to the above trends.</w:t>
      </w:r>
      <w:r w:rsidR="004D45F9">
        <w:rPr>
          <w:rFonts w:ascii="Times New Roman" w:hAnsi="Times New Roman" w:cs="Times New Roman"/>
          <w:sz w:val="20"/>
        </w:rPr>
        <w:t xml:space="preserve"> Capacity requirements will grow between 10-100x due to increase in amount of data needed. [5]</w:t>
      </w:r>
    </w:p>
    <w:p w14:paraId="1A2A0824" w14:textId="77777777" w:rsidR="00943FFB" w:rsidRDefault="00943FFB" w:rsidP="00943FFB">
      <w:pPr>
        <w:numPr>
          <w:ilvl w:val="0"/>
          <w:numId w:val="5"/>
        </w:numPr>
      </w:pPr>
      <w:r>
        <w:t>Consumer-Premises integration: Smart Metering and Demand Side Management</w:t>
      </w:r>
    </w:p>
    <w:p w14:paraId="59870EDD" w14:textId="77777777" w:rsidR="00CC5210" w:rsidRDefault="00FA138E" w:rsidP="00FA138E">
      <w:pPr>
        <w:numPr>
          <w:ilvl w:val="0"/>
          <w:numId w:val="6"/>
        </w:numPr>
      </w:pPr>
      <w:r w:rsidRPr="00AD2964">
        <w:rPr>
          <w:b/>
        </w:rPr>
        <w:t>Penetration</w:t>
      </w:r>
      <w:r>
        <w:t>:</w:t>
      </w:r>
      <w:r w:rsidR="004D45F9">
        <w:t xml:space="preserve"> A significant challenge exists to reach power equipment. It is often housed underground or in other inaccessible locations (inaccessible in terms of radio </w:t>
      </w:r>
      <w:proofErr w:type="spellStart"/>
      <w:r w:rsidR="004D45F9">
        <w:t>propogation</w:t>
      </w:r>
      <w:proofErr w:type="spellEnd"/>
      <w:r w:rsidR="004D45F9">
        <w:t xml:space="preserve">.) </w:t>
      </w:r>
    </w:p>
    <w:p w14:paraId="2D52208F" w14:textId="77777777" w:rsidR="004D45F9" w:rsidRPr="004D45F9" w:rsidRDefault="004D45F9" w:rsidP="004D45F9">
      <w:pPr>
        <w:ind w:left="360"/>
      </w:pPr>
      <w:r>
        <w:t xml:space="preserve">One common approach to handling propagation limits is to use a local network (e.g. </w:t>
      </w:r>
      <w:proofErr w:type="spellStart"/>
      <w:r>
        <w:t>Zigbee</w:t>
      </w:r>
      <w:proofErr w:type="spellEnd"/>
      <w:r>
        <w:t>) to reach a number of meters, etc. locally. Local traffic is aggregated and then a ‘gateway’ provides communications access to Smart Grid services.</w:t>
      </w:r>
    </w:p>
    <w:p w14:paraId="42B7D37C" w14:textId="77777777" w:rsidR="00943FFB" w:rsidRDefault="00943FFB" w:rsidP="00B4181D">
      <w:r>
        <w:t xml:space="preserve">There </w:t>
      </w:r>
      <w:r w:rsidR="00D52FDE">
        <w:t>are</w:t>
      </w:r>
      <w:r>
        <w:t xml:space="preserve"> noteworthy opportunit</w:t>
      </w:r>
      <w:r w:rsidR="00D52FDE">
        <w:t>ies</w:t>
      </w:r>
      <w:r>
        <w:t xml:space="preserve"> that utility communication can offer </w:t>
      </w:r>
      <w:r>
        <w:rPr>
          <w:b/>
          <w:i/>
        </w:rPr>
        <w:t xml:space="preserve">to </w:t>
      </w:r>
      <w:r>
        <w:t>the mobile telecommunication sector</w:t>
      </w:r>
      <w:r w:rsidR="00D52FDE">
        <w:t>.</w:t>
      </w:r>
    </w:p>
    <w:p w14:paraId="2139051B" w14:textId="77777777" w:rsidR="00D52FDE" w:rsidRDefault="00D52FDE" w:rsidP="00D52FDE">
      <w:pPr>
        <w:numPr>
          <w:ilvl w:val="0"/>
          <w:numId w:val="4"/>
        </w:numPr>
      </w:pPr>
      <w:r>
        <w:t xml:space="preserve">Utility operators have </w:t>
      </w:r>
      <w:r>
        <w:rPr>
          <w:i/>
        </w:rPr>
        <w:t>physical presence</w:t>
      </w:r>
      <w:r>
        <w:t xml:space="preserve"> especially in populated and developed areas. This includes poles and other points in which communication equipment could potentially be stationed. Further, these places are also supplied </w:t>
      </w:r>
      <w:r>
        <w:rPr>
          <w:i/>
        </w:rPr>
        <w:t>with power</w:t>
      </w:r>
      <w:r>
        <w:t>. This could enable small cell deployment with reduced facility and leasing burden for network operators.</w:t>
      </w:r>
    </w:p>
    <w:p w14:paraId="2385941C" w14:textId="77777777" w:rsidR="00D52FDE" w:rsidRDefault="00D52FDE" w:rsidP="00D52FDE">
      <w:pPr>
        <w:numPr>
          <w:ilvl w:val="0"/>
          <w:numId w:val="4"/>
        </w:numPr>
      </w:pPr>
      <w:r>
        <w:t xml:space="preserve">In some cases, utility providers may have the possibility to leverage their </w:t>
      </w:r>
      <w:r>
        <w:rPr>
          <w:i/>
        </w:rPr>
        <w:t>rights of way</w:t>
      </w:r>
      <w:r>
        <w:t xml:space="preserve"> to carry physical cables, etc. The implications resemble the observations in the previous point, for the purpose of establishing transit network infrastructure.</w:t>
      </w:r>
    </w:p>
    <w:p w14:paraId="568FAB98" w14:textId="77777777" w:rsidR="0028267B" w:rsidRPr="0028267B" w:rsidRDefault="0028267B" w:rsidP="00506E12">
      <w:pPr>
        <w:rPr>
          <w:rFonts w:ascii="Arial" w:hAnsi="Arial" w:cs="Arial"/>
          <w:b/>
          <w:sz w:val="22"/>
        </w:rPr>
      </w:pPr>
      <w:r>
        <w:rPr>
          <w:rFonts w:ascii="Arial" w:hAnsi="Arial" w:cs="Arial"/>
          <w:b/>
          <w:sz w:val="22"/>
        </w:rPr>
        <w:t>Conclusion</w:t>
      </w:r>
    </w:p>
    <w:p w14:paraId="60B6D39D" w14:textId="77777777" w:rsidR="004D45F9" w:rsidRDefault="004D45F9" w:rsidP="00506E12">
      <w:r>
        <w:t>There are affinities between some of the service aspects described above: coverage is a concern also to mission critical services, support for SCADA applications requires ULLRC capabilities as have been developed for CAV in 3GPP.</w:t>
      </w:r>
    </w:p>
    <w:p w14:paraId="60E10F5E" w14:textId="77777777" w:rsidR="006805AF" w:rsidRDefault="006805AF" w:rsidP="00B4181D">
      <w:r>
        <w:t xml:space="preserve">3GPP would not be alone in an effort to study requirements for 5G communication to support the ‘utility communication’ vertical. There are organizations that study and advocate development in this field, the EUTC. In </w:t>
      </w:r>
      <w:r>
        <w:lastRenderedPageBreak/>
        <w:t>addition there is a substantial body of experience and standardization that can be leveraged – from the IEC, IEEE, ITU-T and other organizations.</w:t>
      </w:r>
    </w:p>
    <w:p w14:paraId="3517611E" w14:textId="77777777" w:rsidR="00D52FDE" w:rsidRPr="00943FFB" w:rsidRDefault="00506E12" w:rsidP="00B4181D">
      <w:r>
        <w:t>Based on the above observations, study of significant opportunities brought by mobile telecommunications to the Utility Communication sector could yield very useful results. It is recommended to study particular service use cases that offer clear benefits, where the demand is highest (and fastest growing). The requirements identified for these services can then be assessed and compared to the capabilities of the 5G System. As a result, SA1 could identify new requirements for the 3GPP system.</w:t>
      </w:r>
    </w:p>
    <w:p w14:paraId="5CF578D0" w14:textId="77777777" w:rsidR="004D6436" w:rsidRPr="00080A2E" w:rsidRDefault="004D6436" w:rsidP="00B4181D">
      <w:pPr>
        <w:rPr>
          <w:rFonts w:ascii="Arial" w:hAnsi="Arial" w:cs="Arial"/>
          <w:b/>
          <w:sz w:val="22"/>
        </w:rPr>
      </w:pPr>
      <w:r w:rsidRPr="00080A2E">
        <w:rPr>
          <w:rFonts w:ascii="Arial" w:hAnsi="Arial" w:cs="Arial"/>
          <w:b/>
          <w:sz w:val="22"/>
        </w:rPr>
        <w:t>References</w:t>
      </w:r>
    </w:p>
    <w:p w14:paraId="5028B740" w14:textId="77777777" w:rsidR="004D6436" w:rsidRDefault="004D6436" w:rsidP="00B4181D">
      <w:r>
        <w:t>[</w:t>
      </w:r>
      <w:r w:rsidR="00A2470F">
        <w:t>1</w:t>
      </w:r>
      <w:r>
        <w:t>]</w:t>
      </w:r>
      <w:r w:rsidR="00A2470F">
        <w:t xml:space="preserve"> EU Commission Task Force for Smart Grids, “Expert Group 1: Functionalities of smart grids and smart meters, Final Deliverable”, September 2010[Accessed 05.02.20] </w:t>
      </w:r>
      <w:r>
        <w:t xml:space="preserve"> </w:t>
      </w:r>
    </w:p>
    <w:p w14:paraId="450AFD79" w14:textId="77777777" w:rsidR="00353F8C" w:rsidRDefault="00FA6417" w:rsidP="00B4181D">
      <w:r>
        <w:t xml:space="preserve">[2] </w:t>
      </w:r>
      <w:r w:rsidR="00FA0AA9">
        <w:t xml:space="preserve">International Energy Agency, </w:t>
      </w:r>
      <w:r w:rsidR="00D84119">
        <w:t>“</w:t>
      </w:r>
      <w:r w:rsidR="00FA0AA9">
        <w:t>World Energy Outlook 2019</w:t>
      </w:r>
      <w:r w:rsidR="00D84119">
        <w:t>”</w:t>
      </w:r>
      <w:r w:rsidR="00FA0AA9">
        <w:t xml:space="preserve">, </w:t>
      </w:r>
      <w:r w:rsidR="00A92805">
        <w:t>All Rights Reserved, November 2019.</w:t>
      </w:r>
    </w:p>
    <w:p w14:paraId="51AAE206" w14:textId="77777777" w:rsidR="00CC0681" w:rsidRDefault="00CC0681" w:rsidP="00CC0681">
      <w:pPr>
        <w:rPr>
          <w:lang w:val="en-US"/>
        </w:rPr>
      </w:pPr>
      <w:r>
        <w:t>[3] ITU-T G.9904</w:t>
      </w:r>
      <w:r>
        <w:rPr>
          <w:lang w:val="en-US"/>
        </w:rPr>
        <w:t xml:space="preserve"> “</w:t>
      </w:r>
      <w:r w:rsidRPr="00CC0681">
        <w:rPr>
          <w:lang w:val="en-US"/>
        </w:rPr>
        <w:t>Narrowban</w:t>
      </w:r>
      <w:r>
        <w:rPr>
          <w:lang w:val="en-US"/>
        </w:rPr>
        <w:t xml:space="preserve">d orthogonal frequency division </w:t>
      </w:r>
      <w:r w:rsidRPr="00CC0681">
        <w:rPr>
          <w:lang w:val="en-US"/>
        </w:rPr>
        <w:t>multiplexing power line communication</w:t>
      </w:r>
      <w:r>
        <w:rPr>
          <w:lang w:val="en-US"/>
        </w:rPr>
        <w:t xml:space="preserve"> </w:t>
      </w:r>
      <w:r w:rsidRPr="00CC0681">
        <w:rPr>
          <w:lang w:val="en-US"/>
        </w:rPr>
        <w:t>transceivers for PRIME networks</w:t>
      </w:r>
      <w:r>
        <w:rPr>
          <w:lang w:val="en-US"/>
        </w:rPr>
        <w:t>”, 10/2012.</w:t>
      </w:r>
    </w:p>
    <w:p w14:paraId="23ADDC91" w14:textId="77777777" w:rsidR="00353F8C" w:rsidRDefault="00A86814" w:rsidP="00B4181D">
      <w:pPr>
        <w:rPr>
          <w:lang w:val="en-US"/>
        </w:rPr>
      </w:pPr>
      <w:r>
        <w:rPr>
          <w:lang w:val="en-US"/>
        </w:rPr>
        <w:t xml:space="preserve">[4] Sendin, A., </w:t>
      </w:r>
      <w:proofErr w:type="gramStart"/>
      <w:r>
        <w:rPr>
          <w:lang w:val="en-US"/>
        </w:rPr>
        <w:t>et</w:t>
      </w:r>
      <w:proofErr w:type="gramEnd"/>
      <w:r>
        <w:rPr>
          <w:lang w:val="en-US"/>
        </w:rPr>
        <w:t xml:space="preserve">. al., “Telecommunication Networks for the Smart Grid”, </w:t>
      </w:r>
      <w:proofErr w:type="spellStart"/>
      <w:r>
        <w:rPr>
          <w:lang w:val="en-US"/>
        </w:rPr>
        <w:t>Artech</w:t>
      </w:r>
      <w:proofErr w:type="spellEnd"/>
      <w:r>
        <w:rPr>
          <w:lang w:val="en-US"/>
        </w:rPr>
        <w:t xml:space="preserve"> House, 2016.</w:t>
      </w:r>
    </w:p>
    <w:p w14:paraId="5FF37F17" w14:textId="77777777" w:rsidR="004D45F9" w:rsidRDefault="004D45F9" w:rsidP="00B4181D">
      <w:pPr>
        <w:rPr>
          <w:lang w:val="en-US"/>
        </w:rPr>
      </w:pPr>
      <w:r>
        <w:rPr>
          <w:lang w:val="en-US"/>
        </w:rPr>
        <w:t>[5] My notes from the EUTC 5G Workshop, 26 June 2019.</w:t>
      </w:r>
    </w:p>
    <w:p w14:paraId="1E4B4053" w14:textId="2CEAD50C" w:rsidR="002B6D2F" w:rsidRPr="00353F8C" w:rsidRDefault="002B6D2F" w:rsidP="00B4181D">
      <w:pPr>
        <w:rPr>
          <w:lang w:val="en-US"/>
        </w:rPr>
      </w:pPr>
      <w:r>
        <w:rPr>
          <w:lang w:val="en-US"/>
        </w:rPr>
        <w:t>[6] World Economic Forum, “The Future of Electricity: New Technologies Transforming the Grid Edge”, 2017.</w:t>
      </w:r>
    </w:p>
    <w:sectPr w:rsidR="002B6D2F" w:rsidRPr="00353F8C" w:rsidSect="00A45CBF">
      <w:footerReference w:type="default" r:id="rId10"/>
      <w:pgSz w:w="11906" w:h="16838"/>
      <w:pgMar w:top="1079" w:right="1106" w:bottom="1440" w:left="108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0857A7" w16cid:durableId="21F776D9"/>
  <w16cid:commentId w16cid:paraId="6D6BEDBA" w16cid:durableId="21F779FF"/>
  <w16cid:commentId w16cid:paraId="5096A771" w16cid:durableId="21F77B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34830" w14:textId="77777777" w:rsidR="00D84BE3" w:rsidRDefault="00D84BE3" w:rsidP="00EB398C">
      <w:pPr>
        <w:spacing w:after="0"/>
      </w:pPr>
      <w:r>
        <w:separator/>
      </w:r>
    </w:p>
  </w:endnote>
  <w:endnote w:type="continuationSeparator" w:id="0">
    <w:p w14:paraId="63523FD3" w14:textId="77777777" w:rsidR="00D84BE3" w:rsidRDefault="00D84BE3" w:rsidP="00EB39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ED0B9" w14:textId="77777777" w:rsidR="00EB398C" w:rsidRDefault="00EB398C">
    <w:pPr>
      <w:pStyle w:val="Footer"/>
    </w:pPr>
    <w:r>
      <w:rPr>
        <w:noProof/>
        <w:lang w:val="en-US"/>
      </w:rPr>
      <mc:AlternateContent>
        <mc:Choice Requires="wps">
          <w:drawing>
            <wp:anchor distT="0" distB="0" distL="114300" distR="114300" simplePos="0" relativeHeight="251659264" behindDoc="0" locked="0" layoutInCell="0" allowOverlap="1" wp14:anchorId="31E6E3F4" wp14:editId="01C3E17C">
              <wp:simplePos x="0" y="0"/>
              <wp:positionH relativeFrom="page">
                <wp:posOffset>0</wp:posOffset>
              </wp:positionH>
              <wp:positionV relativeFrom="page">
                <wp:posOffset>10227945</wp:posOffset>
              </wp:positionV>
              <wp:extent cx="7560310" cy="273050"/>
              <wp:effectExtent l="0" t="0" r="0" b="12700"/>
              <wp:wrapNone/>
              <wp:docPr id="3" name="MSIPCMad734d2cbdaa6263e55eb058" descr="{&quot;HashCode&quot;:123105668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8AD05F" w14:textId="77777777" w:rsidR="00EB398C" w:rsidRPr="00EB398C" w:rsidRDefault="00EB398C" w:rsidP="00EB398C">
                          <w:pPr>
                            <w:spacing w:after="0"/>
                            <w:jc w:val="center"/>
                            <w:rPr>
                              <w:rFonts w:ascii="Calibri" w:hAnsi="Calibri" w:cs="Calibri"/>
                              <w:color w:val="008000"/>
                              <w:sz w:val="24"/>
                            </w:rPr>
                          </w:pPr>
                          <w:r w:rsidRPr="00EB398C">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31E6E3F4" id="_x0000_t202" coordsize="21600,21600" o:spt="202" path="m,l,21600r21600,l21600,xe">
              <v:stroke joinstyle="miter"/>
              <v:path gradientshapeok="t" o:connecttype="rect"/>
            </v:shapetype>
            <v:shape id="MSIPCMad734d2cbdaa6263e55eb058" o:spid="_x0000_s1026" type="#_x0000_t202" alt="{&quot;HashCode&quot;:123105668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" o:allowincell="f" filled="f" stroked="f" strokeweight=".5pt">
              <v:fill o:detectmouseclick="t"/>
              <v:textbox inset=",0,,0">
                <w:txbxContent>
                  <w:p w14:paraId="088AD05F" w14:textId="77777777" w:rsidR="00EB398C" w:rsidRPr="00EB398C" w:rsidRDefault="00EB398C" w:rsidP="00EB398C">
                    <w:pPr>
                      <w:spacing w:after="0"/>
                      <w:jc w:val="center"/>
                      <w:rPr>
                        <w:rFonts w:ascii="Calibri" w:hAnsi="Calibri" w:cs="Calibri"/>
                        <w:color w:val="008000"/>
                        <w:sz w:val="24"/>
                      </w:rPr>
                    </w:pPr>
                    <w:r w:rsidRPr="00EB398C">
                      <w:rPr>
                        <w:rFonts w:ascii="Calibri" w:hAnsi="Calibri" w:cs="Calibr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5D5A4" w14:textId="77777777" w:rsidR="00D84BE3" w:rsidRDefault="00D84BE3" w:rsidP="00EB398C">
      <w:pPr>
        <w:spacing w:after="0"/>
      </w:pPr>
      <w:r>
        <w:separator/>
      </w:r>
    </w:p>
  </w:footnote>
  <w:footnote w:type="continuationSeparator" w:id="0">
    <w:p w14:paraId="10EE9165" w14:textId="77777777" w:rsidR="00D84BE3" w:rsidRDefault="00D84BE3" w:rsidP="00EB398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D71B8"/>
    <w:multiLevelType w:val="hybridMultilevel"/>
    <w:tmpl w:val="947262DC"/>
    <w:lvl w:ilvl="0" w:tplc="910C13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EE2A3A"/>
    <w:multiLevelType w:val="hybridMultilevel"/>
    <w:tmpl w:val="4F829458"/>
    <w:lvl w:ilvl="0" w:tplc="C9488142">
      <w:numFmt w:val="bullet"/>
      <w:lvlText w:val="-"/>
      <w:lvlJc w:val="left"/>
      <w:pPr>
        <w:ind w:left="720" w:hanging="360"/>
      </w:pPr>
      <w:rPr>
        <w:rFonts w:ascii="Verdana" w:eastAsia="Calibri" w:hAnsi="Verdan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0D14AB1"/>
    <w:multiLevelType w:val="hybridMultilevel"/>
    <w:tmpl w:val="26D41E6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5C373F"/>
    <w:multiLevelType w:val="hybridMultilevel"/>
    <w:tmpl w:val="4C0265B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646"/>
    <w:rsid w:val="000040D1"/>
    <w:rsid w:val="00012CAF"/>
    <w:rsid w:val="00016B19"/>
    <w:rsid w:val="000178B9"/>
    <w:rsid w:val="00020694"/>
    <w:rsid w:val="0002503B"/>
    <w:rsid w:val="00026C30"/>
    <w:rsid w:val="00027666"/>
    <w:rsid w:val="00033242"/>
    <w:rsid w:val="00040EA5"/>
    <w:rsid w:val="00044844"/>
    <w:rsid w:val="00045CC0"/>
    <w:rsid w:val="00050B3B"/>
    <w:rsid w:val="0005162F"/>
    <w:rsid w:val="00052162"/>
    <w:rsid w:val="0005547C"/>
    <w:rsid w:val="00057570"/>
    <w:rsid w:val="000606D8"/>
    <w:rsid w:val="0006096B"/>
    <w:rsid w:val="00066BB9"/>
    <w:rsid w:val="00072A5D"/>
    <w:rsid w:val="00076C0B"/>
    <w:rsid w:val="000803CD"/>
    <w:rsid w:val="000808C9"/>
    <w:rsid w:val="00080A2E"/>
    <w:rsid w:val="00081FDE"/>
    <w:rsid w:val="000842D0"/>
    <w:rsid w:val="00084D3A"/>
    <w:rsid w:val="0008579E"/>
    <w:rsid w:val="0008734C"/>
    <w:rsid w:val="00090433"/>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7354"/>
    <w:rsid w:val="00183621"/>
    <w:rsid w:val="001848A0"/>
    <w:rsid w:val="00185CBC"/>
    <w:rsid w:val="00191741"/>
    <w:rsid w:val="00194C66"/>
    <w:rsid w:val="00195265"/>
    <w:rsid w:val="001953D1"/>
    <w:rsid w:val="001A5EEE"/>
    <w:rsid w:val="001B0982"/>
    <w:rsid w:val="001B3D3C"/>
    <w:rsid w:val="001B461C"/>
    <w:rsid w:val="001C04FF"/>
    <w:rsid w:val="001C332D"/>
    <w:rsid w:val="001C6726"/>
    <w:rsid w:val="001D51FF"/>
    <w:rsid w:val="001D634E"/>
    <w:rsid w:val="001D6833"/>
    <w:rsid w:val="001E5A5F"/>
    <w:rsid w:val="001F1917"/>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098"/>
    <w:rsid w:val="00257523"/>
    <w:rsid w:val="00261949"/>
    <w:rsid w:val="00261A96"/>
    <w:rsid w:val="00267172"/>
    <w:rsid w:val="00273232"/>
    <w:rsid w:val="0027395B"/>
    <w:rsid w:val="0028267B"/>
    <w:rsid w:val="00284B29"/>
    <w:rsid w:val="002878F2"/>
    <w:rsid w:val="002910C0"/>
    <w:rsid w:val="0029512D"/>
    <w:rsid w:val="0029781B"/>
    <w:rsid w:val="002A6978"/>
    <w:rsid w:val="002A6A22"/>
    <w:rsid w:val="002B30DC"/>
    <w:rsid w:val="002B3F69"/>
    <w:rsid w:val="002B66B5"/>
    <w:rsid w:val="002B6D2F"/>
    <w:rsid w:val="002C3678"/>
    <w:rsid w:val="002E0F8C"/>
    <w:rsid w:val="002E5CCC"/>
    <w:rsid w:val="002E5E4B"/>
    <w:rsid w:val="002F4EFF"/>
    <w:rsid w:val="002F51E7"/>
    <w:rsid w:val="002F7422"/>
    <w:rsid w:val="003006A0"/>
    <w:rsid w:val="00303D05"/>
    <w:rsid w:val="0030616C"/>
    <w:rsid w:val="003126B1"/>
    <w:rsid w:val="0031297B"/>
    <w:rsid w:val="003173C4"/>
    <w:rsid w:val="0032025C"/>
    <w:rsid w:val="00320CD1"/>
    <w:rsid w:val="003220E1"/>
    <w:rsid w:val="0032231C"/>
    <w:rsid w:val="003231A7"/>
    <w:rsid w:val="00324A19"/>
    <w:rsid w:val="00326493"/>
    <w:rsid w:val="00340530"/>
    <w:rsid w:val="00343D09"/>
    <w:rsid w:val="00353F8C"/>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0D5"/>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31B3"/>
    <w:rsid w:val="00433754"/>
    <w:rsid w:val="00434D9A"/>
    <w:rsid w:val="004401A5"/>
    <w:rsid w:val="0044190E"/>
    <w:rsid w:val="00442626"/>
    <w:rsid w:val="00450B4D"/>
    <w:rsid w:val="004532B3"/>
    <w:rsid w:val="0045332A"/>
    <w:rsid w:val="004563B3"/>
    <w:rsid w:val="00457DD6"/>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B71F3"/>
    <w:rsid w:val="004B7D4F"/>
    <w:rsid w:val="004C1132"/>
    <w:rsid w:val="004C20AA"/>
    <w:rsid w:val="004C214E"/>
    <w:rsid w:val="004C382E"/>
    <w:rsid w:val="004C4D02"/>
    <w:rsid w:val="004D4150"/>
    <w:rsid w:val="004D45F9"/>
    <w:rsid w:val="004D6436"/>
    <w:rsid w:val="004D7B0B"/>
    <w:rsid w:val="004E3252"/>
    <w:rsid w:val="004F52BB"/>
    <w:rsid w:val="00501AFD"/>
    <w:rsid w:val="00506E12"/>
    <w:rsid w:val="00510931"/>
    <w:rsid w:val="0052645D"/>
    <w:rsid w:val="00530E7F"/>
    <w:rsid w:val="0053771E"/>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D6BDA"/>
    <w:rsid w:val="005E0894"/>
    <w:rsid w:val="005E2110"/>
    <w:rsid w:val="005E47D4"/>
    <w:rsid w:val="005F29C0"/>
    <w:rsid w:val="006037BE"/>
    <w:rsid w:val="006044E7"/>
    <w:rsid w:val="00606A0F"/>
    <w:rsid w:val="00614AD9"/>
    <w:rsid w:val="00615E56"/>
    <w:rsid w:val="00617E63"/>
    <w:rsid w:val="00623FBE"/>
    <w:rsid w:val="0062719B"/>
    <w:rsid w:val="00632611"/>
    <w:rsid w:val="00633871"/>
    <w:rsid w:val="0063435E"/>
    <w:rsid w:val="00653D48"/>
    <w:rsid w:val="00654814"/>
    <w:rsid w:val="0065753F"/>
    <w:rsid w:val="00661E6E"/>
    <w:rsid w:val="00662BA3"/>
    <w:rsid w:val="006650BB"/>
    <w:rsid w:val="00666C7E"/>
    <w:rsid w:val="00670860"/>
    <w:rsid w:val="006731AC"/>
    <w:rsid w:val="0067656C"/>
    <w:rsid w:val="006805AF"/>
    <w:rsid w:val="006874AA"/>
    <w:rsid w:val="00690D88"/>
    <w:rsid w:val="00693902"/>
    <w:rsid w:val="00693B8F"/>
    <w:rsid w:val="00696034"/>
    <w:rsid w:val="00696637"/>
    <w:rsid w:val="00696651"/>
    <w:rsid w:val="00697729"/>
    <w:rsid w:val="006A11BF"/>
    <w:rsid w:val="006A18FE"/>
    <w:rsid w:val="006A6D8C"/>
    <w:rsid w:val="006A774F"/>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2542"/>
    <w:rsid w:val="0072646C"/>
    <w:rsid w:val="00726ECA"/>
    <w:rsid w:val="0072759E"/>
    <w:rsid w:val="00731BF1"/>
    <w:rsid w:val="00731C25"/>
    <w:rsid w:val="0073418D"/>
    <w:rsid w:val="00735364"/>
    <w:rsid w:val="00735F1B"/>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182F"/>
    <w:rsid w:val="00786388"/>
    <w:rsid w:val="00786473"/>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1593C"/>
    <w:rsid w:val="00820415"/>
    <w:rsid w:val="008249B1"/>
    <w:rsid w:val="008319D1"/>
    <w:rsid w:val="00831BBD"/>
    <w:rsid w:val="00834E2C"/>
    <w:rsid w:val="008351D0"/>
    <w:rsid w:val="0083590A"/>
    <w:rsid w:val="0084263A"/>
    <w:rsid w:val="00847504"/>
    <w:rsid w:val="00850F25"/>
    <w:rsid w:val="00853578"/>
    <w:rsid w:val="008539F3"/>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C7DF8"/>
    <w:rsid w:val="008D2F6B"/>
    <w:rsid w:val="008D31FF"/>
    <w:rsid w:val="008D37FF"/>
    <w:rsid w:val="008D65DA"/>
    <w:rsid w:val="008D6C64"/>
    <w:rsid w:val="008D6FA8"/>
    <w:rsid w:val="008D701F"/>
    <w:rsid w:val="008E16EC"/>
    <w:rsid w:val="008E19AC"/>
    <w:rsid w:val="008E6E55"/>
    <w:rsid w:val="00900798"/>
    <w:rsid w:val="00902C55"/>
    <w:rsid w:val="00905E77"/>
    <w:rsid w:val="009061A9"/>
    <w:rsid w:val="00917315"/>
    <w:rsid w:val="00920B28"/>
    <w:rsid w:val="00926BD4"/>
    <w:rsid w:val="0092760D"/>
    <w:rsid w:val="0093026B"/>
    <w:rsid w:val="00935510"/>
    <w:rsid w:val="0093788C"/>
    <w:rsid w:val="00940BA0"/>
    <w:rsid w:val="00943F35"/>
    <w:rsid w:val="00943FFB"/>
    <w:rsid w:val="00944F0D"/>
    <w:rsid w:val="0094515F"/>
    <w:rsid w:val="00947AE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470F"/>
    <w:rsid w:val="00A25D9F"/>
    <w:rsid w:val="00A27EFC"/>
    <w:rsid w:val="00A36F97"/>
    <w:rsid w:val="00A40CE8"/>
    <w:rsid w:val="00A41B55"/>
    <w:rsid w:val="00A45CBF"/>
    <w:rsid w:val="00A473BD"/>
    <w:rsid w:val="00A521F3"/>
    <w:rsid w:val="00A52E7E"/>
    <w:rsid w:val="00A536C4"/>
    <w:rsid w:val="00A6003E"/>
    <w:rsid w:val="00A65D23"/>
    <w:rsid w:val="00A71F0F"/>
    <w:rsid w:val="00A801CC"/>
    <w:rsid w:val="00A82DDD"/>
    <w:rsid w:val="00A86814"/>
    <w:rsid w:val="00A868BB"/>
    <w:rsid w:val="00A9054D"/>
    <w:rsid w:val="00A92805"/>
    <w:rsid w:val="00A93A44"/>
    <w:rsid w:val="00AA0C0A"/>
    <w:rsid w:val="00AA7011"/>
    <w:rsid w:val="00AA75BA"/>
    <w:rsid w:val="00AC0DF5"/>
    <w:rsid w:val="00AC2542"/>
    <w:rsid w:val="00AC3081"/>
    <w:rsid w:val="00AC4BDB"/>
    <w:rsid w:val="00AC5793"/>
    <w:rsid w:val="00AD0317"/>
    <w:rsid w:val="00AD2964"/>
    <w:rsid w:val="00AE04BB"/>
    <w:rsid w:val="00AE2FD4"/>
    <w:rsid w:val="00AF5B15"/>
    <w:rsid w:val="00AF7C17"/>
    <w:rsid w:val="00B004F3"/>
    <w:rsid w:val="00B00980"/>
    <w:rsid w:val="00B03D32"/>
    <w:rsid w:val="00B04972"/>
    <w:rsid w:val="00B04FAD"/>
    <w:rsid w:val="00B2164E"/>
    <w:rsid w:val="00B24F85"/>
    <w:rsid w:val="00B25BCA"/>
    <w:rsid w:val="00B31422"/>
    <w:rsid w:val="00B31D0A"/>
    <w:rsid w:val="00B323C3"/>
    <w:rsid w:val="00B368C8"/>
    <w:rsid w:val="00B36F34"/>
    <w:rsid w:val="00B40279"/>
    <w:rsid w:val="00B4181D"/>
    <w:rsid w:val="00B41927"/>
    <w:rsid w:val="00B425AF"/>
    <w:rsid w:val="00B433AE"/>
    <w:rsid w:val="00B47DB6"/>
    <w:rsid w:val="00B502F3"/>
    <w:rsid w:val="00B50D95"/>
    <w:rsid w:val="00B5247D"/>
    <w:rsid w:val="00B532F4"/>
    <w:rsid w:val="00B5344B"/>
    <w:rsid w:val="00B54DEA"/>
    <w:rsid w:val="00B720C9"/>
    <w:rsid w:val="00B7775E"/>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9C4"/>
    <w:rsid w:val="00C03DF7"/>
    <w:rsid w:val="00C0601B"/>
    <w:rsid w:val="00C21E57"/>
    <w:rsid w:val="00C22622"/>
    <w:rsid w:val="00C2305B"/>
    <w:rsid w:val="00C30F9B"/>
    <w:rsid w:val="00C401B2"/>
    <w:rsid w:val="00C60866"/>
    <w:rsid w:val="00C62347"/>
    <w:rsid w:val="00C66BC5"/>
    <w:rsid w:val="00C71989"/>
    <w:rsid w:val="00C75A90"/>
    <w:rsid w:val="00C75C8E"/>
    <w:rsid w:val="00C770CB"/>
    <w:rsid w:val="00C772E0"/>
    <w:rsid w:val="00C80446"/>
    <w:rsid w:val="00C80D20"/>
    <w:rsid w:val="00C82058"/>
    <w:rsid w:val="00C82B9E"/>
    <w:rsid w:val="00C82D19"/>
    <w:rsid w:val="00C84A3E"/>
    <w:rsid w:val="00C90C99"/>
    <w:rsid w:val="00C953CC"/>
    <w:rsid w:val="00CA1C7D"/>
    <w:rsid w:val="00CA2760"/>
    <w:rsid w:val="00CA58CA"/>
    <w:rsid w:val="00CB01AA"/>
    <w:rsid w:val="00CB1AF9"/>
    <w:rsid w:val="00CB4F6E"/>
    <w:rsid w:val="00CB5AC7"/>
    <w:rsid w:val="00CB629B"/>
    <w:rsid w:val="00CC0681"/>
    <w:rsid w:val="00CC2721"/>
    <w:rsid w:val="00CC5210"/>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2DDB"/>
    <w:rsid w:val="00D33B64"/>
    <w:rsid w:val="00D37C52"/>
    <w:rsid w:val="00D42185"/>
    <w:rsid w:val="00D454D1"/>
    <w:rsid w:val="00D4790A"/>
    <w:rsid w:val="00D50796"/>
    <w:rsid w:val="00D508A3"/>
    <w:rsid w:val="00D52845"/>
    <w:rsid w:val="00D52FDE"/>
    <w:rsid w:val="00D55AF9"/>
    <w:rsid w:val="00D652AB"/>
    <w:rsid w:val="00D65822"/>
    <w:rsid w:val="00D70393"/>
    <w:rsid w:val="00D722B1"/>
    <w:rsid w:val="00D73CA4"/>
    <w:rsid w:val="00D81C38"/>
    <w:rsid w:val="00D84119"/>
    <w:rsid w:val="00D84BE3"/>
    <w:rsid w:val="00D84DF5"/>
    <w:rsid w:val="00D853E5"/>
    <w:rsid w:val="00D8736A"/>
    <w:rsid w:val="00D95A27"/>
    <w:rsid w:val="00DA079A"/>
    <w:rsid w:val="00DA2D12"/>
    <w:rsid w:val="00DA3E13"/>
    <w:rsid w:val="00DA4BB6"/>
    <w:rsid w:val="00DA6EE6"/>
    <w:rsid w:val="00DB115E"/>
    <w:rsid w:val="00DB26D7"/>
    <w:rsid w:val="00DB4029"/>
    <w:rsid w:val="00DC0FDF"/>
    <w:rsid w:val="00DC1D13"/>
    <w:rsid w:val="00DC3BF8"/>
    <w:rsid w:val="00DC7083"/>
    <w:rsid w:val="00DD0E74"/>
    <w:rsid w:val="00DD2171"/>
    <w:rsid w:val="00DD25B1"/>
    <w:rsid w:val="00DE63F5"/>
    <w:rsid w:val="00DF1E25"/>
    <w:rsid w:val="00DF26F8"/>
    <w:rsid w:val="00DF5361"/>
    <w:rsid w:val="00E04B08"/>
    <w:rsid w:val="00E04DFC"/>
    <w:rsid w:val="00E055CD"/>
    <w:rsid w:val="00E06C59"/>
    <w:rsid w:val="00E165D9"/>
    <w:rsid w:val="00E17295"/>
    <w:rsid w:val="00E2078D"/>
    <w:rsid w:val="00E2311B"/>
    <w:rsid w:val="00E259C1"/>
    <w:rsid w:val="00E3014F"/>
    <w:rsid w:val="00E30EBD"/>
    <w:rsid w:val="00E31669"/>
    <w:rsid w:val="00E3765C"/>
    <w:rsid w:val="00E40B50"/>
    <w:rsid w:val="00E50082"/>
    <w:rsid w:val="00E72FC9"/>
    <w:rsid w:val="00E8003C"/>
    <w:rsid w:val="00E81637"/>
    <w:rsid w:val="00E83B53"/>
    <w:rsid w:val="00E87CFF"/>
    <w:rsid w:val="00E927D6"/>
    <w:rsid w:val="00E95F32"/>
    <w:rsid w:val="00E97521"/>
    <w:rsid w:val="00EA06DA"/>
    <w:rsid w:val="00EA64C3"/>
    <w:rsid w:val="00EB08A8"/>
    <w:rsid w:val="00EB398C"/>
    <w:rsid w:val="00EB665A"/>
    <w:rsid w:val="00EC4F36"/>
    <w:rsid w:val="00EC559E"/>
    <w:rsid w:val="00EC5B71"/>
    <w:rsid w:val="00EC7374"/>
    <w:rsid w:val="00ED534C"/>
    <w:rsid w:val="00ED6A03"/>
    <w:rsid w:val="00EE0B17"/>
    <w:rsid w:val="00EE24A1"/>
    <w:rsid w:val="00EE49C5"/>
    <w:rsid w:val="00EE4B0C"/>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0AA9"/>
    <w:rsid w:val="00FA1103"/>
    <w:rsid w:val="00FA138E"/>
    <w:rsid w:val="00FA4DBA"/>
    <w:rsid w:val="00FA5284"/>
    <w:rsid w:val="00FA6417"/>
    <w:rsid w:val="00FB4B22"/>
    <w:rsid w:val="00FC205B"/>
    <w:rsid w:val="00FC2825"/>
    <w:rsid w:val="00FC4E5F"/>
    <w:rsid w:val="00FD04E8"/>
    <w:rsid w:val="00FD0686"/>
    <w:rsid w:val="00FD18E3"/>
    <w:rsid w:val="00FD20D2"/>
    <w:rsid w:val="00FD5D3A"/>
    <w:rsid w:val="00FE0852"/>
    <w:rsid w:val="00FE291A"/>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99567"/>
  <w15:chartTrackingRefBased/>
  <w15:docId w15:val="{570D48F0-3C18-4721-9FAB-8441EBFF7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353F8C"/>
    <w:pPr>
      <w:spacing w:after="0"/>
      <w:ind w:left="720"/>
    </w:pPr>
    <w:rPr>
      <w:rFonts w:ascii="Calibri" w:eastAsia="Calibri" w:hAnsi="Calibri" w:cs="Calibri"/>
      <w:sz w:val="22"/>
      <w:szCs w:val="22"/>
      <w:lang w:val="en-US"/>
    </w:rPr>
  </w:style>
  <w:style w:type="character" w:styleId="Hyperlink">
    <w:name w:val="Hyperlink"/>
    <w:uiPriority w:val="99"/>
    <w:unhideWhenUsed/>
    <w:rsid w:val="00A2470F"/>
    <w:rPr>
      <w:color w:val="0000FF"/>
      <w:u w:val="single"/>
    </w:rPr>
  </w:style>
  <w:style w:type="paragraph" w:customStyle="1" w:styleId="toc">
    <w:name w:val="toc"/>
    <w:basedOn w:val="Normal"/>
    <w:qFormat/>
    <w:rsid w:val="00C66BC5"/>
    <w:pPr>
      <w:tabs>
        <w:tab w:val="left" w:pos="1701"/>
      </w:tabs>
      <w:overflowPunct w:val="0"/>
      <w:autoSpaceDE w:val="0"/>
      <w:autoSpaceDN w:val="0"/>
      <w:adjustRightInd w:val="0"/>
      <w:textAlignment w:val="baseline"/>
    </w:pPr>
    <w:rPr>
      <w:rFonts w:ascii="Arial" w:eastAsia="SimSun" w:hAnsi="Arial"/>
      <w:sz w:val="24"/>
      <w:szCs w:val="24"/>
      <w:lang w:eastAsia="en-GB"/>
    </w:rPr>
  </w:style>
  <w:style w:type="paragraph" w:customStyle="1" w:styleId="abstract">
    <w:name w:val="abstract"/>
    <w:basedOn w:val="Normal"/>
    <w:qFormat/>
    <w:rsid w:val="00C66BC5"/>
    <w:pPr>
      <w:spacing w:after="200" w:line="276" w:lineRule="auto"/>
    </w:pPr>
    <w:rPr>
      <w:rFonts w:ascii="Arial" w:eastAsia="Calibri" w:hAnsi="Arial" w:cs="Arial"/>
      <w:i/>
      <w:sz w:val="22"/>
      <w:szCs w:val="22"/>
    </w:rPr>
  </w:style>
  <w:style w:type="paragraph" w:customStyle="1" w:styleId="hdr">
    <w:name w:val="hdr"/>
    <w:basedOn w:val="Normal"/>
    <w:qFormat/>
    <w:rsid w:val="00C66BC5"/>
    <w:pPr>
      <w:pBdr>
        <w:bottom w:val="single" w:sz="4" w:space="1" w:color="auto"/>
      </w:pBdr>
      <w:tabs>
        <w:tab w:val="right" w:pos="9214"/>
      </w:tabs>
      <w:spacing w:after="0"/>
    </w:pPr>
    <w:rPr>
      <w:rFonts w:ascii="Arial" w:eastAsia="MS Mincho" w:hAnsi="Arial" w:cs="Arial"/>
      <w:b/>
      <w:sz w:val="24"/>
      <w:szCs w:val="24"/>
      <w:lang w:eastAsia="ja-JP"/>
    </w:rPr>
  </w:style>
  <w:style w:type="table" w:styleId="TableGrid">
    <w:name w:val="Table Grid"/>
    <w:basedOn w:val="TableNormal"/>
    <w:rsid w:val="00E25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FE291A"/>
    <w:rPr>
      <w:sz w:val="16"/>
      <w:szCs w:val="16"/>
    </w:rPr>
  </w:style>
  <w:style w:type="paragraph" w:styleId="CommentText">
    <w:name w:val="annotation text"/>
    <w:basedOn w:val="Normal"/>
    <w:link w:val="CommentTextChar"/>
    <w:rsid w:val="00FE291A"/>
  </w:style>
  <w:style w:type="character" w:customStyle="1" w:styleId="CommentTextChar">
    <w:name w:val="Comment Text Char"/>
    <w:link w:val="CommentText"/>
    <w:rsid w:val="00FE291A"/>
    <w:rPr>
      <w:rFonts w:eastAsia="Times New Roman"/>
      <w:lang w:val="en-GB" w:eastAsia="en-US"/>
    </w:rPr>
  </w:style>
  <w:style w:type="paragraph" w:styleId="CommentSubject">
    <w:name w:val="annotation subject"/>
    <w:basedOn w:val="CommentText"/>
    <w:next w:val="CommentText"/>
    <w:link w:val="CommentSubjectChar"/>
    <w:rsid w:val="00FE291A"/>
    <w:rPr>
      <w:b/>
      <w:bCs/>
    </w:rPr>
  </w:style>
  <w:style w:type="character" w:customStyle="1" w:styleId="CommentSubjectChar">
    <w:name w:val="Comment Subject Char"/>
    <w:link w:val="CommentSubject"/>
    <w:rsid w:val="00FE291A"/>
    <w:rPr>
      <w:rFonts w:eastAsia="Times New Roman"/>
      <w:b/>
      <w:bCs/>
      <w:lang w:val="en-GB" w:eastAsia="en-US"/>
    </w:rPr>
  </w:style>
  <w:style w:type="paragraph" w:styleId="BalloonText">
    <w:name w:val="Balloon Text"/>
    <w:basedOn w:val="Normal"/>
    <w:link w:val="BalloonTextChar"/>
    <w:rsid w:val="00FE291A"/>
    <w:pPr>
      <w:spacing w:after="0"/>
    </w:pPr>
    <w:rPr>
      <w:rFonts w:ascii="Segoe UI" w:hAnsi="Segoe UI" w:cs="Segoe UI"/>
      <w:sz w:val="18"/>
      <w:szCs w:val="18"/>
    </w:rPr>
  </w:style>
  <w:style w:type="character" w:customStyle="1" w:styleId="BalloonTextChar">
    <w:name w:val="Balloon Text Char"/>
    <w:link w:val="BalloonText"/>
    <w:rsid w:val="00FE291A"/>
    <w:rPr>
      <w:rFonts w:ascii="Segoe UI" w:eastAsia="Times New Roman" w:hAnsi="Segoe UI" w:cs="Segoe UI"/>
      <w:sz w:val="18"/>
      <w:szCs w:val="18"/>
      <w:lang w:val="en-GB" w:eastAsia="en-US"/>
    </w:rPr>
  </w:style>
  <w:style w:type="paragraph" w:styleId="Header">
    <w:name w:val="header"/>
    <w:basedOn w:val="Normal"/>
    <w:link w:val="HeaderChar"/>
    <w:rsid w:val="00EB398C"/>
    <w:pPr>
      <w:tabs>
        <w:tab w:val="center" w:pos="4252"/>
        <w:tab w:val="right" w:pos="8504"/>
      </w:tabs>
      <w:spacing w:after="0"/>
    </w:pPr>
  </w:style>
  <w:style w:type="character" w:customStyle="1" w:styleId="HeaderChar">
    <w:name w:val="Header Char"/>
    <w:basedOn w:val="DefaultParagraphFont"/>
    <w:link w:val="Header"/>
    <w:rsid w:val="00EB398C"/>
    <w:rPr>
      <w:rFonts w:eastAsia="Times New Roman"/>
      <w:lang w:val="en-GB"/>
    </w:rPr>
  </w:style>
  <w:style w:type="paragraph" w:styleId="Footer">
    <w:name w:val="footer"/>
    <w:basedOn w:val="Normal"/>
    <w:link w:val="FooterChar"/>
    <w:rsid w:val="00EB398C"/>
    <w:pPr>
      <w:tabs>
        <w:tab w:val="center" w:pos="4252"/>
        <w:tab w:val="right" w:pos="8504"/>
      </w:tabs>
      <w:spacing w:after="0"/>
    </w:pPr>
  </w:style>
  <w:style w:type="character" w:customStyle="1" w:styleId="FooterChar">
    <w:name w:val="Footer Char"/>
    <w:basedOn w:val="DefaultParagraphFont"/>
    <w:link w:val="Footer"/>
    <w:rsid w:val="00EB398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80651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109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F3BE5-9BB0-4864-891E-DEA9C7B5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2504</Words>
  <Characters>14279</Characters>
  <Application>Microsoft Office Word</Application>
  <DocSecurity>0</DocSecurity>
  <Lines>118</Lines>
  <Paragraphs>33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TSG-SA1 #42</vt:lpstr>
      <vt:lpstr>3GPP TSG-SA1 #42</vt:lpstr>
    </vt:vector>
  </TitlesOfParts>
  <Company>ETSI Secretariat</Company>
  <LinksUpToDate>false</LinksUpToDate>
  <CharactersWithSpaces>16750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Erik Guttman 28.04.20</cp:lastModifiedBy>
  <cp:revision>2</cp:revision>
  <dcterms:created xsi:type="dcterms:W3CDTF">2020-05-08T14:36:00Z</dcterms:created>
  <dcterms:modified xsi:type="dcterms:W3CDTF">2020-05-08T14:36:00Z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4DD512F63FC1D22001D4ACB733661771EEEC23BA0827981858CD33A364F46A6B</vt:lpwstr>
  </property>
  <property fmtid="{D5CDD505-2E9C-101B-9397-08002B2CF9AE}" pid="2" name="NSCPROP">
    <vt:lpwstr>NSCCustomProperty</vt:lpwstr>
  </property>
  <property fmtid="{D5CDD505-2E9C-101B-9397-08002B2CF9AE}" pid="3" name="NSCPROP_SA">
    <vt:lpwstr>C:\Users\erik.guttman.CORP\Documents\2020\02\10-14.02 SA1 89e\contributions\S1-20zzzz-utility-communication-discussion-04.doc</vt:lpwstr>
  </property>
  <property fmtid="{D5CDD505-2E9C-101B-9397-08002B2CF9AE}" pid="4" name="_AdHocReviewCycleID">
    <vt:i4>872677994</vt:i4>
  </property>
  <property fmtid="{D5CDD505-2E9C-101B-9397-08002B2CF9AE}" pid="5" name="_NewReviewCycle">
    <vt:lpwstr/>
  </property>
  <property fmtid="{D5CDD505-2E9C-101B-9397-08002B2CF9AE}" pid="6" name="_EmailSubject">
    <vt:lpwstr>utility communication study in SA1</vt:lpwstr>
  </property>
  <property fmtid="{D5CDD505-2E9C-101B-9397-08002B2CF9AE}" pid="7" name="_AuthorEmail">
    <vt:lpwstr>asendin@iberdrola.es</vt:lpwstr>
  </property>
  <property fmtid="{D5CDD505-2E9C-101B-9397-08002B2CF9AE}" pid="8" name="_AuthorEmailDisplayName">
    <vt:lpwstr>Sendin Escalona, Alberto</vt:lpwstr>
  </property>
  <property fmtid="{D5CDD505-2E9C-101B-9397-08002B2CF9AE}" pid="9" name="_ReviewingToolsShownOnce">
    <vt:lpwstr/>
  </property>
</Properties>
</file>