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69C72"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R5s240711</w:t>
      </w:r>
      <w:r>
        <w:rPr>
          <w:b/>
          <w:i/>
          <w:sz w:val="28"/>
        </w:rPr>
        <w:fldChar w:fldCharType="end"/>
      </w:r>
    </w:p>
    <w:p w14:paraId="7D0CA909">
      <w:pPr>
        <w:pStyle w:val="8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Dec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2024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76B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9BDC690"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1FE3BB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06CFAF0"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AEC18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EA6AA9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28A5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E67AF8B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C62862"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081CFA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C99CE">
            <w:pPr>
              <w:pStyle w:val="8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B55EC3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011A1C">
            <w:pPr>
              <w:pStyle w:val="8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5371A7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3BC019"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B457445">
            <w:pPr>
              <w:pStyle w:val="83"/>
              <w:spacing w:after="0"/>
            </w:pPr>
          </w:p>
        </w:tc>
      </w:tr>
      <w:tr w14:paraId="0A52B2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669443">
            <w:pPr>
              <w:pStyle w:val="83"/>
              <w:spacing w:after="0"/>
            </w:pPr>
          </w:p>
        </w:tc>
      </w:tr>
      <w:tr w14:paraId="1011F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18BED0E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46AD9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D0A6FA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022E750F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1B2772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B4D696F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D2AEE0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48BB943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F4F4324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ECF830A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E2CAA2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C8484F1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ECCE18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1AB3F90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691756C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9E3F3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5285C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854B9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912690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253EA69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6.3.1.7</w:t>
            </w:r>
            <w:r>
              <w:fldChar w:fldCharType="end"/>
            </w:r>
          </w:p>
        </w:tc>
      </w:tr>
      <w:tr w14:paraId="0CE0B1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50D715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957EB0B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B33AA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F8184E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2C92F98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ROHDE &amp; SCHWARZ</w:t>
            </w:r>
            <w:r>
              <w:fldChar w:fldCharType="end"/>
            </w:r>
          </w:p>
        </w:tc>
      </w:tr>
      <w:tr w14:paraId="2892CC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8112653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4F7FC32">
            <w:pPr>
              <w:pStyle w:val="83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642EF9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CC73DF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885E856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0B7049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19BCDC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F46BF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F9ECEC"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2E3FD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F13AF9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2024-12-18</w:t>
            </w:r>
            <w:r>
              <w:fldChar w:fldCharType="end"/>
            </w:r>
          </w:p>
        </w:tc>
      </w:tr>
      <w:tr w14:paraId="1D5696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DAEAB4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E51F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CB0BA2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8A0158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A626F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B80C8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DCA3FF0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3ACC1"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076EC2"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0F20E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FC2B403"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0A3D37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69423A8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C28A584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2AFB6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BD592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782F8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6973E998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D549F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25B129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68023F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52F4A99">
            <w:pPr>
              <w:pStyle w:val="83"/>
              <w:spacing w:after="0"/>
              <w:ind w:left="100"/>
            </w:pPr>
            <w:r>
              <w:t>In current TTCN implementaiton, at Step 26a1 the UE may send a rrcSetupREQ immediately after receiving rrcRelease while the local end is being reconfigured.</w:t>
            </w:r>
          </w:p>
          <w:p w14:paraId="624DB1A9">
            <w:pPr>
              <w:pStyle w:val="83"/>
              <w:spacing w:after="0"/>
              <w:ind w:left="100"/>
            </w:pPr>
            <w:r>
              <w:t>However, in such a scenario the SS would transmit a preconfigured rrcSetup, and then the UE transmits a rrcSetupComplete, whereas the TTCN would exect a rrcSetupREQ.</w:t>
            </w:r>
          </w:p>
          <w:p w14:paraId="59A597AE">
            <w:pPr>
              <w:pStyle w:val="83"/>
              <w:spacing w:after="0"/>
              <w:ind w:left="100"/>
            </w:pPr>
          </w:p>
          <w:p w14:paraId="40B8CEA5">
            <w:pPr>
              <w:pStyle w:val="83"/>
              <w:spacing w:after="0"/>
              <w:ind w:left="100"/>
            </w:pPr>
            <w:r>
              <w:t>This results in testcase failure</w:t>
            </w:r>
          </w:p>
          <w:p w14:paraId="0CDC6104">
            <w:pPr>
              <w:pStyle w:val="83"/>
              <w:spacing w:after="0"/>
              <w:ind w:left="100"/>
            </w:pPr>
          </w:p>
          <w:p w14:paraId="2CF09C83">
            <w:pPr>
              <w:pStyle w:val="83"/>
              <w:spacing w:after="0"/>
              <w:ind w:left="100"/>
            </w:pPr>
            <w:r>
              <w:t>To avoid this, its proposed to include testcase in function f_GetTestcaseAttrib_EarlyContentionResolution, because of which the SS wouldn’t send a preconfigured rrcSetup.</w:t>
            </w:r>
          </w:p>
        </w:tc>
      </w:tr>
      <w:tr w14:paraId="69A9D53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881B5CA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327D1D6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0217C5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65439F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05DDB3">
            <w:pPr>
              <w:pStyle w:val="83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Included the testcase 6.3.1.7 in function f_GetTestcaseAttrib_EarlyContentionResolution.</w:t>
            </w:r>
          </w:p>
          <w:p w14:paraId="5716E4C8">
            <w:pPr>
              <w:pStyle w:val="83"/>
              <w:spacing w:after="0"/>
              <w:ind w:left="100"/>
              <w:rPr>
                <w:rFonts w:cs="Arial"/>
              </w:rPr>
            </w:pPr>
          </w:p>
          <w:p w14:paraId="4EDFFDC8">
            <w:pPr>
              <w:pStyle w:val="83"/>
              <w:spacing w:after="0"/>
              <w:ind w:left="100"/>
            </w:pPr>
            <w:r>
              <w:rPr>
                <w:rFonts w:cs="Arial"/>
              </w:rPr>
              <w:t>Please see below.</w:t>
            </w:r>
          </w:p>
        </w:tc>
      </w:tr>
      <w:tr w14:paraId="1C258E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4FC37BC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AF32029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0ADCA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7E5FF6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349A9">
            <w:pPr>
              <w:pStyle w:val="83"/>
              <w:spacing w:after="0"/>
              <w:ind w:left="100"/>
            </w:pPr>
            <w:r>
              <w:t>A conformant UE may fail the testcase</w:t>
            </w:r>
          </w:p>
        </w:tc>
      </w:tr>
      <w:tr w14:paraId="56F527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6362FF5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A90E3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BCB21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607032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60FEB85">
            <w:pPr>
              <w:pStyle w:val="83"/>
              <w:spacing w:after="0"/>
              <w:ind w:left="100"/>
            </w:pPr>
            <w:r>
              <w:t>6.3.1.7.NR5GC</w:t>
            </w:r>
          </w:p>
        </w:tc>
      </w:tr>
      <w:tr w14:paraId="3CF160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AD824A5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02A143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0A9AE4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312F46C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93780DD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1578FE0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376C4D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4429D58">
            <w:pPr>
              <w:pStyle w:val="83"/>
              <w:spacing w:after="0"/>
              <w:ind w:left="99"/>
            </w:pPr>
          </w:p>
        </w:tc>
      </w:tr>
      <w:tr w14:paraId="51053E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3CF0CB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3EE83FA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49B468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9AE886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D74881">
            <w:pPr>
              <w:pStyle w:val="83"/>
              <w:spacing w:after="0"/>
              <w:ind w:left="99"/>
            </w:pPr>
          </w:p>
        </w:tc>
      </w:tr>
      <w:tr w14:paraId="7E9CCE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4CD20F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B2364D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7E13CD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E7D3AE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6B0904E">
            <w:pPr>
              <w:pStyle w:val="83"/>
              <w:spacing w:after="0"/>
              <w:ind w:left="99"/>
            </w:pPr>
          </w:p>
        </w:tc>
      </w:tr>
      <w:tr w14:paraId="1D2D66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B8B58C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9199DCB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6C737BB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B1E99C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B5BD5FF">
            <w:pPr>
              <w:pStyle w:val="83"/>
              <w:spacing w:after="0"/>
              <w:ind w:left="99"/>
            </w:pPr>
          </w:p>
        </w:tc>
      </w:tr>
      <w:tr w14:paraId="4D58A5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C9399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FB42768">
            <w:pPr>
              <w:pStyle w:val="83"/>
              <w:spacing w:after="0"/>
            </w:pPr>
          </w:p>
        </w:tc>
      </w:tr>
      <w:tr w14:paraId="657877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CDFC40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706251">
            <w:pPr>
              <w:pStyle w:val="83"/>
              <w:spacing w:after="0"/>
              <w:ind w:left="100"/>
            </w:pPr>
            <w:r>
              <w:t>This change is needed in addition to changes mentioned in R5s240708</w:t>
            </w:r>
          </w:p>
        </w:tc>
      </w:tr>
      <w:tr w14:paraId="5DDEE8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7EB4DB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CED122B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25575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B9B3FF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DF2AFF8">
            <w:pPr>
              <w:pStyle w:val="83"/>
              <w:spacing w:after="0"/>
              <w:ind w:left="100"/>
            </w:pPr>
          </w:p>
        </w:tc>
      </w:tr>
    </w:tbl>
    <w:p w14:paraId="238A1A2D">
      <w:pPr>
        <w:pStyle w:val="83"/>
        <w:spacing w:after="0"/>
        <w:rPr>
          <w:sz w:val="8"/>
          <w:szCs w:val="8"/>
        </w:rPr>
      </w:pPr>
    </w:p>
    <w:p w14:paraId="171351F5">
      <w:pPr>
        <w:pStyle w:val="83"/>
        <w:spacing w:after="0"/>
        <w:rPr>
          <w:sz w:val="8"/>
          <w:szCs w:val="8"/>
        </w:rPr>
      </w:pPr>
    </w:p>
    <w:p w14:paraId="63648FD4">
      <w:pPr>
        <w:pStyle w:val="83"/>
        <w:spacing w:after="0"/>
        <w:rPr>
          <w:sz w:val="8"/>
          <w:szCs w:val="8"/>
        </w:rPr>
      </w:pPr>
    </w:p>
    <w:p w14:paraId="135701AD">
      <w:pPr>
        <w:pStyle w:val="83"/>
        <w:spacing w:after="0"/>
        <w:rPr>
          <w:sz w:val="8"/>
          <w:szCs w:val="8"/>
        </w:rPr>
      </w:pPr>
    </w:p>
    <w:p w14:paraId="2630403A">
      <w:pPr>
        <w:pStyle w:val="83"/>
        <w:spacing w:after="0"/>
        <w:rPr>
          <w:sz w:val="8"/>
          <w:szCs w:val="8"/>
        </w:rPr>
      </w:pPr>
    </w:p>
    <w:p w14:paraId="64C839BA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AF5541D">
      <w:pPr>
        <w:pStyle w:val="41"/>
        <w:jc w:val="left"/>
        <w:rPr>
          <w:rStyle w:val="46"/>
          <w:rFonts w:ascii="Arial" w:hAnsi="Arial" w:cs="Arial"/>
          <w:b w:val="0"/>
          <w:i w:val="0"/>
          <w:lang w:eastAsia="en-GB"/>
        </w:rPr>
      </w:pPr>
      <w:bookmarkStart w:id="0" w:name="_Toc185411863"/>
      <w:r>
        <w:rPr>
          <w:rStyle w:val="46"/>
          <w:rFonts w:ascii="Arial" w:hAnsi="Arial" w:cs="Arial"/>
          <w:b w:val="0"/>
          <w:i w:val="0"/>
        </w:rPr>
        <w:t>Table of Contents</w:t>
      </w:r>
      <w:bookmarkEnd w:id="0"/>
    </w:p>
    <w:p w14:paraId="50984A93">
      <w:pPr>
        <w:pStyle w:val="2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_Toc185411863 \h </w:instrText>
      </w:r>
      <w:r>
        <w:fldChar w:fldCharType="separate"/>
      </w:r>
      <w:r>
        <w:t>2</w:t>
      </w:r>
      <w:r>
        <w:fldChar w:fldCharType="end"/>
      </w:r>
    </w:p>
    <w:p w14:paraId="7D71BD18">
      <w:pPr>
        <w:pStyle w:val="2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_Toc185411864 \h </w:instrText>
      </w:r>
      <w:r>
        <w:fldChar w:fldCharType="separate"/>
      </w:r>
      <w:r>
        <w:t>3</w:t>
      </w:r>
      <w:r>
        <w:fldChar w:fldCharType="end"/>
      </w:r>
    </w:p>
    <w:p w14:paraId="0F703DCE">
      <w:pPr>
        <w:pStyle w:val="2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_Toc185411865 \h </w:instrText>
      </w:r>
      <w:r>
        <w:fldChar w:fldCharType="separate"/>
      </w:r>
      <w:r>
        <w:t>3</w:t>
      </w:r>
      <w:r>
        <w:fldChar w:fldCharType="end"/>
      </w:r>
    </w:p>
    <w:p w14:paraId="5FFFB384">
      <w:pPr>
        <w:pStyle w:val="20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b/>
          <w:lang w:val="pt-BR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_Toc185411866 \h </w:instrText>
      </w:r>
      <w:r>
        <w:fldChar w:fldCharType="separate"/>
      </w:r>
      <w:r>
        <w:t>3</w:t>
      </w:r>
      <w:r>
        <w:fldChar w:fldCharType="end"/>
      </w:r>
    </w:p>
    <w:p w14:paraId="302138F3">
      <w:pPr>
        <w:rPr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059290E2">
      <w:pPr>
        <w:pStyle w:val="2"/>
        <w:numPr>
          <w:ilvl w:val="0"/>
          <w:numId w:val="1"/>
        </w:numPr>
        <w:autoSpaceDN w:val="0"/>
        <w:rPr>
          <w:rFonts w:cs="Arial"/>
        </w:rPr>
      </w:pPr>
      <w:bookmarkStart w:id="1" w:name="_Toc185411864"/>
      <w:bookmarkStart w:id="2" w:name="_Toc122434485"/>
      <w:r>
        <w:rPr>
          <w:rFonts w:cs="Arial"/>
        </w:rPr>
        <w:t>Overview</w:t>
      </w:r>
      <w:bookmarkEnd w:id="1"/>
      <w:bookmarkEnd w:id="2"/>
    </w:p>
    <w:p w14:paraId="62CCCFF8"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val="en-US"/>
        </w:rPr>
        <w:t>iwd-TTCN3-B2024-06_D24wk50</w:t>
      </w:r>
      <w:r>
        <w:t xml:space="preserve"> related to the title of this CR</w:t>
      </w:r>
      <w:r>
        <w:rPr>
          <w:rFonts w:cs="Arial"/>
        </w:rPr>
        <w:t>.</w:t>
      </w:r>
    </w:p>
    <w:p w14:paraId="2204B9C6"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</w:pPr>
      <w:r>
        <w:rPr>
          <w:rFonts w:cs="Arial"/>
          <w:sz w:val="24"/>
          <w:lang w:eastAsia="ja-JP"/>
        </w:rPr>
        <w:t xml:space="preserve">Contact:  </w:t>
      </w:r>
      <w:r>
        <w:rPr>
          <w:rFonts w:cs="Arial"/>
          <w:b/>
          <w:sz w:val="24"/>
          <w:lang w:eastAsia="ja-JP"/>
        </w:rPr>
        <w:t>Bhise Parikshit</w:t>
      </w:r>
      <w:r>
        <w:rPr>
          <w:rFonts w:cs="Arial"/>
          <w:sz w:val="24"/>
          <w:lang w:val="es-ES" w:eastAsia="ja-JP"/>
        </w:rPr>
        <w:br w:type="textWrapping"/>
      </w:r>
      <w:r>
        <w:rPr>
          <w:rFonts w:cs="Arial"/>
          <w:sz w:val="24"/>
          <w:lang w:val="es-ES" w:eastAsia="ja-JP"/>
        </w:rPr>
        <w:t>parikshit.bhise@rohde-schwarz.com</w:t>
      </w:r>
    </w:p>
    <w:p w14:paraId="2A57A3D8">
      <w:pPr>
        <w:pStyle w:val="2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411865"/>
      <w:r>
        <w:rPr>
          <w:rFonts w:cs="Arial"/>
        </w:rPr>
        <w:t>Corrections required</w:t>
      </w:r>
      <w:bookmarkEnd w:id="3"/>
      <w:bookmarkEnd w:id="4"/>
      <w:bookmarkEnd w:id="5"/>
    </w:p>
    <w:p w14:paraId="7F3550CF">
      <w:pPr>
        <w:pStyle w:val="3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411866"/>
      <w:bookmarkStart w:id="10" w:name="_Toc325725665"/>
      <w:bookmarkStart w:id="11" w:name="_Toc122434493"/>
      <w:bookmarkStart w:id="12" w:name="_Toc295288970"/>
      <w:r>
        <w:rPr>
          <w:b/>
          <w:lang w:val="pt-BR"/>
        </w:rPr>
        <w:t xml:space="preserve">Change </w:t>
      </w:r>
      <w:bookmarkEnd w:id="6"/>
      <w:r>
        <w:rPr>
          <w:b/>
          <w:lang w:val="pt-BR"/>
        </w:rPr>
        <w:t>1</w:t>
      </w:r>
      <w:bookmarkEnd w:id="7"/>
      <w:bookmarkEnd w:id="8"/>
      <w:bookmarkEnd w:id="9"/>
    </w:p>
    <w:bookmarkEnd w:id="10"/>
    <w:bookmarkEnd w:id="11"/>
    <w:bookmarkEnd w:id="12"/>
    <w:tbl>
      <w:tblPr>
        <w:tblStyle w:val="43"/>
        <w:tblW w:w="0" w:type="auto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1400"/>
        <w:gridCol w:w="8309"/>
      </w:tblGrid>
      <w:tr w14:paraId="233F2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47" w:hRule="atLeast"/>
        </w:trPr>
        <w:tc>
          <w:tcPr>
            <w:tcW w:w="0" w:type="auto"/>
          </w:tcPr>
          <w:p w14:paraId="43C9FA8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0" w:type="auto"/>
          </w:tcPr>
          <w:p w14:paraId="56D778B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f_NR5GC_PDUSessionEstablishment_InnerLoop</w:t>
            </w:r>
          </w:p>
        </w:tc>
      </w:tr>
      <w:tr w14:paraId="187A9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52" w:hRule="atLeast"/>
        </w:trPr>
        <w:tc>
          <w:tcPr>
            <w:tcW w:w="0" w:type="auto"/>
          </w:tcPr>
          <w:p w14:paraId="491B604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0" w:type="auto"/>
          </w:tcPr>
          <w:p w14:paraId="00BF37D0">
            <w:pPr>
              <w:pStyle w:val="83"/>
              <w:spacing w:after="0"/>
              <w:ind w:left="100"/>
            </w:pPr>
            <w:r>
              <w:t>In current TTCN implementaiton, at Step 26a1 the UE may send a rrcSetupREQ immediately after receiving rrcRelease while the local end is being reconfigured.</w:t>
            </w:r>
          </w:p>
          <w:p w14:paraId="42CCDCA9">
            <w:pPr>
              <w:pStyle w:val="83"/>
              <w:spacing w:after="0"/>
              <w:ind w:left="100"/>
            </w:pPr>
            <w:r>
              <w:t>However, in such a scenario the SS would transmit a preconfigured rrcSetup, and then the UE transmits a rrcSetupComplete, whereas the TTCN would exect a rrcSetupREQ.</w:t>
            </w:r>
          </w:p>
          <w:p w14:paraId="483A1EC7">
            <w:pPr>
              <w:pStyle w:val="83"/>
              <w:spacing w:after="0"/>
              <w:ind w:left="100"/>
            </w:pPr>
          </w:p>
          <w:p w14:paraId="78BBA65C">
            <w:pPr>
              <w:pStyle w:val="83"/>
              <w:spacing w:after="0"/>
              <w:ind w:left="100"/>
            </w:pPr>
            <w:r>
              <w:t>This results in testcase failure</w:t>
            </w:r>
          </w:p>
          <w:p w14:paraId="51EA111B">
            <w:pPr>
              <w:pStyle w:val="83"/>
              <w:spacing w:after="0"/>
              <w:ind w:left="100"/>
            </w:pPr>
          </w:p>
          <w:p w14:paraId="3A48DE08">
            <w:pPr>
              <w:pStyle w:val="83"/>
              <w:spacing w:after="0"/>
            </w:pPr>
            <w:r>
              <w:t>To avoid this, its proposed to include testcase in function f_GetTestcaseAttrib_EarlyContentionResolution, because of which the SS wouldn’t send a preconfigured rrcSetup.</w:t>
            </w:r>
          </w:p>
        </w:tc>
      </w:tr>
      <w:tr w14:paraId="582D3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</w:tcPr>
          <w:p w14:paraId="33033F4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0" w:type="auto"/>
          </w:tcPr>
          <w:p w14:paraId="7284ABF8">
            <w:pPr>
              <w:pStyle w:val="83"/>
              <w:spacing w:after="0"/>
              <w:rPr>
                <w:rFonts w:cs="Arial"/>
              </w:rPr>
            </w:pPr>
            <w:r>
              <w:rPr>
                <w:rFonts w:cs="Arial"/>
              </w:rPr>
              <w:t>Included the testcase 6.3.1.7 in function f_GetTestcaseAttrib_EarlyContentionResolution.</w:t>
            </w:r>
          </w:p>
          <w:p w14:paraId="66C6500A">
            <w:pPr>
              <w:pStyle w:val="83"/>
              <w:spacing w:after="0"/>
              <w:ind w:left="100"/>
              <w:rPr>
                <w:rFonts w:cs="Arial"/>
              </w:rPr>
            </w:pPr>
          </w:p>
          <w:p w14:paraId="1E9F1675">
            <w:pPr>
              <w:pStyle w:val="83"/>
              <w:spacing w:after="0"/>
              <w:rPr>
                <w:rFonts w:cs="Arial"/>
              </w:rPr>
            </w:pPr>
            <w:r>
              <w:rPr>
                <w:rFonts w:cs="Arial"/>
              </w:rPr>
              <w:t>Please see below.</w:t>
            </w:r>
          </w:p>
        </w:tc>
      </w:tr>
      <w:tr w14:paraId="33928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</w:tcPr>
          <w:p w14:paraId="59DF865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0" w:type="auto"/>
          </w:tcPr>
          <w:p w14:paraId="6F308606">
            <w:pPr>
              <w:spacing w:after="0"/>
              <w:rPr>
                <w:rFonts w:ascii="Arial" w:hAnsi="Arial" w:cs="Arial"/>
                <w:lang w:eastAsia="zh-CN"/>
              </w:rPr>
            </w:pPr>
            <w:bookmarkStart w:id="13" w:name="OLE_LINK1"/>
            <w:r>
              <w:rPr>
                <w:rFonts w:ascii="Arial" w:hAnsi="Arial" w:cs="Arial"/>
                <w:color w:val="000000"/>
              </w:rPr>
              <w:t>TestcaseProperties</w:t>
            </w:r>
            <w:bookmarkEnd w:id="13"/>
            <w:r>
              <w:rPr>
                <w:rFonts w:ascii="Arial" w:hAnsi="Arial" w:cs="Arial"/>
                <w:color w:val="000000"/>
              </w:rPr>
              <w:t>.ttcn</w:t>
            </w:r>
          </w:p>
        </w:tc>
      </w:tr>
      <w:tr w14:paraId="0FA15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0" w:type="auto"/>
          </w:tcPr>
          <w:p w14:paraId="6D31E7EB">
            <w:pPr>
              <w:rPr>
                <w:rFonts w:hint="eastAsia"/>
                <w:lang w:eastAsia="zh-CN"/>
              </w:rPr>
            </w:pPr>
            <w:r>
              <w:rPr>
                <w:rFonts w:ascii="Arial" w:hAnsi="Arial" w:eastAsia="Times New Roman"/>
                <w:b/>
              </w:rPr>
              <w:t>MCC160 Comment</w:t>
            </w:r>
          </w:p>
        </w:tc>
        <w:tc>
          <w:tcPr>
            <w:tcW w:w="0" w:type="auto"/>
          </w:tcPr>
          <w:p w14:paraId="12EF1172">
            <w:pPr>
              <w:spacing w:after="0"/>
              <w:rPr>
                <w:rFonts w:hint="eastAsia" w:ascii="Arial" w:hAnsi="Arial" w:cs="Arial"/>
                <w:color w:val="000000"/>
                <w:highlight w:val="cyan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highlight w:val="cyan"/>
                <w:lang w:eastAsia="zh-CN"/>
              </w:rPr>
              <w:t>Accepted in principle, but implemented differently</w:t>
            </w:r>
            <w:r>
              <w:rPr>
                <w:rFonts w:hint="eastAsia" w:ascii="Arial" w:hAnsi="Arial" w:cs="Arial"/>
                <w:color w:val="000000"/>
                <w:highlight w:val="cyan"/>
                <w:lang w:val="en-US" w:eastAsia="zh-CN"/>
              </w:rPr>
              <w:t>.</w:t>
            </w:r>
          </w:p>
          <w:p w14:paraId="5E457889">
            <w:pPr>
              <w:spacing w:after="0"/>
              <w:rPr>
                <w:rFonts w:hint="eastAsia" w:ascii="Arial" w:hAnsi="Arial" w:cs="Arial"/>
                <w:color w:val="000000"/>
                <w:highlight w:val="cyan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highlight w:val="cyan"/>
                <w:lang w:val="en-US" w:eastAsia="zh-CN"/>
              </w:rPr>
              <w:t>This</w:t>
            </w:r>
            <w:r>
              <w:rPr>
                <w:rFonts w:hint="default" w:ascii="Arial" w:hAnsi="Arial" w:cs="Arial"/>
                <w:color w:val="000000"/>
                <w:highlight w:val="cyan"/>
                <w:lang w:val="en-US" w:eastAsia="zh-CN"/>
              </w:rPr>
              <w:t xml:space="preserve"> test case is not in the list of TC scenario for which the EarlyContentionResolution attribute apply</w:t>
            </w:r>
            <w:r>
              <w:rPr>
                <w:rFonts w:hint="eastAsia" w:ascii="Arial" w:hAnsi="Arial" w:cs="Arial"/>
                <w:color w:val="000000"/>
                <w:highlight w:val="cyan"/>
                <w:lang w:val="en-US" w:eastAsia="zh-CN"/>
              </w:rPr>
              <w:t xml:space="preserve"> according to clause 7.3.5.1 Early contention resolution in TS 38.523-3.</w:t>
            </w:r>
          </w:p>
          <w:p w14:paraId="6C0CB691">
            <w:pPr>
              <w:spacing w:after="0"/>
              <w:rPr>
                <w:rFonts w:hint="default" w:ascii="Arial" w:hAnsi="Arial" w:cs="Arial"/>
                <w:color w:val="000000"/>
                <w:highlight w:val="cyan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highlight w:val="cyan"/>
                <w:lang w:val="en-US" w:eastAsia="zh-CN"/>
              </w:rPr>
              <w:t>Please see MCC160 implementation below.</w:t>
            </w:r>
          </w:p>
        </w:tc>
      </w:tr>
    </w:tbl>
    <w:p w14:paraId="1684A5AF"/>
    <w:p w14:paraId="46388BD7">
      <w:pPr>
        <w:rPr>
          <w:rFonts w:ascii="Arial" w:hAnsi="Arial" w:cs="Arial"/>
          <w:b/>
        </w:rPr>
      </w:pPr>
    </w:p>
    <w:p w14:paraId="2D40B00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Before Change:</w:t>
      </w:r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 w14:paraId="47DF7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 w14:paraId="6236EC4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function f_GetTestcaseAttrib_EarlyContentionResolution(charstring p_Testcase) return boolean</w:t>
            </w:r>
          </w:p>
          <w:p w14:paraId="70133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CD8EA8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(p_Testcase) {</w:t>
            </w:r>
          </w:p>
          <w:p w14:paraId="18AAEA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6FF800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18304D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10139B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</w:t>
            </w:r>
          </w:p>
          <w:p w14:paraId="5B3243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32621B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{ return true; }</w:t>
            </w:r>
          </w:p>
          <w:p w14:paraId="78CE69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("TC_6_4_1_1_NR5GC") { return true; }</w:t>
            </w:r>
          </w:p>
          <w:p w14:paraId="0FF8AF2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("TC_6_4_2_2_NR5GC") { return true; }</w:t>
            </w:r>
          </w:p>
          <w:p w14:paraId="5B72381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>
      <w:pPr>
        <w:spacing w:after="0"/>
        <w:rPr>
          <w:rFonts w:ascii="Arial" w:hAnsi="Arial"/>
          <w:b/>
          <w:lang w:eastAsia="en-GB"/>
        </w:rPr>
      </w:pPr>
    </w:p>
    <w:p w14:paraId="28C15A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 w14:paraId="125CB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 w14:paraId="69425DF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bookmarkStart w:id="14" w:name="OLE_LINK3"/>
            <w:bookmarkStart w:id="15" w:name="OLE_LINK2"/>
            <w:r>
              <w:rPr>
                <w:rFonts w:ascii="Courier New" w:hAnsi="Courier New" w:cs="Courier New"/>
                <w:bCs/>
                <w:sz w:val="18"/>
                <w:szCs w:val="18"/>
              </w:rPr>
              <w:t>f_GetTestcaseAttrib_EarlyContentionResolution</w:t>
            </w:r>
            <w:bookmarkEnd w:id="14"/>
            <w:bookmarkEnd w:id="15"/>
            <w:r>
              <w:rPr>
                <w:rFonts w:ascii="Courier New" w:hAnsi="Courier New" w:cs="Courier New"/>
                <w:bCs/>
                <w:sz w:val="18"/>
                <w:szCs w:val="18"/>
              </w:rPr>
              <w:t>(charstring p_Testcase) return boolean</w:t>
            </w:r>
          </w:p>
          <w:p w14:paraId="321CA9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0A6188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(p_Testcase) {</w:t>
            </w:r>
          </w:p>
          <w:p w14:paraId="4F06F1B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5873E60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714D62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40BA6A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</w:t>
            </w:r>
          </w:p>
          <w:p w14:paraId="4AA4BEF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2D3F04C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{ return true; }</w:t>
            </w:r>
          </w:p>
          <w:p w14:paraId="65A6906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case ("TC_6_3_1_7_NR5GC") { return true; } //WA#WI1319960 6_3_1_7</w:t>
            </w:r>
          </w:p>
          <w:p w14:paraId="41FF421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("TC_6_4_1_1_NR5GC") { return true; }</w:t>
            </w:r>
          </w:p>
          <w:p w14:paraId="618A3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("TC_6_4_2_2_NR5GC") { return true; }</w:t>
            </w:r>
          </w:p>
          <w:p w14:paraId="2625C75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316E118A">
      <w:pPr>
        <w:spacing w:after="0"/>
        <w:rPr>
          <w:rFonts w:ascii="Arial" w:hAnsi="Arial"/>
          <w:b/>
          <w:lang w:eastAsia="en-GB"/>
        </w:rPr>
      </w:pPr>
    </w:p>
    <w:p w14:paraId="3801FC5B">
      <w:pPr>
        <w:spacing w:after="0"/>
        <w:rPr>
          <w:rFonts w:ascii="Arial" w:hAnsi="Arial"/>
          <w:b/>
          <w:highlight w:val="cyan"/>
          <w:lang w:eastAsia="en-GB"/>
        </w:rPr>
      </w:pPr>
      <w:r>
        <w:rPr>
          <w:rFonts w:hint="eastAsia" w:ascii="Arial" w:hAnsi="Arial"/>
          <w:b/>
          <w:highlight w:val="cyan"/>
          <w:lang w:eastAsia="en-GB"/>
        </w:rPr>
        <w:t>MCC160 implementation</w:t>
      </w:r>
      <w:r>
        <w:rPr>
          <w:rFonts w:ascii="Arial" w:hAnsi="Arial"/>
          <w:b/>
          <w:highlight w:val="cyan"/>
          <w:lang w:eastAsia="en-GB"/>
        </w:rPr>
        <w:t>:</w:t>
      </w:r>
    </w:p>
    <w:tbl>
      <w:tblPr>
        <w:tblStyle w:val="43"/>
        <w:tblW w:w="9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 w14:paraId="54CC6E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 w14:paraId="0E3BED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r>
              <w:rPr>
                <w:rFonts w:hint="eastAsia" w:ascii="Courier New" w:hAnsi="Courier New" w:cs="Courier New"/>
                <w:bCs/>
                <w:sz w:val="18"/>
                <w:szCs w:val="18"/>
              </w:rPr>
              <w:t>fl_TC_6_3_1_7_TestBody() runs on NR5GC_PTC</w:t>
            </w:r>
          </w:p>
          <w:p w14:paraId="6CA833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{</w:t>
            </w:r>
          </w:p>
          <w:p w14:paraId="1576A18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76F57D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1A6C518"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</w:pPr>
            <w:r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  <w:t xml:space="preserve">    //@siclog "Step 24" siclog@//@sic R5-216165 sic@</w:t>
            </w:r>
          </w:p>
          <w:p w14:paraId="6DD4E922"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</w:pPr>
            <w:r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  <w:t xml:space="preserve">    //The SS releases the RRC connection.</w:t>
            </w:r>
          </w:p>
          <w:p w14:paraId="68FE1E9E"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sz w:val="18"/>
                <w:szCs w:val="18"/>
                <w:highlight w:val="cyan"/>
              </w:rPr>
            </w:pPr>
            <w:r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  <w:t xml:space="preserve">    </w:t>
            </w:r>
            <w:r>
              <w:rPr>
                <w:rFonts w:hint="eastAsia" w:ascii="Courier New" w:hAnsi="Courier New" w:cs="Courier New"/>
                <w:b w:val="0"/>
                <w:bCs/>
                <w:sz w:val="18"/>
                <w:szCs w:val="18"/>
                <w:highlight w:val="cyan"/>
              </w:rPr>
              <w:t>SRB.send(cas_NR_SRB1_RrcPdu_REQ(nr_Cell11, -, cs_38508_RRCRelease (tsc_NR_RRC_TI_Def))); //@sic R5s240711 sic@</w:t>
            </w:r>
          </w:p>
          <w:p w14:paraId="78D4B8D1"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sz w:val="18"/>
                <w:szCs w:val="18"/>
                <w:highlight w:val="cyan"/>
              </w:rPr>
            </w:pPr>
            <w:r>
              <w:rPr>
                <w:rFonts w:hint="eastAsia" w:ascii="Courier New" w:hAnsi="Courier New" w:cs="Courier New"/>
                <w:b w:val="0"/>
                <w:bCs/>
                <w:sz w:val="18"/>
                <w:szCs w:val="18"/>
                <w:highlight w:val="cyan"/>
              </w:rPr>
              <w:t xml:space="preserve">    f_NR_RRCRelease_Local(nr_Cell11, f_NR_GetNextSendOccasion_DL(nr_Cell11)); //@sic R5s240711 sic@</w:t>
            </w:r>
          </w:p>
          <w:p w14:paraId="4843F975"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</w:pPr>
            <w:r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  <w:t xml:space="preserve">    deactivate(v_MyDefaultVar); //@sic R5-231404 sic@</w:t>
            </w:r>
          </w:p>
          <w:p w14:paraId="26E49196"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</w:pPr>
            <w:r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  <w:t xml:space="preserve">    //@sic R5-247540 sic@</w:t>
            </w:r>
          </w:p>
          <w:p w14:paraId="22EFE325">
            <w:pPr>
              <w:autoSpaceDE w:val="0"/>
              <w:autoSpaceDN w:val="0"/>
              <w:adjustRightInd w:val="0"/>
              <w:spacing w:after="0"/>
              <w:ind w:firstLine="432"/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</w:pPr>
            <w:r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  <w:t>//@siclog "Step 25" siclog@</w:t>
            </w:r>
            <w:bookmarkStart w:id="16" w:name="_GoBack"/>
            <w:bookmarkEnd w:id="16"/>
          </w:p>
          <w:p w14:paraId="0A6A6199">
            <w:pPr>
              <w:autoSpaceDE w:val="0"/>
              <w:autoSpaceDN w:val="0"/>
              <w:adjustRightInd w:val="0"/>
              <w:spacing w:after="0"/>
              <w:ind w:firstLine="432"/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</w:pPr>
          </w:p>
          <w:p w14:paraId="61A99C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B8879F1"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sz w:val="18"/>
                <w:szCs w:val="18"/>
              </w:rPr>
            </w:pPr>
          </w:p>
          <w:p w14:paraId="57D1E8A4"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 w:eastAsiaTheme="minorEastAsia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Courier New" w:hAnsi="Courier New" w:cs="Courier New"/>
                <w:b w:val="0"/>
                <w:bCs/>
                <w:sz w:val="18"/>
                <w:szCs w:val="18"/>
                <w:lang w:val="en-US" w:eastAsia="zh-CN"/>
              </w:rPr>
              <w:t>}</w:t>
            </w:r>
          </w:p>
        </w:tc>
      </w:tr>
    </w:tbl>
    <w:p w14:paraId="59BE5B1D">
      <w:pPr>
        <w:pStyle w:val="3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>
      <w:pPr>
        <w:pStyle w:val="3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8B5B"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A758AA"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ED4AD"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90661E"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FF57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730F9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7F6EEE">
    <w:pPr>
      <w:pStyle w:val="34"/>
      <w:tabs>
        <w:tab w:val="right" w:pos="9639"/>
      </w:tabs>
    </w:pPr>
    <w:r>
      <w:tab/>
    </w: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 w14:paraId="3B07C4F8"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top:14.2pt;height:12.2pt;width:3.3pt;mso-position-horizontal:left;mso-position-horizontal-relative:margin;mso-position-vertical-relative:page;mso-wrap-style:none;z-index:251659264;mso-width-relative:page;mso-height-relative:page;" filled="f" stroked="f" coordsize="21600,21600" o:gfxdata="UEsDBAoAAAAAAIdO4kAAAAAAAAAAAAAAAAAEAAAAZHJzL1BLAwQUAAAACACHTuJAnHXJR9MAAAAE&#10;AQAADwAAAGRycy9kb3ducmV2LnhtbE2PwU7DMBBE70j8g7VI3KjTUKIoZFOJinBEoumBoxtvk5R4&#10;HdluGv4ec4LjaEYzb8rtYkYxk/ODZYT1KgFB3Fo9cIdwaOqHHIQPirUaLRPCN3nYVrc3pSq0vfIH&#10;zfvQiVjCvlAIfQhTIaVvezLKr+xEHL2TdUaFKF0ntVPXWG5GmSZJJo0aOC70aqJdT+3X/mIQdnXT&#10;uJm8Gz/prX48v79s6HVBvL9bJ88gAi3hLwy/+BEdqsh0tBfWXowI8UhASPMNiOhmGYgjwlOag6xK&#10;+R+++gFQSwMEFAAAAAgAh07iQJ0LhecnAgAAWQQAAA4AAABkcnMvZTJvRG9jLnhtbK1UTW/bMAy9&#10;D9h/EHRfHKdp0ARxiqxFhwHBWiAddlZkOTagL0hK7ezX70m206LboYddFJofj+QjmfVtpyR5Ec43&#10;Rhc0n0wpEZqbstHHgv58fvhyQ4kPTJdMGi0Kehae3m4+f1q3diVmpjayFI4ARPtVawtah2BXWeZ5&#10;LRTzE2OFhrEyTrGAT3fMSsdaoCuZzabTRdYaV1pnuPAe2vveSAdE9xFAU1UNF/eGn5TQoUd1QrKA&#10;lnzdWE83qdqqEjw8VpUXgciCotOQXiSBfIhvtlmz1dExWzd8KIF9pIR3PSnWaCS9QN2zwMjJNX9B&#10;qYY7400VJtyorG8kMYIu8uk7bvY1syL1Aqq9vZDu/x8s//Hy5EhTFnQ+zRdXNzfXS0o0Uxj8s+gC&#10;+Wo6Mosstdav4Ly3cA8d1NidUe+hjM13lVPxF20R2MHx+cJxBONQzvNlDgOHJb+eL+dpBNlrrHU+&#10;fBNGkSgU1GGCiVj2svMBdcB1dImptHlopExTlJq0BV1cXU9TwMWCCKkRGDvoK41S6A7d0NbBlGd0&#10;5Uy/Hd7yhwbJd8yHJ+awDqgXBxMe8VTSIIkZJEpq437/Sx/9MSVYKWmxXgXVuCZK5HeN6QEwjIIb&#10;hcMo6JO6M9jXHIdoeRIR4IIcxcoZ9QtXtI05YGKaI1NBwyjehX7FcYVcbLfJCftmWdjpveUROpLn&#10;7fYUQGDiNZLSMzFwhY1LdA/XEVf67Xfyev1H2Pw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nHXJ&#10;R9MAAAAEAQAADwAAAAAAAAABACAAAAAiAAAAZHJzL2Rvd25yZXYueG1sUEsBAhQAFAAAAAgAh07i&#10;QJ0LhecnAgAAWQQAAA4AAAAAAAAAAQAgAAAAIg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106"/>
                      </w:rPr>
                    </w:sdtEndPr>
                    <w:sdtContent>
                      <w:p w14:paraId="3B07C4F8"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D11F1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 w14:paraId="1413C1F8"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type="#_x0000_t202" style="position:absolute;left:0pt;margin-top:14.2pt;height:25.8pt;width:454.1pt;mso-position-horizontal:left;mso-position-horizontal-relative:margin;mso-position-vertical-relative:page;mso-wrap-style:none;z-index:251661312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UhSujKQIAAFwEAAAOAAAAZHJzL2Uyb0RvYy54bWytVEuP2jAQ&#10;vlfqf7B8L+EhYIU2rOgiqkqouxJb9Wwch0TyS7Yhob++n52EXW172EMvZjKPb2a+meH+oVWSXITz&#10;tdE5nYzGlAjNTVHrU05/vuy+3FHiA9MFk0aLnF6Fpw/rz5/uG7sSU1MZWQhHAKL9qrE5rUKwqyzz&#10;vBKK+ZGxQsNYGqdYwKc7ZYVjDdCVzKbj8SJrjCusM1x4D+22M9Ie0X0E0JRlzcXW8LMSOnSoTkgW&#10;0JKvauvpOlVbloKHp7L0IhCZU3Qa0oskkI/xzdb3bHVyzFY170tgHynhXU+K1RpJb1BbFhg5u/ov&#10;KFVzZ7wpw4gblXWNJEbQxWT8jptDxaxIvYBqb2+k+/8Hy39cnh2pi5xOJ5PpZD6d3S0p0Uxh8i+i&#10;DeSracks0tRYv4L3wcI/tFBjeQa9hzJ235ZOxV/0RWAHydcbyRGMQzlfLpbjJUwcttl0uVikKWSv&#10;0db58E0YRaKQU4chJm7ZZe8DKoHr4BKTabOrpUyDlJo0OV3M5uMUcLMgQmoExh66WqMU2mPbN3Y0&#10;xRV9OdMtiLd8VyP5nvnwzBw2AvXiZsITnlIaJDG9REll3O9/6aM/BgUrJQ02LKcaB0WJ/K4xQACG&#10;QXCDcBwEfVaPBis7wS1ankQEuCAHsXRG/cIhbWIOmJjmyJTTMIiPodtyHCIXm01ywspZFvb6YHmE&#10;juR5uzkHEJh4jaR0TPRcYekS3f2BxK1++528Xv8U1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uIvKDdQAAAAGAQAADwAAAAAAAAABACAAAAAiAAAAZHJzL2Rvd25yZXYueG1sUEsBAhQAFAAAAAgA&#10;h07iQJSFK6MpAgAAXAQAAA4AAAAAAAAAAQAgAAAAI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106"/>
                      </w:rPr>
                    </w:sdtEndPr>
                    <w:sdtContent>
                      <w:p w14:paraId="1413C1F8"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C6BD47">
    <w:pPr>
      <w:pStyle w:val="3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106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106"/>
                            </w:rPr>
                          </w:sdtEndPr>
                          <w:sdtContent>
                            <w:p w14:paraId="3AC5900C">
                              <w:pPr>
                                <w:pStyle w:val="108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106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14.2pt;height:25.8pt;width:454.1pt;mso-position-horizontal:left;mso-position-horizontal-relative:margin;mso-position-vertical-relative:page;mso-wrap-style:none;z-index:25166028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2W+26KAIAAFwEAAAOAAAAZHJzL2Uyb0RvYy54bWytVE1v2zAM&#10;vQ/YfxB0X2yniLMGdYqsRYcBwVqgHXZWZDk2oC9ISuzs1+9JjtOh26GHXRSaH4/kI5mb20FJchTO&#10;d0ZXtJjllAjNTd3pfUV/vDx8+kyJD0zXTBotKnoSnt6uP3646e1KzE1rZC0cAYj2q95WtA3BrrLM&#10;81Yo5mfGCg1jY5xiAZ9un9WO9UBXMpvneZn1xtXWGS68h/Z+NNIzonsPoGmajot7ww9K6DCiOiFZ&#10;QEu+7ayn61Rt0wgeHpvGi0BkRdFpSC+SQN7FN1vfsNXeMdt2/FwCe08Jb3pSrNNIeoG6Z4GRg+v+&#10;glIdd8abJsy4UdnYSGIEXRT5G26eW2ZF6gVUe3sh3f8/WP79+ORIV2MTirKcF0W+uKZEM4XJv4gh&#10;kC9mIEWkqbd+Be9nC/8wQI2QSe+hjN0PjVPxF30R2EHy6UJyBONQLpblMl/CxGG7mi/LMk0he422&#10;zoevwigShYo6DDFxy45bH1AJXCeXmEybh07KNEipSV/R8mqRp4CLBRFSIzD2MNYapTDshnNjO1Of&#10;0Jcz44J4yx86JN8yH56Yw0agXtxMeMTTSIMk5ixR0hr361/66I9BwUpJjw2rqMZBUSK/aQwQgGES&#10;3CTsJkEf1J3Byha4RcuTiAAX5CQ2zqifOKRNzAET0xyZKhom8S6MW45D5GKzSU5YOcvCVj9bHqEj&#10;ed5uDgEEJl4jKSMTZ66wdInu84HErf7zO3m9/ims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4&#10;i8oN1AAAAAYBAAAPAAAAAAAAAAEAIAAAACIAAABkcnMvZG93bnJldi54bWxQSwECFAAUAAAACACH&#10;TuJANlvtuigCAABcBAAADgAAAAAAAAABACAAAAAj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106"/>
                      </w:rPr>
                    </w:sdtEndPr>
                    <w:sdtContent>
                      <w:p w14:paraId="3AC5900C"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1"/>
  <w:bordersDoNotSurroundFooter w:val="1"/>
  <w:hideSpellingErrors/>
  <w:attachedTemplate r:id="rId1"/>
  <w:documentProtection w:enforcement="0"/>
  <w:defaultTabStop w:val="284"/>
  <w:hyphenationZone w:val="425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3635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037F"/>
    <w:rsid w:val="00135459"/>
    <w:rsid w:val="0013583B"/>
    <w:rsid w:val="001429E6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2F0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503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D77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31F0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45E05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FCA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17D60DCE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link w:val="95"/>
    <w:qFormat/>
    <w:uiPriority w:val="0"/>
    <w:pPr>
      <w:outlineLvl w:val="6"/>
    </w:pPr>
  </w:style>
  <w:style w:type="paragraph" w:styleId="10">
    <w:name w:val="heading 8"/>
    <w:basedOn w:val="2"/>
    <w:next w:val="1"/>
    <w:link w:val="9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7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4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02"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100"/>
    <w:qFormat/>
    <w:uiPriority w:val="0"/>
    <w:pPr>
      <w:jc w:val="center"/>
    </w:pPr>
    <w:rPr>
      <w:i/>
    </w:rPr>
  </w:style>
  <w:style w:type="paragraph" w:styleId="34">
    <w:name w:val="header"/>
    <w:link w:val="98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9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link w:val="103"/>
    <w:semiHidden/>
    <w:qFormat/>
    <w:uiPriority w:val="0"/>
    <w:rPr>
      <w:b/>
      <w:bCs/>
    </w:rPr>
  </w:style>
  <w:style w:type="character" w:styleId="45">
    <w:name w:val="FollowedHyperlink"/>
    <w:qFormat/>
    <w:uiPriority w:val="99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114"/>
    <w:qFormat/>
    <w:uiPriority w:val="0"/>
  </w:style>
  <w:style w:type="paragraph" w:customStyle="1" w:styleId="78">
    <w:name w:val="B2"/>
    <w:basedOn w:val="13"/>
    <w:link w:val="115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link w:val="111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标题 Char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6">
    <w:name w:val="CR Cover Page Char"/>
    <w:link w:val="83"/>
    <w:qFormat/>
    <w:locked/>
    <w:uiPriority w:val="0"/>
    <w:rPr>
      <w:rFonts w:ascii="Arial" w:hAnsi="Arial"/>
      <w:lang w:eastAsia="en-US"/>
    </w:rPr>
  </w:style>
  <w:style w:type="paragraph" w:customStyle="1" w:styleId="87">
    <w:name w:val="列出段落1"/>
    <w:basedOn w:val="1"/>
    <w:qFormat/>
    <w:uiPriority w:val="34"/>
    <w:pPr>
      <w:ind w:left="720"/>
    </w:pPr>
  </w:style>
  <w:style w:type="character" w:customStyle="1" w:styleId="88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89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90">
    <w:name w:val="标题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91">
    <w:name w:val="标题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2">
    <w:name w:val="标题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3">
    <w:name w:val="标题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94">
    <w:name w:val="标题 6 Char"/>
    <w:link w:val="7"/>
    <w:qFormat/>
    <w:uiPriority w:val="0"/>
    <w:rPr>
      <w:rFonts w:ascii="Arial" w:hAnsi="Arial"/>
      <w:lang w:val="en-GB"/>
    </w:rPr>
  </w:style>
  <w:style w:type="character" w:customStyle="1" w:styleId="95">
    <w:name w:val="标题 7 Char"/>
    <w:link w:val="9"/>
    <w:qFormat/>
    <w:uiPriority w:val="0"/>
    <w:rPr>
      <w:rFonts w:ascii="Arial" w:hAnsi="Arial"/>
      <w:lang w:val="en-GB"/>
    </w:rPr>
  </w:style>
  <w:style w:type="character" w:customStyle="1" w:styleId="96">
    <w:name w:val="标题 8 Char"/>
    <w:link w:val="10"/>
    <w:qFormat/>
    <w:uiPriority w:val="0"/>
    <w:rPr>
      <w:rFonts w:ascii="Arial" w:hAnsi="Arial"/>
      <w:sz w:val="36"/>
      <w:lang w:val="en-GB"/>
    </w:rPr>
  </w:style>
  <w:style w:type="character" w:customStyle="1" w:styleId="97">
    <w:name w:val="标题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98">
    <w:name w:val="页眉 Char"/>
    <w:link w:val="34"/>
    <w:qFormat/>
    <w:uiPriority w:val="0"/>
    <w:rPr>
      <w:rFonts w:ascii="Arial" w:hAnsi="Arial"/>
      <w:b/>
      <w:sz w:val="18"/>
      <w:lang w:val="en-GB"/>
    </w:rPr>
  </w:style>
  <w:style w:type="character" w:customStyle="1" w:styleId="99">
    <w:name w:val="脚注文本 Char"/>
    <w:link w:val="35"/>
    <w:semiHidden/>
    <w:qFormat/>
    <w:uiPriority w:val="0"/>
    <w:rPr>
      <w:rFonts w:ascii="Times New Roman" w:hAnsi="Times New Roman"/>
      <w:sz w:val="16"/>
      <w:lang w:val="en-GB"/>
    </w:rPr>
  </w:style>
  <w:style w:type="character" w:customStyle="1" w:styleId="100">
    <w:name w:val="页脚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01">
    <w:name w:val="批注文字 Char"/>
    <w:link w:val="29"/>
    <w:semiHidden/>
    <w:qFormat/>
    <w:uiPriority w:val="0"/>
    <w:rPr>
      <w:rFonts w:ascii="Times New Roman" w:hAnsi="Times New Roman"/>
      <w:lang w:val="en-GB"/>
    </w:rPr>
  </w:style>
  <w:style w:type="character" w:customStyle="1" w:styleId="102">
    <w:name w:val="批注框文本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3">
    <w:name w:val="批注主题 Char"/>
    <w:link w:val="42"/>
    <w:semiHidden/>
    <w:qFormat/>
    <w:uiPriority w:val="0"/>
    <w:rPr>
      <w:rFonts w:ascii="Times New Roman" w:hAnsi="Times New Roman"/>
      <w:b/>
      <w:bCs/>
      <w:lang w:val="en-GB"/>
    </w:rPr>
  </w:style>
  <w:style w:type="character" w:customStyle="1" w:styleId="104">
    <w:name w:val="文档结构图 Char"/>
    <w:link w:val="28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05">
    <w:name w:val="Placeholder Classification"/>
    <w:basedOn w:val="44"/>
    <w:unhideWhenUsed/>
    <w:qFormat/>
    <w:uiPriority w:val="99"/>
    <w:rPr>
      <w:rFonts w:asciiTheme="minorHAnsi" w:hAnsiTheme="minorHAnsi" w:eastAsiaTheme="minorEastAsia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106">
    <w:name w:val="Classification"/>
    <w:basedOn w:val="44"/>
    <w:qFormat/>
    <w:uiPriority w:val="99"/>
    <w:rPr>
      <w:rFonts w:asciiTheme="minorHAnsi" w:hAnsiTheme="minorHAnsi" w:eastAsiaTheme="minorEastAsia" w:cstheme="minorBidi"/>
      <w:b/>
      <w:bCs/>
      <w:caps/>
      <w:color w:val="000000"/>
      <w:spacing w:val="20"/>
      <w:sz w:val="20"/>
      <w:szCs w:val="20"/>
    </w:rPr>
  </w:style>
  <w:style w:type="character" w:customStyle="1" w:styleId="107">
    <w:name w:val="占位符文本1"/>
    <w:basedOn w:val="44"/>
    <w:unhideWhenUsed/>
    <w:qFormat/>
    <w:uiPriority w:val="99"/>
    <w:rPr>
      <w:vanish/>
      <w:color w:val="AEB5BB"/>
    </w:rPr>
  </w:style>
  <w:style w:type="paragraph" w:customStyle="1" w:styleId="108">
    <w:name w:val="无间隔1"/>
    <w:basedOn w:val="1"/>
    <w:link w:val="109"/>
    <w:qFormat/>
    <w:uiPriority w:val="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109">
    <w:name w:val="无间隔 Char"/>
    <w:basedOn w:val="44"/>
    <w:link w:val="108"/>
    <w:qFormat/>
    <w:uiPriority w:val="1"/>
    <w:rPr>
      <w:rFonts w:asciiTheme="minorHAnsi" w:hAnsiTheme="minorHAnsi" w:eastAsiaTheme="minorEastAsia" w:cstheme="minorBidi"/>
      <w:lang w:eastAsia="zh-CN"/>
    </w:rPr>
  </w:style>
  <w:style w:type="character" w:customStyle="1" w:styleId="110">
    <w:name w:val="TH Char"/>
    <w:link w:val="57"/>
    <w:qFormat/>
    <w:uiPriority w:val="0"/>
    <w:rPr>
      <w:rFonts w:ascii="Arial" w:hAnsi="Arial"/>
      <w:b/>
      <w:lang w:val="en-GB"/>
    </w:rPr>
  </w:style>
  <w:style w:type="character" w:customStyle="1" w:styleId="111">
    <w:name w:val="B5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112">
    <w:name w:val="Revision"/>
    <w:hidden/>
    <w:unhideWhenUsed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3">
    <w:name w:val="List Paragraph"/>
    <w:basedOn w:val="1"/>
    <w:unhideWhenUsed/>
    <w:uiPriority w:val="99"/>
    <w:pPr>
      <w:ind w:left="720"/>
      <w:contextualSpacing/>
    </w:pPr>
  </w:style>
  <w:style w:type="character" w:customStyle="1" w:styleId="114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15">
    <w:name w:val="B2 Char"/>
    <w:link w:val="78"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3A725A-A2AF-4161-9820-6DF2F61C35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310</Words>
  <Characters>1785</Characters>
  <Lines>39</Lines>
  <Paragraphs>10</Paragraphs>
  <TotalTime>59</TotalTime>
  <ScaleCrop>false</ScaleCrop>
  <LinksUpToDate>false</LinksUpToDate>
  <CharactersWithSpaces>2040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2025-01-16T03:20:00Z</dcterms:created>
  <dc:creator>Michael Sanders, John M Meredith</dc:creator>
  <cp:lastModifiedBy>-</cp:lastModifiedBy>
  <cp:lastPrinted>1900-12-31T16:00:00Z</cp:lastPrinted>
  <dcterms:modified xsi:type="dcterms:W3CDTF">2025-01-20T03:11:46Z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2052-12.1.0.19770</vt:lpwstr>
  </property>
  <property fmtid="{D5CDD505-2E9C-101B-9397-08002B2CF9AE}" pid="30" name="KSOTemplateDocerSaveRecord">
    <vt:lpwstr>eyJoZGlkIjoiNTAzM2U3NzhjMjBkNDg3ODg2NzBjMmRiZjcyNTg3MDgiLCJ1c2VySWQiOiIyNDA4ODgwNzUifQ==</vt:lpwstr>
  </property>
  <property fmtid="{D5CDD505-2E9C-101B-9397-08002B2CF9AE}" pid="31" name="ICV">
    <vt:lpwstr>A996B5C1F4344138B5C91FA7FB0A6712_12</vt:lpwstr>
  </property>
</Properties>
</file>