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7E3BE23"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34829">
        <w:t>6</w:t>
      </w:r>
      <w:r w:rsidR="00DB2F35">
        <w:t>-e</w:t>
      </w:r>
      <w:r w:rsidR="00D20312">
        <w:t xml:space="preserve">                                                  </w:t>
      </w:r>
      <w:r w:rsidR="0033716D">
        <w:t>R5-2250</w:t>
      </w:r>
      <w:r w:rsidR="00212585">
        <w:t>32</w:t>
      </w:r>
      <w:r w:rsidRPr="004266F6">
        <w:tab/>
      </w:r>
    </w:p>
    <w:p w14:paraId="1C54FDC5" w14:textId="5F24E61E" w:rsidR="00D309CC" w:rsidRPr="00FD166F" w:rsidRDefault="00B03815" w:rsidP="00D46431">
      <w:pPr>
        <w:pStyle w:val="CH"/>
        <w:tabs>
          <w:tab w:val="clear" w:pos="7920"/>
        </w:tabs>
        <w:rPr>
          <w:b w:val="0"/>
        </w:rPr>
      </w:pPr>
      <w:r>
        <w:t>Electronic Meeting</w:t>
      </w:r>
      <w:r w:rsidRPr="004266F6">
        <w:t xml:space="preserve">, </w:t>
      </w:r>
      <w:r w:rsidR="00234829">
        <w:t>15</w:t>
      </w:r>
      <w:r w:rsidR="00234829" w:rsidRPr="00234829">
        <w:rPr>
          <w:vertAlign w:val="superscript"/>
        </w:rPr>
        <w:t>th</w:t>
      </w:r>
      <w:r w:rsidR="00234829">
        <w:t xml:space="preserve"> </w:t>
      </w:r>
      <w:r w:rsidR="00574B61">
        <w:t>August –</w:t>
      </w:r>
      <w:r>
        <w:t xml:space="preserve"> </w:t>
      </w:r>
      <w:r w:rsidR="00AF56D3">
        <w:t>2</w:t>
      </w:r>
      <w:r w:rsidR="00234829">
        <w:t>6</w:t>
      </w:r>
      <w:r w:rsidR="00234829" w:rsidRPr="00234829">
        <w:rPr>
          <w:vertAlign w:val="superscript"/>
        </w:rPr>
        <w:t>th</w:t>
      </w:r>
      <w:r w:rsidR="00234829">
        <w:t xml:space="preserve"> August</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0FDA8A40" w:rsidR="00DB2F35" w:rsidRPr="00DB2F35" w:rsidRDefault="00D309CC" w:rsidP="00DB2F35">
      <w:pPr>
        <w:pStyle w:val="CH"/>
        <w:spacing w:after="180"/>
      </w:pPr>
      <w:r w:rsidRPr="004266F6">
        <w:t>Agenda item:</w:t>
      </w:r>
      <w:r w:rsidRPr="004266F6">
        <w:tab/>
      </w:r>
      <w:r w:rsidR="0014035F">
        <w:t>5.</w:t>
      </w:r>
      <w:r w:rsidR="00212585">
        <w:t>3</w:t>
      </w:r>
      <w:r w:rsidR="0014035F">
        <w:t>.</w:t>
      </w:r>
      <w:r w:rsidR="00851E7A">
        <w:t>1</w:t>
      </w:r>
      <w:r w:rsidR="00212585">
        <w:t>9.7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7E612AF8" w14:textId="77777777" w:rsidR="00212585" w:rsidRPr="00212585" w:rsidRDefault="00D309CC" w:rsidP="00212585">
      <w:pPr>
        <w:pStyle w:val="CH"/>
        <w:spacing w:after="180"/>
        <w:rPr>
          <w:lang w:val="en-US"/>
        </w:rPr>
      </w:pPr>
      <w:r w:rsidRPr="004266F6">
        <w:t>Title:</w:t>
      </w:r>
      <w:r w:rsidR="007B5C8F">
        <w:t xml:space="preserve">       </w:t>
      </w:r>
      <w:r w:rsidR="00212585" w:rsidRPr="00212585">
        <w:rPr>
          <w:lang w:val="en-US"/>
        </w:rPr>
        <w:t>Discussion on NR-DC RF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93DE08B" w14:textId="6A511382" w:rsidR="002C150F" w:rsidRPr="002C150F" w:rsidRDefault="002C150F" w:rsidP="002C150F">
      <w:pPr>
        <w:rPr>
          <w:rFonts w:eastAsiaTheme="minorEastAsia"/>
        </w:rPr>
      </w:pPr>
      <w:r w:rsidRPr="002C150F">
        <w:rPr>
          <w:rFonts w:eastAsiaTheme="minorEastAsia"/>
          <w:lang w:val="en-GB"/>
        </w:rPr>
        <w:t>LTE-NR &amp; NR-NR Dual Connectivity and NR CA enhancements work item</w:t>
      </w:r>
      <w:r>
        <w:rPr>
          <w:rFonts w:eastAsiaTheme="minorEastAsia"/>
          <w:lang w:val="en-GB"/>
        </w:rPr>
        <w:t xml:space="preserve"> has been in progress in RAN5</w:t>
      </w:r>
      <w:r w:rsidRPr="002C150F">
        <w:rPr>
          <w:rFonts w:eastAsiaTheme="minorEastAsia"/>
          <w:lang w:val="en-GB"/>
        </w:rPr>
        <w:t>.</w:t>
      </w:r>
      <w:r>
        <w:rPr>
          <w:rFonts w:eastAsiaTheme="minorEastAsia"/>
          <w:lang w:val="en-GB"/>
        </w:rPr>
        <w:t xml:space="preserve"> The current w</w:t>
      </w:r>
      <w:r w:rsidRPr="002C150F">
        <w:rPr>
          <w:rFonts w:eastAsiaTheme="minorEastAsia"/>
          <w:lang w:val="en-GB"/>
        </w:rPr>
        <w:t xml:space="preserve">ork plan includes </w:t>
      </w:r>
      <w:r>
        <w:rPr>
          <w:rFonts w:eastAsiaTheme="minorEastAsia"/>
          <w:lang w:val="en-GB"/>
        </w:rPr>
        <w:t xml:space="preserve">within its scope updates </w:t>
      </w:r>
      <w:r w:rsidR="00212585">
        <w:rPr>
          <w:rFonts w:eastAsiaTheme="minorEastAsia"/>
          <w:lang w:val="en-GB"/>
        </w:rPr>
        <w:t>to</w:t>
      </w:r>
      <w:r>
        <w:rPr>
          <w:rFonts w:eastAsiaTheme="minorEastAsia"/>
          <w:lang w:val="en-GB"/>
        </w:rPr>
        <w:t xml:space="preserve"> NR-DC requirements for </w:t>
      </w:r>
      <w:r w:rsidRPr="002C150F">
        <w:rPr>
          <w:rFonts w:eastAsiaTheme="minorEastAsia"/>
          <w:lang w:val="en-GB"/>
        </w:rPr>
        <w:t>RF testcases</w:t>
      </w:r>
      <w:r>
        <w:rPr>
          <w:rFonts w:eastAsiaTheme="minorEastAsia"/>
          <w:lang w:val="en-GB"/>
        </w:rPr>
        <w:t xml:space="preserve">. The RF test cases in TS 38.521-1 were a later addition to the work item as per </w:t>
      </w:r>
      <w:r w:rsidRPr="002C150F">
        <w:rPr>
          <w:rFonts w:eastAsiaTheme="minorEastAsia"/>
          <w:lang w:val="en-GB"/>
        </w:rPr>
        <w:t xml:space="preserve">discussions and decisions in last RAN5 and plenary meetings. </w:t>
      </w:r>
      <w:r>
        <w:rPr>
          <w:rFonts w:eastAsiaTheme="minorEastAsia"/>
          <w:lang w:val="en-GB"/>
        </w:rPr>
        <w:t xml:space="preserve">This discussion paper focuses on aspects of testing of the NR-DC RF test cases and proposes some alignments and streamline of test rules. </w:t>
      </w:r>
    </w:p>
    <w:p w14:paraId="25DBFB9B" w14:textId="43664116" w:rsidR="002C150F" w:rsidRPr="002C150F" w:rsidRDefault="002C150F" w:rsidP="002C150F">
      <w:pPr>
        <w:rPr>
          <w:rFonts w:eastAsiaTheme="minorEastAsia"/>
        </w:rPr>
      </w:pP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3FF12EA0"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2C150F">
        <w:rPr>
          <w:rFonts w:eastAsia="MS Mincho"/>
        </w:rPr>
        <w:t>General scope of NR-DC requirements added in core and test specifications</w:t>
      </w:r>
      <w:r w:rsidR="00E57D9E">
        <w:rPr>
          <w:rFonts w:eastAsia="MS Mincho"/>
        </w:rPr>
        <w:t>.</w:t>
      </w:r>
    </w:p>
    <w:p w14:paraId="28287C58" w14:textId="7B1995B2" w:rsidR="00D47406" w:rsidRDefault="002C150F" w:rsidP="00C454BE">
      <w:pPr>
        <w:rPr>
          <w:rFonts w:eastAsia="MS Mincho"/>
          <w:lang w:val="en-GB"/>
        </w:rPr>
      </w:pPr>
      <w:r>
        <w:rPr>
          <w:rFonts w:eastAsia="MS Mincho"/>
          <w:lang w:val="en-GB"/>
        </w:rPr>
        <w:t xml:space="preserve">It would help to understand the scope of new NR-DC test requirements added in </w:t>
      </w:r>
      <w:r w:rsidR="0090475B">
        <w:rPr>
          <w:rFonts w:eastAsia="MS Mincho"/>
          <w:lang w:val="en-GB"/>
        </w:rPr>
        <w:t>TS 38101-1 which has subsequently been adopted in TS 38.521-1.</w:t>
      </w:r>
    </w:p>
    <w:p w14:paraId="770EDA1C" w14:textId="0FD26221" w:rsidR="002842E8" w:rsidRDefault="002842E8" w:rsidP="00C454BE">
      <w:pPr>
        <w:rPr>
          <w:rFonts w:eastAsia="MS Mincho"/>
          <w:lang w:val="en-GB"/>
        </w:rPr>
      </w:pPr>
    </w:p>
    <w:p w14:paraId="150B4C81" w14:textId="3D8EF9E5" w:rsidR="002842E8" w:rsidRDefault="002842E8" w:rsidP="00C454BE">
      <w:pPr>
        <w:rPr>
          <w:rFonts w:eastAsia="MS Mincho"/>
          <w:lang w:val="en-GB"/>
        </w:rPr>
      </w:pPr>
      <w:r>
        <w:rPr>
          <w:rFonts w:eastAsia="MS Mincho"/>
          <w:lang w:val="en-GB"/>
        </w:rPr>
        <w:t>An analysis of the Ch6 tests in TS 38.</w:t>
      </w:r>
      <w:r w:rsidR="00513D7C">
        <w:rPr>
          <w:rFonts w:eastAsia="MS Mincho"/>
          <w:lang w:val="en-GB"/>
        </w:rPr>
        <w:t>521-1 (</w:t>
      </w:r>
      <w:r w:rsidR="00212585">
        <w:rPr>
          <w:rFonts w:eastAsia="MS Mincho"/>
          <w:lang w:val="en-GB"/>
        </w:rPr>
        <w:t>b</w:t>
      </w:r>
      <w:r w:rsidR="00513D7C">
        <w:rPr>
          <w:rFonts w:eastAsia="MS Mincho"/>
          <w:lang w:val="en-GB"/>
        </w:rPr>
        <w:t xml:space="preserve">ased </w:t>
      </w:r>
      <w:r>
        <w:rPr>
          <w:rFonts w:eastAsia="MS Mincho"/>
          <w:lang w:val="en-GB"/>
        </w:rPr>
        <w:t>on core requirements in TS 38.101-1) indicates that apart from the MOP tests all the remaining clauses do not have any specific exception requirements and point back to the NR-CA requirements for coverage.</w:t>
      </w:r>
    </w:p>
    <w:p w14:paraId="7E5ABBED" w14:textId="6A1284CC" w:rsidR="00C454BE" w:rsidRDefault="00C454BE" w:rsidP="00C454BE">
      <w:pPr>
        <w:rPr>
          <w:rFonts w:eastAsia="MS Mincho"/>
          <w:lang w:val="en-GB"/>
        </w:rPr>
      </w:pPr>
    </w:p>
    <w:p w14:paraId="16A08430" w14:textId="77777777" w:rsidR="00513D7C" w:rsidRDefault="00513D7C" w:rsidP="00CE7E87">
      <w:pPr>
        <w:rPr>
          <w:rFonts w:eastAsia="MS Mincho"/>
        </w:rPr>
      </w:pPr>
    </w:p>
    <w:p w14:paraId="26D459A6" w14:textId="5C6AFD32" w:rsidR="00513D7C" w:rsidRDefault="008A0AC5" w:rsidP="00CE7E87">
      <w:pPr>
        <w:rPr>
          <w:rFonts w:eastAsia="MS Mincho"/>
        </w:rPr>
      </w:pPr>
      <w:r>
        <w:rPr>
          <w:rFonts w:eastAsia="MS Mincho"/>
        </w:rPr>
        <w:t>For Ch7 (Receiver) NR-DC tests in TS 38.521-1/TS 38.101-1, all the NR-DC clauses leverage NR-CA test/requirement content. An example from Clause 7.3B is provided below.</w:t>
      </w:r>
    </w:p>
    <w:p w14:paraId="64107BF2" w14:textId="113F94E5" w:rsidR="00380C53" w:rsidRDefault="00380C53" w:rsidP="00380C53">
      <w:pPr>
        <w:jc w:val="center"/>
        <w:rPr>
          <w:rFonts w:eastAsia="MS Mincho"/>
          <w:lang w:val="en-GB"/>
        </w:rPr>
      </w:pPr>
      <w:r w:rsidRPr="00380C53">
        <w:rPr>
          <w:rFonts w:eastAsia="MS Mincho"/>
          <w:noProof/>
          <w:lang w:val="en-GB"/>
        </w:rPr>
        <w:lastRenderedPageBreak/>
        <w:drawing>
          <wp:inline distT="0" distB="0" distL="0" distR="0" wp14:anchorId="23DAEB5F" wp14:editId="10D9DEA8">
            <wp:extent cx="5390147" cy="697012"/>
            <wp:effectExtent l="0" t="0" r="0" b="1905"/>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9"/>
                    <a:stretch>
                      <a:fillRect/>
                    </a:stretch>
                  </pic:blipFill>
                  <pic:spPr>
                    <a:xfrm>
                      <a:off x="0" y="0"/>
                      <a:ext cx="5425942" cy="701641"/>
                    </a:xfrm>
                    <a:prstGeom prst="rect">
                      <a:avLst/>
                    </a:prstGeom>
                  </pic:spPr>
                </pic:pic>
              </a:graphicData>
            </a:graphic>
          </wp:inline>
        </w:drawing>
      </w:r>
    </w:p>
    <w:p w14:paraId="4F3FE211" w14:textId="05E16FF8" w:rsidR="00380C53" w:rsidRDefault="00380C53" w:rsidP="00380C53">
      <w:pPr>
        <w:jc w:val="center"/>
        <w:rPr>
          <w:rFonts w:eastAsia="MS Mincho"/>
          <w:lang w:val="en-GB"/>
        </w:rPr>
      </w:pPr>
    </w:p>
    <w:p w14:paraId="3491397D" w14:textId="380C82C0" w:rsidR="00380C53" w:rsidRDefault="00380C53" w:rsidP="006979E6">
      <w:pPr>
        <w:rPr>
          <w:rFonts w:eastAsia="MS Mincho"/>
          <w:lang w:val="en-GB"/>
        </w:rPr>
      </w:pPr>
      <w:r>
        <w:rPr>
          <w:rFonts w:eastAsia="MS Mincho"/>
          <w:lang w:val="en-GB"/>
        </w:rPr>
        <w:t xml:space="preserve">Table 2.1-1 summarizes the complete picture </w:t>
      </w:r>
      <w:r w:rsidR="008A0AC5">
        <w:rPr>
          <w:rFonts w:eastAsia="MS Mincho"/>
          <w:lang w:val="en-GB"/>
        </w:rPr>
        <w:t>regarding which tests have some exception requirements or NR-DC specific test needs and which purely leverage NR-CA requirements.</w:t>
      </w:r>
    </w:p>
    <w:p w14:paraId="5300DA90" w14:textId="77777777" w:rsidR="008A0AC5" w:rsidRDefault="008A0AC5" w:rsidP="006979E6">
      <w:pPr>
        <w:rPr>
          <w:rFonts w:eastAsia="MS Mincho"/>
          <w:lang w:val="en-GB"/>
        </w:rPr>
      </w:pPr>
    </w:p>
    <w:p w14:paraId="3BE29312" w14:textId="25ACB554" w:rsidR="00380C53" w:rsidRPr="006979E6" w:rsidRDefault="00380C53" w:rsidP="00380C53">
      <w:pPr>
        <w:jc w:val="center"/>
        <w:rPr>
          <w:rFonts w:eastAsia="MS Mincho"/>
          <w:b/>
          <w:bCs/>
          <w:sz w:val="20"/>
          <w:szCs w:val="20"/>
          <w:lang w:val="en-GB"/>
        </w:rPr>
      </w:pPr>
      <w:r w:rsidRPr="006979E6">
        <w:rPr>
          <w:rFonts w:eastAsia="MS Mincho"/>
          <w:b/>
          <w:bCs/>
          <w:sz w:val="20"/>
          <w:szCs w:val="20"/>
          <w:lang w:val="en-GB"/>
        </w:rPr>
        <w:t>Table 2.1-1</w:t>
      </w:r>
      <w:r w:rsidR="006979E6" w:rsidRPr="006979E6">
        <w:rPr>
          <w:rFonts w:eastAsia="MS Mincho"/>
          <w:b/>
          <w:bCs/>
          <w:sz w:val="20"/>
          <w:szCs w:val="20"/>
          <w:lang w:val="en-GB"/>
        </w:rPr>
        <w:t xml:space="preserve"> – NR-DC requirements matrix</w:t>
      </w:r>
    </w:p>
    <w:tbl>
      <w:tblPr>
        <w:tblW w:w="11970" w:type="dxa"/>
        <w:jc w:val="center"/>
        <w:tblLook w:val="04A0" w:firstRow="1" w:lastRow="0" w:firstColumn="1" w:lastColumn="0" w:noHBand="0" w:noVBand="1"/>
      </w:tblPr>
      <w:tblGrid>
        <w:gridCol w:w="1395"/>
        <w:gridCol w:w="4635"/>
        <w:gridCol w:w="5940"/>
      </w:tblGrid>
      <w:tr w:rsidR="00380C53" w:rsidRPr="00380C53" w14:paraId="4C6553CA" w14:textId="77777777" w:rsidTr="00380C53">
        <w:trPr>
          <w:trHeight w:val="340"/>
          <w:jc w:val="center"/>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C7DB3" w14:textId="77777777" w:rsidR="00380C53" w:rsidRPr="00380C53" w:rsidRDefault="00380C53">
            <w:pPr>
              <w:jc w:val="center"/>
              <w:rPr>
                <w:b/>
                <w:bCs/>
                <w:color w:val="000000"/>
                <w:sz w:val="20"/>
                <w:szCs w:val="20"/>
              </w:rPr>
            </w:pPr>
            <w:r w:rsidRPr="00380C53">
              <w:rPr>
                <w:b/>
                <w:bCs/>
                <w:color w:val="000000"/>
                <w:sz w:val="20"/>
                <w:szCs w:val="20"/>
              </w:rPr>
              <w:t>38.521-1 Clause</w:t>
            </w:r>
          </w:p>
        </w:tc>
        <w:tc>
          <w:tcPr>
            <w:tcW w:w="4635" w:type="dxa"/>
            <w:tcBorders>
              <w:top w:val="single" w:sz="4" w:space="0" w:color="auto"/>
              <w:left w:val="nil"/>
              <w:bottom w:val="single" w:sz="4" w:space="0" w:color="auto"/>
              <w:right w:val="single" w:sz="4" w:space="0" w:color="auto"/>
            </w:tcBorders>
            <w:shd w:val="clear" w:color="auto" w:fill="auto"/>
            <w:noWrap/>
            <w:vAlign w:val="bottom"/>
            <w:hideMark/>
          </w:tcPr>
          <w:p w14:paraId="5B1EFC17" w14:textId="77777777" w:rsidR="00380C53" w:rsidRPr="00380C53" w:rsidRDefault="00380C53">
            <w:pPr>
              <w:jc w:val="center"/>
              <w:rPr>
                <w:b/>
                <w:bCs/>
                <w:color w:val="000000"/>
                <w:sz w:val="20"/>
                <w:szCs w:val="20"/>
              </w:rPr>
            </w:pPr>
            <w:r w:rsidRPr="00380C53">
              <w:rPr>
                <w:b/>
                <w:bCs/>
                <w:color w:val="000000"/>
                <w:sz w:val="20"/>
                <w:szCs w:val="20"/>
              </w:rPr>
              <w:t>Test Case Title</w:t>
            </w:r>
          </w:p>
        </w:tc>
        <w:tc>
          <w:tcPr>
            <w:tcW w:w="5940" w:type="dxa"/>
            <w:tcBorders>
              <w:top w:val="single" w:sz="4" w:space="0" w:color="auto"/>
              <w:left w:val="nil"/>
              <w:bottom w:val="single" w:sz="4" w:space="0" w:color="auto"/>
              <w:right w:val="single" w:sz="4" w:space="0" w:color="auto"/>
            </w:tcBorders>
            <w:shd w:val="clear" w:color="auto" w:fill="auto"/>
            <w:vAlign w:val="bottom"/>
            <w:hideMark/>
          </w:tcPr>
          <w:p w14:paraId="4EB9E3CF" w14:textId="77777777" w:rsidR="00380C53" w:rsidRPr="00380C53" w:rsidRDefault="00380C53">
            <w:pPr>
              <w:jc w:val="center"/>
              <w:rPr>
                <w:b/>
                <w:bCs/>
                <w:color w:val="000000"/>
                <w:sz w:val="20"/>
                <w:szCs w:val="20"/>
              </w:rPr>
            </w:pPr>
            <w:r w:rsidRPr="00380C53">
              <w:rPr>
                <w:b/>
                <w:bCs/>
                <w:color w:val="000000"/>
                <w:sz w:val="20"/>
                <w:szCs w:val="20"/>
              </w:rPr>
              <w:t>Whether any testing unique to NR-DC</w:t>
            </w:r>
          </w:p>
        </w:tc>
      </w:tr>
      <w:tr w:rsidR="00380C53" w:rsidRPr="00380C53" w14:paraId="341455CB"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664C532F" w14:textId="77777777" w:rsidR="00380C53" w:rsidRPr="00380C53" w:rsidRDefault="00380C53">
            <w:pPr>
              <w:rPr>
                <w:color w:val="000000"/>
                <w:sz w:val="20"/>
                <w:szCs w:val="20"/>
              </w:rPr>
            </w:pPr>
            <w:r w:rsidRPr="00380C53">
              <w:rPr>
                <w:color w:val="000000"/>
                <w:sz w:val="20"/>
                <w:szCs w:val="20"/>
              </w:rPr>
              <w:t>6.2B.1</w:t>
            </w:r>
          </w:p>
        </w:tc>
        <w:tc>
          <w:tcPr>
            <w:tcW w:w="4635" w:type="dxa"/>
            <w:tcBorders>
              <w:top w:val="nil"/>
              <w:left w:val="nil"/>
              <w:bottom w:val="single" w:sz="4" w:space="0" w:color="auto"/>
              <w:right w:val="single" w:sz="4" w:space="0" w:color="auto"/>
            </w:tcBorders>
            <w:shd w:val="clear" w:color="auto" w:fill="auto"/>
            <w:hideMark/>
          </w:tcPr>
          <w:p w14:paraId="19201402" w14:textId="77777777" w:rsidR="00380C53" w:rsidRPr="00380C53" w:rsidRDefault="00380C53">
            <w:pPr>
              <w:rPr>
                <w:color w:val="000000"/>
                <w:sz w:val="20"/>
                <w:szCs w:val="20"/>
              </w:rPr>
            </w:pPr>
            <w:r w:rsidRPr="00380C53">
              <w:rPr>
                <w:color w:val="000000"/>
                <w:sz w:val="20"/>
                <w:szCs w:val="20"/>
              </w:rPr>
              <w:t>UE maximum output power for NR-DC</w:t>
            </w:r>
          </w:p>
        </w:tc>
        <w:tc>
          <w:tcPr>
            <w:tcW w:w="5940" w:type="dxa"/>
            <w:tcBorders>
              <w:top w:val="nil"/>
              <w:left w:val="nil"/>
              <w:bottom w:val="single" w:sz="4" w:space="0" w:color="auto"/>
              <w:right w:val="single" w:sz="4" w:space="0" w:color="auto"/>
            </w:tcBorders>
            <w:shd w:val="clear" w:color="auto" w:fill="auto"/>
            <w:vAlign w:val="bottom"/>
            <w:hideMark/>
          </w:tcPr>
          <w:p w14:paraId="7EAC53B5" w14:textId="77777777" w:rsidR="00380C53" w:rsidRPr="00380C53" w:rsidRDefault="00380C53">
            <w:pPr>
              <w:rPr>
                <w:color w:val="000000"/>
                <w:sz w:val="20"/>
                <w:szCs w:val="20"/>
              </w:rPr>
            </w:pPr>
            <w:r w:rsidRPr="00380C53">
              <w:rPr>
                <w:color w:val="000000"/>
                <w:sz w:val="20"/>
                <w:szCs w:val="20"/>
              </w:rPr>
              <w:t xml:space="preserve">Yes. Combined power from all antenna connectors in NR-DC mode. </w:t>
            </w:r>
          </w:p>
        </w:tc>
      </w:tr>
      <w:tr w:rsidR="00380C53" w:rsidRPr="00380C53" w14:paraId="4241B2FB" w14:textId="77777777" w:rsidTr="00380C53">
        <w:trPr>
          <w:trHeight w:val="680"/>
          <w:jc w:val="center"/>
        </w:trPr>
        <w:tc>
          <w:tcPr>
            <w:tcW w:w="1395" w:type="dxa"/>
            <w:tcBorders>
              <w:top w:val="nil"/>
              <w:left w:val="single" w:sz="4" w:space="0" w:color="auto"/>
              <w:bottom w:val="single" w:sz="4" w:space="0" w:color="auto"/>
              <w:right w:val="single" w:sz="4" w:space="0" w:color="auto"/>
            </w:tcBorders>
            <w:shd w:val="clear" w:color="auto" w:fill="auto"/>
            <w:hideMark/>
          </w:tcPr>
          <w:p w14:paraId="0B2C1D26" w14:textId="77777777" w:rsidR="00380C53" w:rsidRPr="00380C53" w:rsidRDefault="00380C53">
            <w:pPr>
              <w:rPr>
                <w:color w:val="000000"/>
                <w:sz w:val="20"/>
                <w:szCs w:val="20"/>
              </w:rPr>
            </w:pPr>
            <w:r w:rsidRPr="00380C53">
              <w:rPr>
                <w:color w:val="000000"/>
                <w:sz w:val="20"/>
                <w:szCs w:val="20"/>
              </w:rPr>
              <w:t>6.2B.2</w:t>
            </w:r>
          </w:p>
        </w:tc>
        <w:tc>
          <w:tcPr>
            <w:tcW w:w="4635" w:type="dxa"/>
            <w:tcBorders>
              <w:top w:val="nil"/>
              <w:left w:val="nil"/>
              <w:bottom w:val="single" w:sz="4" w:space="0" w:color="auto"/>
              <w:right w:val="single" w:sz="4" w:space="0" w:color="auto"/>
            </w:tcBorders>
            <w:shd w:val="clear" w:color="auto" w:fill="auto"/>
            <w:hideMark/>
          </w:tcPr>
          <w:p w14:paraId="3666EA76" w14:textId="77777777" w:rsidR="00380C53" w:rsidRPr="00380C53" w:rsidRDefault="00380C53">
            <w:pPr>
              <w:rPr>
                <w:color w:val="000000"/>
                <w:sz w:val="20"/>
                <w:szCs w:val="20"/>
              </w:rPr>
            </w:pPr>
            <w:r w:rsidRPr="00380C53">
              <w:rPr>
                <w:color w:val="000000"/>
                <w:sz w:val="20"/>
                <w:szCs w:val="20"/>
              </w:rPr>
              <w:t>UE maximum output power reduction for NR-DC</w:t>
            </w:r>
          </w:p>
        </w:tc>
        <w:tc>
          <w:tcPr>
            <w:tcW w:w="5940" w:type="dxa"/>
            <w:tcBorders>
              <w:top w:val="nil"/>
              <w:left w:val="nil"/>
              <w:bottom w:val="single" w:sz="4" w:space="0" w:color="auto"/>
              <w:right w:val="single" w:sz="4" w:space="0" w:color="auto"/>
            </w:tcBorders>
            <w:shd w:val="clear" w:color="auto" w:fill="auto"/>
            <w:vAlign w:val="bottom"/>
            <w:hideMark/>
          </w:tcPr>
          <w:p w14:paraId="253D786D" w14:textId="77777777" w:rsidR="00380C53" w:rsidRPr="00380C53" w:rsidRDefault="00380C53">
            <w:pPr>
              <w:rPr>
                <w:color w:val="000000"/>
                <w:sz w:val="20"/>
                <w:szCs w:val="20"/>
              </w:rPr>
            </w:pPr>
            <w:r w:rsidRPr="00380C53">
              <w:rPr>
                <w:color w:val="000000"/>
                <w:sz w:val="20"/>
                <w:szCs w:val="20"/>
              </w:rPr>
              <w:t>Yes. Similar test points as NR-CA but some unique requirements defined depending on NR-DC config</w:t>
            </w:r>
          </w:p>
        </w:tc>
      </w:tr>
      <w:tr w:rsidR="00380C53" w:rsidRPr="00380C53" w14:paraId="43C08566"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6D7C28AA" w14:textId="77777777" w:rsidR="00380C53" w:rsidRPr="00380C53" w:rsidRDefault="00380C53">
            <w:pPr>
              <w:rPr>
                <w:color w:val="000000"/>
                <w:sz w:val="20"/>
                <w:szCs w:val="20"/>
              </w:rPr>
            </w:pPr>
            <w:r w:rsidRPr="00380C53">
              <w:rPr>
                <w:color w:val="000000"/>
                <w:sz w:val="20"/>
                <w:szCs w:val="20"/>
              </w:rPr>
              <w:t>6.2B.3</w:t>
            </w:r>
          </w:p>
        </w:tc>
        <w:tc>
          <w:tcPr>
            <w:tcW w:w="4635" w:type="dxa"/>
            <w:tcBorders>
              <w:top w:val="nil"/>
              <w:left w:val="nil"/>
              <w:bottom w:val="single" w:sz="4" w:space="0" w:color="auto"/>
              <w:right w:val="single" w:sz="4" w:space="0" w:color="auto"/>
            </w:tcBorders>
            <w:shd w:val="clear" w:color="auto" w:fill="auto"/>
            <w:hideMark/>
          </w:tcPr>
          <w:p w14:paraId="4F30E7A9" w14:textId="77777777" w:rsidR="00380C53" w:rsidRPr="00380C53" w:rsidRDefault="00380C53">
            <w:pPr>
              <w:rPr>
                <w:color w:val="000000"/>
                <w:sz w:val="20"/>
                <w:szCs w:val="20"/>
              </w:rPr>
            </w:pPr>
            <w:r w:rsidRPr="00380C53">
              <w:rPr>
                <w:color w:val="000000"/>
                <w:sz w:val="20"/>
                <w:szCs w:val="20"/>
              </w:rPr>
              <w:t>UE additional maximum output power reduction for NR-DC</w:t>
            </w:r>
          </w:p>
        </w:tc>
        <w:tc>
          <w:tcPr>
            <w:tcW w:w="5940" w:type="dxa"/>
            <w:tcBorders>
              <w:top w:val="nil"/>
              <w:left w:val="nil"/>
              <w:bottom w:val="single" w:sz="4" w:space="0" w:color="auto"/>
              <w:right w:val="single" w:sz="4" w:space="0" w:color="auto"/>
            </w:tcBorders>
            <w:shd w:val="clear" w:color="auto" w:fill="auto"/>
            <w:vAlign w:val="bottom"/>
            <w:hideMark/>
          </w:tcPr>
          <w:p w14:paraId="2234196F" w14:textId="77777777" w:rsidR="00380C53" w:rsidRPr="00380C53" w:rsidRDefault="00380C53">
            <w:pPr>
              <w:rPr>
                <w:color w:val="000000"/>
                <w:sz w:val="20"/>
                <w:szCs w:val="20"/>
              </w:rPr>
            </w:pPr>
            <w:r w:rsidRPr="00380C53">
              <w:rPr>
                <w:color w:val="000000"/>
                <w:sz w:val="20"/>
                <w:szCs w:val="20"/>
              </w:rPr>
              <w:t>Yes. Depends on NR-DC config. Exception Requirements</w:t>
            </w:r>
          </w:p>
        </w:tc>
      </w:tr>
      <w:tr w:rsidR="00380C53" w:rsidRPr="00380C53" w14:paraId="048EA30F"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4BCA7E3C" w14:textId="77777777" w:rsidR="00380C53" w:rsidRPr="00380C53" w:rsidRDefault="00380C53">
            <w:pPr>
              <w:rPr>
                <w:color w:val="000000"/>
                <w:sz w:val="20"/>
                <w:szCs w:val="20"/>
              </w:rPr>
            </w:pPr>
            <w:r w:rsidRPr="00380C53">
              <w:rPr>
                <w:color w:val="000000"/>
                <w:sz w:val="20"/>
                <w:szCs w:val="20"/>
              </w:rPr>
              <w:t>6.2B.4</w:t>
            </w:r>
          </w:p>
        </w:tc>
        <w:tc>
          <w:tcPr>
            <w:tcW w:w="4635" w:type="dxa"/>
            <w:tcBorders>
              <w:top w:val="nil"/>
              <w:left w:val="nil"/>
              <w:bottom w:val="single" w:sz="4" w:space="0" w:color="auto"/>
              <w:right w:val="single" w:sz="4" w:space="0" w:color="auto"/>
            </w:tcBorders>
            <w:shd w:val="clear" w:color="auto" w:fill="auto"/>
            <w:hideMark/>
          </w:tcPr>
          <w:p w14:paraId="32599804" w14:textId="77777777" w:rsidR="00380C53" w:rsidRPr="00380C53" w:rsidRDefault="00380C53">
            <w:pPr>
              <w:rPr>
                <w:color w:val="000000"/>
                <w:sz w:val="20"/>
                <w:szCs w:val="20"/>
              </w:rPr>
            </w:pPr>
            <w:r w:rsidRPr="00380C53">
              <w:rPr>
                <w:color w:val="000000"/>
                <w:sz w:val="20"/>
                <w:szCs w:val="20"/>
              </w:rPr>
              <w:t>Configured output power for NR-DC</w:t>
            </w:r>
          </w:p>
        </w:tc>
        <w:tc>
          <w:tcPr>
            <w:tcW w:w="5940" w:type="dxa"/>
            <w:tcBorders>
              <w:top w:val="nil"/>
              <w:left w:val="nil"/>
              <w:bottom w:val="single" w:sz="4" w:space="0" w:color="auto"/>
              <w:right w:val="single" w:sz="4" w:space="0" w:color="auto"/>
            </w:tcBorders>
            <w:shd w:val="clear" w:color="auto" w:fill="auto"/>
            <w:vAlign w:val="bottom"/>
            <w:hideMark/>
          </w:tcPr>
          <w:p w14:paraId="3229B196" w14:textId="77777777" w:rsidR="00380C53" w:rsidRPr="00380C53" w:rsidRDefault="00380C53">
            <w:pPr>
              <w:rPr>
                <w:color w:val="000000"/>
                <w:sz w:val="20"/>
                <w:szCs w:val="20"/>
              </w:rPr>
            </w:pPr>
            <w:r w:rsidRPr="00380C53">
              <w:rPr>
                <w:color w:val="000000"/>
                <w:sz w:val="20"/>
                <w:szCs w:val="20"/>
              </w:rPr>
              <w:t>Yes. 38.101-1 defines specific/exception requirements for NR-DC</w:t>
            </w:r>
          </w:p>
        </w:tc>
      </w:tr>
      <w:tr w:rsidR="00380C53" w:rsidRPr="00380C53" w14:paraId="21429195"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6F122893" w14:textId="77777777" w:rsidR="00380C53" w:rsidRPr="00380C53" w:rsidRDefault="00380C53">
            <w:pPr>
              <w:rPr>
                <w:color w:val="000000"/>
                <w:sz w:val="20"/>
                <w:szCs w:val="20"/>
              </w:rPr>
            </w:pPr>
            <w:r w:rsidRPr="00380C53">
              <w:rPr>
                <w:color w:val="000000"/>
                <w:sz w:val="20"/>
                <w:szCs w:val="20"/>
              </w:rPr>
              <w:t>6.3B.1</w:t>
            </w:r>
          </w:p>
        </w:tc>
        <w:tc>
          <w:tcPr>
            <w:tcW w:w="4635" w:type="dxa"/>
            <w:tcBorders>
              <w:top w:val="nil"/>
              <w:left w:val="nil"/>
              <w:bottom w:val="single" w:sz="4" w:space="0" w:color="auto"/>
              <w:right w:val="single" w:sz="4" w:space="0" w:color="auto"/>
            </w:tcBorders>
            <w:shd w:val="clear" w:color="auto" w:fill="auto"/>
            <w:hideMark/>
          </w:tcPr>
          <w:p w14:paraId="26AB7D19" w14:textId="77777777" w:rsidR="00380C53" w:rsidRPr="00380C53" w:rsidRDefault="00380C53">
            <w:pPr>
              <w:rPr>
                <w:color w:val="000000"/>
                <w:sz w:val="20"/>
                <w:szCs w:val="20"/>
              </w:rPr>
            </w:pPr>
            <w:r w:rsidRPr="00380C53">
              <w:rPr>
                <w:color w:val="000000"/>
                <w:sz w:val="20"/>
                <w:szCs w:val="20"/>
              </w:rPr>
              <w:t>Minimum output power for NR-DC</w:t>
            </w:r>
          </w:p>
        </w:tc>
        <w:tc>
          <w:tcPr>
            <w:tcW w:w="5940" w:type="dxa"/>
            <w:tcBorders>
              <w:top w:val="nil"/>
              <w:left w:val="nil"/>
              <w:bottom w:val="single" w:sz="4" w:space="0" w:color="auto"/>
              <w:right w:val="single" w:sz="4" w:space="0" w:color="auto"/>
            </w:tcBorders>
            <w:shd w:val="clear" w:color="auto" w:fill="auto"/>
            <w:vAlign w:val="bottom"/>
            <w:hideMark/>
          </w:tcPr>
          <w:p w14:paraId="1BEAFEED"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35C3983B"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11D7BF8C" w14:textId="77777777" w:rsidR="00380C53" w:rsidRPr="00380C53" w:rsidRDefault="00380C53">
            <w:pPr>
              <w:rPr>
                <w:color w:val="000000"/>
                <w:sz w:val="20"/>
                <w:szCs w:val="20"/>
              </w:rPr>
            </w:pPr>
            <w:r w:rsidRPr="00380C53">
              <w:rPr>
                <w:color w:val="000000"/>
                <w:sz w:val="20"/>
                <w:szCs w:val="20"/>
              </w:rPr>
              <w:t>6.3B.2</w:t>
            </w:r>
          </w:p>
        </w:tc>
        <w:tc>
          <w:tcPr>
            <w:tcW w:w="4635" w:type="dxa"/>
            <w:tcBorders>
              <w:top w:val="nil"/>
              <w:left w:val="nil"/>
              <w:bottom w:val="single" w:sz="4" w:space="0" w:color="auto"/>
              <w:right w:val="single" w:sz="4" w:space="0" w:color="auto"/>
            </w:tcBorders>
            <w:shd w:val="clear" w:color="auto" w:fill="auto"/>
            <w:hideMark/>
          </w:tcPr>
          <w:p w14:paraId="1CDC1D1A" w14:textId="77777777" w:rsidR="00380C53" w:rsidRPr="00380C53" w:rsidRDefault="00380C53">
            <w:pPr>
              <w:rPr>
                <w:color w:val="000000"/>
                <w:sz w:val="20"/>
                <w:szCs w:val="20"/>
              </w:rPr>
            </w:pPr>
            <w:r w:rsidRPr="00380C53">
              <w:rPr>
                <w:color w:val="000000"/>
                <w:sz w:val="20"/>
                <w:szCs w:val="20"/>
              </w:rPr>
              <w:t>Transmit OFF power for NR-DC</w:t>
            </w:r>
          </w:p>
        </w:tc>
        <w:tc>
          <w:tcPr>
            <w:tcW w:w="5940" w:type="dxa"/>
            <w:tcBorders>
              <w:top w:val="nil"/>
              <w:left w:val="nil"/>
              <w:bottom w:val="single" w:sz="4" w:space="0" w:color="auto"/>
              <w:right w:val="single" w:sz="4" w:space="0" w:color="auto"/>
            </w:tcBorders>
            <w:shd w:val="clear" w:color="auto" w:fill="auto"/>
            <w:vAlign w:val="bottom"/>
            <w:hideMark/>
          </w:tcPr>
          <w:p w14:paraId="43552D9C"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50CE71E5"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2BB3F21E" w14:textId="77777777" w:rsidR="00380C53" w:rsidRPr="00380C53" w:rsidRDefault="00380C53">
            <w:pPr>
              <w:rPr>
                <w:color w:val="000000"/>
                <w:sz w:val="20"/>
                <w:szCs w:val="20"/>
              </w:rPr>
            </w:pPr>
            <w:r w:rsidRPr="00380C53">
              <w:rPr>
                <w:color w:val="000000"/>
                <w:sz w:val="20"/>
                <w:szCs w:val="20"/>
              </w:rPr>
              <w:t>6.3B.3</w:t>
            </w:r>
          </w:p>
        </w:tc>
        <w:tc>
          <w:tcPr>
            <w:tcW w:w="4635" w:type="dxa"/>
            <w:tcBorders>
              <w:top w:val="nil"/>
              <w:left w:val="nil"/>
              <w:bottom w:val="single" w:sz="4" w:space="0" w:color="auto"/>
              <w:right w:val="single" w:sz="4" w:space="0" w:color="auto"/>
            </w:tcBorders>
            <w:shd w:val="clear" w:color="auto" w:fill="auto"/>
            <w:hideMark/>
          </w:tcPr>
          <w:p w14:paraId="315C24D8" w14:textId="77777777" w:rsidR="00380C53" w:rsidRPr="00380C53" w:rsidRDefault="00380C53">
            <w:pPr>
              <w:rPr>
                <w:color w:val="000000"/>
                <w:sz w:val="20"/>
                <w:szCs w:val="20"/>
              </w:rPr>
            </w:pPr>
            <w:r w:rsidRPr="00380C53">
              <w:rPr>
                <w:color w:val="000000"/>
                <w:sz w:val="20"/>
                <w:szCs w:val="20"/>
              </w:rPr>
              <w:t>Transmit ON/OFF time mask for NR-DC</w:t>
            </w:r>
          </w:p>
        </w:tc>
        <w:tc>
          <w:tcPr>
            <w:tcW w:w="5940" w:type="dxa"/>
            <w:tcBorders>
              <w:top w:val="nil"/>
              <w:left w:val="nil"/>
              <w:bottom w:val="single" w:sz="4" w:space="0" w:color="auto"/>
              <w:right w:val="single" w:sz="4" w:space="0" w:color="auto"/>
            </w:tcBorders>
            <w:shd w:val="clear" w:color="auto" w:fill="auto"/>
            <w:vAlign w:val="bottom"/>
            <w:hideMark/>
          </w:tcPr>
          <w:p w14:paraId="36FE31EF"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66E89F12"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1AF43064" w14:textId="77777777" w:rsidR="00380C53" w:rsidRPr="00380C53" w:rsidRDefault="00380C53">
            <w:pPr>
              <w:rPr>
                <w:color w:val="000000"/>
                <w:sz w:val="20"/>
                <w:szCs w:val="20"/>
              </w:rPr>
            </w:pPr>
            <w:r w:rsidRPr="00380C53">
              <w:rPr>
                <w:color w:val="000000"/>
                <w:sz w:val="20"/>
                <w:szCs w:val="20"/>
              </w:rPr>
              <w:t>6.4B.1</w:t>
            </w:r>
          </w:p>
        </w:tc>
        <w:tc>
          <w:tcPr>
            <w:tcW w:w="4635" w:type="dxa"/>
            <w:tcBorders>
              <w:top w:val="nil"/>
              <w:left w:val="nil"/>
              <w:bottom w:val="single" w:sz="4" w:space="0" w:color="auto"/>
              <w:right w:val="single" w:sz="4" w:space="0" w:color="auto"/>
            </w:tcBorders>
            <w:shd w:val="clear" w:color="auto" w:fill="auto"/>
            <w:hideMark/>
          </w:tcPr>
          <w:p w14:paraId="24F129C5" w14:textId="77777777" w:rsidR="00380C53" w:rsidRPr="00380C53" w:rsidRDefault="00380C53">
            <w:pPr>
              <w:rPr>
                <w:color w:val="000000"/>
                <w:sz w:val="20"/>
                <w:szCs w:val="20"/>
              </w:rPr>
            </w:pPr>
            <w:r w:rsidRPr="00380C53">
              <w:rPr>
                <w:color w:val="000000"/>
                <w:sz w:val="20"/>
                <w:szCs w:val="20"/>
              </w:rPr>
              <w:t>Frequency error for NR-DC</w:t>
            </w:r>
          </w:p>
        </w:tc>
        <w:tc>
          <w:tcPr>
            <w:tcW w:w="5940" w:type="dxa"/>
            <w:tcBorders>
              <w:top w:val="nil"/>
              <w:left w:val="nil"/>
              <w:bottom w:val="single" w:sz="4" w:space="0" w:color="auto"/>
              <w:right w:val="single" w:sz="4" w:space="0" w:color="auto"/>
            </w:tcBorders>
            <w:shd w:val="clear" w:color="auto" w:fill="auto"/>
            <w:vAlign w:val="bottom"/>
            <w:hideMark/>
          </w:tcPr>
          <w:p w14:paraId="52DC424E"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510457FB"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052B7598" w14:textId="77777777" w:rsidR="00380C53" w:rsidRPr="00380C53" w:rsidRDefault="00380C53">
            <w:pPr>
              <w:rPr>
                <w:color w:val="000000"/>
                <w:sz w:val="20"/>
                <w:szCs w:val="20"/>
              </w:rPr>
            </w:pPr>
            <w:r w:rsidRPr="00380C53">
              <w:rPr>
                <w:color w:val="000000"/>
                <w:sz w:val="20"/>
                <w:szCs w:val="20"/>
              </w:rPr>
              <w:t>6.4B.2.1</w:t>
            </w:r>
          </w:p>
        </w:tc>
        <w:tc>
          <w:tcPr>
            <w:tcW w:w="4635" w:type="dxa"/>
            <w:tcBorders>
              <w:top w:val="nil"/>
              <w:left w:val="nil"/>
              <w:bottom w:val="single" w:sz="4" w:space="0" w:color="auto"/>
              <w:right w:val="single" w:sz="4" w:space="0" w:color="auto"/>
            </w:tcBorders>
            <w:shd w:val="clear" w:color="auto" w:fill="auto"/>
            <w:hideMark/>
          </w:tcPr>
          <w:p w14:paraId="6F4B0BF4" w14:textId="77777777" w:rsidR="00380C53" w:rsidRPr="00380C53" w:rsidRDefault="00380C53">
            <w:pPr>
              <w:rPr>
                <w:color w:val="000000"/>
                <w:sz w:val="20"/>
                <w:szCs w:val="20"/>
              </w:rPr>
            </w:pPr>
            <w:r w:rsidRPr="00380C53">
              <w:rPr>
                <w:color w:val="000000"/>
                <w:sz w:val="20"/>
                <w:szCs w:val="20"/>
              </w:rPr>
              <w:t>Transmit modulation quality for NR-DC</w:t>
            </w:r>
          </w:p>
        </w:tc>
        <w:tc>
          <w:tcPr>
            <w:tcW w:w="5940" w:type="dxa"/>
            <w:tcBorders>
              <w:top w:val="nil"/>
              <w:left w:val="nil"/>
              <w:bottom w:val="single" w:sz="4" w:space="0" w:color="auto"/>
              <w:right w:val="single" w:sz="4" w:space="0" w:color="auto"/>
            </w:tcBorders>
            <w:shd w:val="clear" w:color="auto" w:fill="auto"/>
            <w:vAlign w:val="bottom"/>
            <w:hideMark/>
          </w:tcPr>
          <w:p w14:paraId="2D167146"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6D57F583"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2EB011F3" w14:textId="77777777" w:rsidR="00380C53" w:rsidRPr="00380C53" w:rsidRDefault="00380C53">
            <w:pPr>
              <w:rPr>
                <w:color w:val="000000"/>
                <w:sz w:val="20"/>
                <w:szCs w:val="20"/>
              </w:rPr>
            </w:pPr>
            <w:r w:rsidRPr="00380C53">
              <w:rPr>
                <w:color w:val="000000"/>
                <w:sz w:val="20"/>
                <w:szCs w:val="20"/>
              </w:rPr>
              <w:t>6.4B.2.2</w:t>
            </w:r>
          </w:p>
        </w:tc>
        <w:tc>
          <w:tcPr>
            <w:tcW w:w="4635" w:type="dxa"/>
            <w:tcBorders>
              <w:top w:val="nil"/>
              <w:left w:val="nil"/>
              <w:bottom w:val="single" w:sz="4" w:space="0" w:color="auto"/>
              <w:right w:val="single" w:sz="4" w:space="0" w:color="auto"/>
            </w:tcBorders>
            <w:shd w:val="clear" w:color="auto" w:fill="auto"/>
            <w:hideMark/>
          </w:tcPr>
          <w:p w14:paraId="33AD61FB" w14:textId="77777777" w:rsidR="00380C53" w:rsidRPr="00380C53" w:rsidRDefault="00380C53">
            <w:pPr>
              <w:rPr>
                <w:color w:val="000000"/>
                <w:sz w:val="20"/>
                <w:szCs w:val="20"/>
              </w:rPr>
            </w:pPr>
            <w:r w:rsidRPr="00380C53">
              <w:rPr>
                <w:color w:val="000000"/>
                <w:sz w:val="20"/>
                <w:szCs w:val="20"/>
              </w:rPr>
              <w:t>Carrier leakage for NR-DC</w:t>
            </w:r>
          </w:p>
        </w:tc>
        <w:tc>
          <w:tcPr>
            <w:tcW w:w="5940" w:type="dxa"/>
            <w:tcBorders>
              <w:top w:val="nil"/>
              <w:left w:val="nil"/>
              <w:bottom w:val="single" w:sz="4" w:space="0" w:color="auto"/>
              <w:right w:val="single" w:sz="4" w:space="0" w:color="auto"/>
            </w:tcBorders>
            <w:shd w:val="clear" w:color="auto" w:fill="auto"/>
            <w:vAlign w:val="bottom"/>
            <w:hideMark/>
          </w:tcPr>
          <w:p w14:paraId="1D94B7B2"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0E6EA8C2"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6272983A" w14:textId="77777777" w:rsidR="00380C53" w:rsidRPr="00380C53" w:rsidRDefault="00380C53">
            <w:pPr>
              <w:rPr>
                <w:color w:val="000000"/>
                <w:sz w:val="20"/>
                <w:szCs w:val="20"/>
              </w:rPr>
            </w:pPr>
            <w:r w:rsidRPr="00380C53">
              <w:rPr>
                <w:color w:val="000000"/>
                <w:sz w:val="20"/>
                <w:szCs w:val="20"/>
              </w:rPr>
              <w:t>6.4B.2.3</w:t>
            </w:r>
          </w:p>
        </w:tc>
        <w:tc>
          <w:tcPr>
            <w:tcW w:w="4635" w:type="dxa"/>
            <w:tcBorders>
              <w:top w:val="nil"/>
              <w:left w:val="nil"/>
              <w:bottom w:val="single" w:sz="4" w:space="0" w:color="auto"/>
              <w:right w:val="single" w:sz="4" w:space="0" w:color="auto"/>
            </w:tcBorders>
            <w:shd w:val="clear" w:color="auto" w:fill="auto"/>
            <w:hideMark/>
          </w:tcPr>
          <w:p w14:paraId="6146C9CD" w14:textId="77777777" w:rsidR="00380C53" w:rsidRPr="00380C53" w:rsidRDefault="00380C53">
            <w:pPr>
              <w:rPr>
                <w:color w:val="000000"/>
                <w:sz w:val="20"/>
                <w:szCs w:val="20"/>
              </w:rPr>
            </w:pPr>
            <w:r w:rsidRPr="00380C53">
              <w:rPr>
                <w:color w:val="000000"/>
                <w:sz w:val="20"/>
                <w:szCs w:val="20"/>
              </w:rPr>
              <w:t>In-band emissions for NR-DC</w:t>
            </w:r>
          </w:p>
        </w:tc>
        <w:tc>
          <w:tcPr>
            <w:tcW w:w="5940" w:type="dxa"/>
            <w:tcBorders>
              <w:top w:val="nil"/>
              <w:left w:val="nil"/>
              <w:bottom w:val="single" w:sz="4" w:space="0" w:color="auto"/>
              <w:right w:val="single" w:sz="4" w:space="0" w:color="auto"/>
            </w:tcBorders>
            <w:shd w:val="clear" w:color="auto" w:fill="auto"/>
            <w:vAlign w:val="bottom"/>
            <w:hideMark/>
          </w:tcPr>
          <w:p w14:paraId="73B8AA6A"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57E7BF69"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464CE4E1" w14:textId="77777777" w:rsidR="00380C53" w:rsidRPr="00380C53" w:rsidRDefault="00380C53">
            <w:pPr>
              <w:rPr>
                <w:color w:val="000000"/>
                <w:sz w:val="20"/>
                <w:szCs w:val="20"/>
              </w:rPr>
            </w:pPr>
            <w:r w:rsidRPr="00380C53">
              <w:rPr>
                <w:color w:val="000000"/>
                <w:sz w:val="20"/>
                <w:szCs w:val="20"/>
              </w:rPr>
              <w:t>6.5B.1</w:t>
            </w:r>
          </w:p>
        </w:tc>
        <w:tc>
          <w:tcPr>
            <w:tcW w:w="4635" w:type="dxa"/>
            <w:tcBorders>
              <w:top w:val="nil"/>
              <w:left w:val="nil"/>
              <w:bottom w:val="single" w:sz="4" w:space="0" w:color="auto"/>
              <w:right w:val="single" w:sz="4" w:space="0" w:color="auto"/>
            </w:tcBorders>
            <w:shd w:val="clear" w:color="auto" w:fill="auto"/>
            <w:hideMark/>
          </w:tcPr>
          <w:p w14:paraId="0EF573BE" w14:textId="77777777" w:rsidR="00380C53" w:rsidRPr="00380C53" w:rsidRDefault="00380C53">
            <w:pPr>
              <w:rPr>
                <w:color w:val="000000"/>
                <w:sz w:val="20"/>
                <w:szCs w:val="20"/>
              </w:rPr>
            </w:pPr>
            <w:r w:rsidRPr="00380C53">
              <w:rPr>
                <w:color w:val="000000"/>
                <w:sz w:val="20"/>
                <w:szCs w:val="20"/>
              </w:rPr>
              <w:t>Output RF spectrum emissions for NR-DC</w:t>
            </w:r>
          </w:p>
        </w:tc>
        <w:tc>
          <w:tcPr>
            <w:tcW w:w="5940" w:type="dxa"/>
            <w:tcBorders>
              <w:top w:val="nil"/>
              <w:left w:val="nil"/>
              <w:bottom w:val="single" w:sz="4" w:space="0" w:color="auto"/>
              <w:right w:val="single" w:sz="4" w:space="0" w:color="auto"/>
            </w:tcBorders>
            <w:shd w:val="clear" w:color="auto" w:fill="auto"/>
            <w:vAlign w:val="bottom"/>
            <w:hideMark/>
          </w:tcPr>
          <w:p w14:paraId="7965F7FE"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1F26710A"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70A70DF6" w14:textId="77777777" w:rsidR="00380C53" w:rsidRPr="00380C53" w:rsidRDefault="00380C53">
            <w:pPr>
              <w:rPr>
                <w:color w:val="000000"/>
                <w:sz w:val="20"/>
                <w:szCs w:val="20"/>
              </w:rPr>
            </w:pPr>
            <w:r w:rsidRPr="00380C53">
              <w:rPr>
                <w:color w:val="000000"/>
                <w:sz w:val="20"/>
                <w:szCs w:val="20"/>
              </w:rPr>
              <w:t>6.5B.2</w:t>
            </w:r>
          </w:p>
        </w:tc>
        <w:tc>
          <w:tcPr>
            <w:tcW w:w="4635" w:type="dxa"/>
            <w:tcBorders>
              <w:top w:val="nil"/>
              <w:left w:val="nil"/>
              <w:bottom w:val="single" w:sz="4" w:space="0" w:color="auto"/>
              <w:right w:val="single" w:sz="4" w:space="0" w:color="auto"/>
            </w:tcBorders>
            <w:shd w:val="clear" w:color="auto" w:fill="auto"/>
            <w:hideMark/>
          </w:tcPr>
          <w:p w14:paraId="53CF8902" w14:textId="77777777" w:rsidR="00380C53" w:rsidRPr="00380C53" w:rsidRDefault="00380C53">
            <w:pPr>
              <w:rPr>
                <w:color w:val="000000"/>
                <w:sz w:val="20"/>
                <w:szCs w:val="20"/>
              </w:rPr>
            </w:pPr>
            <w:r w:rsidRPr="00380C53">
              <w:rPr>
                <w:color w:val="000000"/>
                <w:sz w:val="20"/>
                <w:szCs w:val="20"/>
              </w:rPr>
              <w:t>Out of band emission for NR-DC</w:t>
            </w:r>
          </w:p>
        </w:tc>
        <w:tc>
          <w:tcPr>
            <w:tcW w:w="5940" w:type="dxa"/>
            <w:tcBorders>
              <w:top w:val="nil"/>
              <w:left w:val="nil"/>
              <w:bottom w:val="single" w:sz="4" w:space="0" w:color="auto"/>
              <w:right w:val="single" w:sz="4" w:space="0" w:color="auto"/>
            </w:tcBorders>
            <w:shd w:val="clear" w:color="auto" w:fill="auto"/>
            <w:vAlign w:val="bottom"/>
            <w:hideMark/>
          </w:tcPr>
          <w:p w14:paraId="5BC7E844"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226A065D"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20CB5B89" w14:textId="77777777" w:rsidR="00380C53" w:rsidRPr="00380C53" w:rsidRDefault="00380C53">
            <w:pPr>
              <w:rPr>
                <w:color w:val="000000"/>
                <w:sz w:val="20"/>
                <w:szCs w:val="20"/>
              </w:rPr>
            </w:pPr>
            <w:r w:rsidRPr="00380C53">
              <w:rPr>
                <w:color w:val="000000"/>
                <w:sz w:val="20"/>
                <w:szCs w:val="20"/>
              </w:rPr>
              <w:t>6.5B.3</w:t>
            </w:r>
          </w:p>
        </w:tc>
        <w:tc>
          <w:tcPr>
            <w:tcW w:w="4635" w:type="dxa"/>
            <w:tcBorders>
              <w:top w:val="nil"/>
              <w:left w:val="nil"/>
              <w:bottom w:val="single" w:sz="4" w:space="0" w:color="auto"/>
              <w:right w:val="single" w:sz="4" w:space="0" w:color="auto"/>
            </w:tcBorders>
            <w:shd w:val="clear" w:color="auto" w:fill="auto"/>
            <w:hideMark/>
          </w:tcPr>
          <w:p w14:paraId="34835483" w14:textId="77777777" w:rsidR="00380C53" w:rsidRPr="00380C53" w:rsidRDefault="00380C53">
            <w:pPr>
              <w:rPr>
                <w:color w:val="000000"/>
                <w:sz w:val="20"/>
                <w:szCs w:val="20"/>
              </w:rPr>
            </w:pPr>
            <w:r w:rsidRPr="00380C53">
              <w:rPr>
                <w:color w:val="000000"/>
                <w:sz w:val="20"/>
                <w:szCs w:val="20"/>
              </w:rPr>
              <w:t>Spurious emission for NR-DC</w:t>
            </w:r>
          </w:p>
        </w:tc>
        <w:tc>
          <w:tcPr>
            <w:tcW w:w="5940" w:type="dxa"/>
            <w:tcBorders>
              <w:top w:val="nil"/>
              <w:left w:val="nil"/>
              <w:bottom w:val="single" w:sz="4" w:space="0" w:color="auto"/>
              <w:right w:val="single" w:sz="4" w:space="0" w:color="auto"/>
            </w:tcBorders>
            <w:shd w:val="clear" w:color="auto" w:fill="auto"/>
            <w:vAlign w:val="bottom"/>
            <w:hideMark/>
          </w:tcPr>
          <w:p w14:paraId="2D4DF2D8"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1DCE4D90"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5882D29C" w14:textId="77777777" w:rsidR="00380C53" w:rsidRPr="00380C53" w:rsidRDefault="00380C53">
            <w:pPr>
              <w:rPr>
                <w:color w:val="000000"/>
                <w:sz w:val="20"/>
                <w:szCs w:val="20"/>
              </w:rPr>
            </w:pPr>
            <w:r w:rsidRPr="00380C53">
              <w:rPr>
                <w:color w:val="000000"/>
                <w:sz w:val="20"/>
                <w:szCs w:val="20"/>
              </w:rPr>
              <w:t>6.5B.4</w:t>
            </w:r>
          </w:p>
        </w:tc>
        <w:tc>
          <w:tcPr>
            <w:tcW w:w="4635" w:type="dxa"/>
            <w:tcBorders>
              <w:top w:val="nil"/>
              <w:left w:val="nil"/>
              <w:bottom w:val="single" w:sz="4" w:space="0" w:color="auto"/>
              <w:right w:val="single" w:sz="4" w:space="0" w:color="auto"/>
            </w:tcBorders>
            <w:shd w:val="clear" w:color="auto" w:fill="auto"/>
            <w:hideMark/>
          </w:tcPr>
          <w:p w14:paraId="2DD686AF" w14:textId="77777777" w:rsidR="00380C53" w:rsidRPr="00380C53" w:rsidRDefault="00380C53">
            <w:pPr>
              <w:rPr>
                <w:color w:val="000000"/>
                <w:sz w:val="20"/>
                <w:szCs w:val="20"/>
              </w:rPr>
            </w:pPr>
            <w:r w:rsidRPr="00380C53">
              <w:rPr>
                <w:color w:val="000000"/>
                <w:sz w:val="20"/>
                <w:szCs w:val="20"/>
              </w:rPr>
              <w:t>Transmit intermodulation for NR-DC</w:t>
            </w:r>
          </w:p>
        </w:tc>
        <w:tc>
          <w:tcPr>
            <w:tcW w:w="5940" w:type="dxa"/>
            <w:tcBorders>
              <w:top w:val="nil"/>
              <w:left w:val="nil"/>
              <w:bottom w:val="single" w:sz="4" w:space="0" w:color="auto"/>
              <w:right w:val="single" w:sz="4" w:space="0" w:color="auto"/>
            </w:tcBorders>
            <w:shd w:val="clear" w:color="auto" w:fill="auto"/>
            <w:vAlign w:val="bottom"/>
            <w:hideMark/>
          </w:tcPr>
          <w:p w14:paraId="19F9C384"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1ED92D85"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0E82400B" w14:textId="77777777" w:rsidR="00380C53" w:rsidRPr="00380C53" w:rsidRDefault="00380C53">
            <w:pPr>
              <w:rPr>
                <w:color w:val="000000"/>
                <w:sz w:val="20"/>
                <w:szCs w:val="20"/>
              </w:rPr>
            </w:pPr>
            <w:r w:rsidRPr="00380C53">
              <w:rPr>
                <w:color w:val="000000"/>
                <w:sz w:val="20"/>
                <w:szCs w:val="20"/>
              </w:rPr>
              <w:t>6.5B</w:t>
            </w:r>
          </w:p>
        </w:tc>
        <w:tc>
          <w:tcPr>
            <w:tcW w:w="4635" w:type="dxa"/>
            <w:tcBorders>
              <w:top w:val="nil"/>
              <w:left w:val="nil"/>
              <w:bottom w:val="single" w:sz="4" w:space="0" w:color="auto"/>
              <w:right w:val="single" w:sz="4" w:space="0" w:color="auto"/>
            </w:tcBorders>
            <w:shd w:val="clear" w:color="auto" w:fill="auto"/>
            <w:hideMark/>
          </w:tcPr>
          <w:p w14:paraId="35DF9859" w14:textId="77777777" w:rsidR="00380C53" w:rsidRPr="00380C53" w:rsidRDefault="00380C53">
            <w:pPr>
              <w:rPr>
                <w:color w:val="000000"/>
                <w:sz w:val="20"/>
                <w:szCs w:val="20"/>
              </w:rPr>
            </w:pPr>
            <w:r w:rsidRPr="00380C53">
              <w:rPr>
                <w:color w:val="000000"/>
                <w:sz w:val="20"/>
                <w:szCs w:val="20"/>
              </w:rPr>
              <w:t>Output RF spectrum emissions for NR-DC</w:t>
            </w:r>
          </w:p>
        </w:tc>
        <w:tc>
          <w:tcPr>
            <w:tcW w:w="5940" w:type="dxa"/>
            <w:tcBorders>
              <w:top w:val="nil"/>
              <w:left w:val="nil"/>
              <w:bottom w:val="single" w:sz="4" w:space="0" w:color="auto"/>
              <w:right w:val="single" w:sz="4" w:space="0" w:color="auto"/>
            </w:tcBorders>
            <w:shd w:val="clear" w:color="auto" w:fill="auto"/>
            <w:vAlign w:val="bottom"/>
            <w:hideMark/>
          </w:tcPr>
          <w:p w14:paraId="5DE46A91"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0D0112D3"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0CB40FED" w14:textId="77777777" w:rsidR="00380C53" w:rsidRPr="00380C53" w:rsidRDefault="00380C53">
            <w:pPr>
              <w:rPr>
                <w:color w:val="000000"/>
                <w:sz w:val="20"/>
                <w:szCs w:val="20"/>
              </w:rPr>
            </w:pPr>
            <w:r w:rsidRPr="00380C53">
              <w:rPr>
                <w:color w:val="000000"/>
                <w:sz w:val="20"/>
                <w:szCs w:val="20"/>
              </w:rPr>
              <w:t>7.3B</w:t>
            </w:r>
          </w:p>
        </w:tc>
        <w:tc>
          <w:tcPr>
            <w:tcW w:w="4635" w:type="dxa"/>
            <w:tcBorders>
              <w:top w:val="nil"/>
              <w:left w:val="nil"/>
              <w:bottom w:val="single" w:sz="4" w:space="0" w:color="auto"/>
              <w:right w:val="single" w:sz="4" w:space="0" w:color="auto"/>
            </w:tcBorders>
            <w:shd w:val="clear" w:color="auto" w:fill="auto"/>
            <w:hideMark/>
          </w:tcPr>
          <w:p w14:paraId="72D3AAF2" w14:textId="77777777" w:rsidR="00380C53" w:rsidRPr="00380C53" w:rsidRDefault="00380C53">
            <w:pPr>
              <w:rPr>
                <w:color w:val="000000"/>
                <w:sz w:val="20"/>
                <w:szCs w:val="20"/>
              </w:rPr>
            </w:pPr>
            <w:r w:rsidRPr="00380C53">
              <w:rPr>
                <w:color w:val="000000"/>
                <w:sz w:val="20"/>
                <w:szCs w:val="20"/>
              </w:rPr>
              <w:t>Reference sensitivity for NR-DC</w:t>
            </w:r>
          </w:p>
        </w:tc>
        <w:tc>
          <w:tcPr>
            <w:tcW w:w="5940" w:type="dxa"/>
            <w:tcBorders>
              <w:top w:val="nil"/>
              <w:left w:val="nil"/>
              <w:bottom w:val="single" w:sz="4" w:space="0" w:color="auto"/>
              <w:right w:val="single" w:sz="4" w:space="0" w:color="auto"/>
            </w:tcBorders>
            <w:shd w:val="clear" w:color="auto" w:fill="auto"/>
            <w:vAlign w:val="bottom"/>
            <w:hideMark/>
          </w:tcPr>
          <w:p w14:paraId="3D51FA6E"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0D8098B1"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7D3BD95A" w14:textId="77777777" w:rsidR="00380C53" w:rsidRPr="00380C53" w:rsidRDefault="00380C53">
            <w:pPr>
              <w:rPr>
                <w:color w:val="000000"/>
                <w:sz w:val="20"/>
                <w:szCs w:val="20"/>
              </w:rPr>
            </w:pPr>
            <w:r w:rsidRPr="00380C53">
              <w:rPr>
                <w:color w:val="000000"/>
                <w:sz w:val="20"/>
                <w:szCs w:val="20"/>
              </w:rPr>
              <w:lastRenderedPageBreak/>
              <w:t>7.4B</w:t>
            </w:r>
          </w:p>
        </w:tc>
        <w:tc>
          <w:tcPr>
            <w:tcW w:w="4635" w:type="dxa"/>
            <w:tcBorders>
              <w:top w:val="nil"/>
              <w:left w:val="nil"/>
              <w:bottom w:val="single" w:sz="4" w:space="0" w:color="auto"/>
              <w:right w:val="single" w:sz="4" w:space="0" w:color="auto"/>
            </w:tcBorders>
            <w:shd w:val="clear" w:color="auto" w:fill="auto"/>
            <w:hideMark/>
          </w:tcPr>
          <w:p w14:paraId="7C0E5471" w14:textId="77777777" w:rsidR="00380C53" w:rsidRPr="00380C53" w:rsidRDefault="00380C53">
            <w:pPr>
              <w:rPr>
                <w:color w:val="000000"/>
                <w:sz w:val="20"/>
                <w:szCs w:val="20"/>
              </w:rPr>
            </w:pPr>
            <w:r w:rsidRPr="00380C53">
              <w:rPr>
                <w:color w:val="000000"/>
                <w:sz w:val="20"/>
                <w:szCs w:val="20"/>
              </w:rPr>
              <w:t>Maximum input level for NR-DC</w:t>
            </w:r>
          </w:p>
        </w:tc>
        <w:tc>
          <w:tcPr>
            <w:tcW w:w="5940" w:type="dxa"/>
            <w:tcBorders>
              <w:top w:val="nil"/>
              <w:left w:val="nil"/>
              <w:bottom w:val="single" w:sz="4" w:space="0" w:color="auto"/>
              <w:right w:val="single" w:sz="4" w:space="0" w:color="auto"/>
            </w:tcBorders>
            <w:shd w:val="clear" w:color="auto" w:fill="auto"/>
            <w:vAlign w:val="bottom"/>
            <w:hideMark/>
          </w:tcPr>
          <w:p w14:paraId="4CCA71E7"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680A873B"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196E75C0" w14:textId="77777777" w:rsidR="00380C53" w:rsidRPr="00380C53" w:rsidRDefault="00380C53">
            <w:pPr>
              <w:rPr>
                <w:color w:val="000000"/>
                <w:sz w:val="20"/>
                <w:szCs w:val="20"/>
              </w:rPr>
            </w:pPr>
            <w:r w:rsidRPr="00380C53">
              <w:rPr>
                <w:color w:val="000000"/>
                <w:sz w:val="20"/>
                <w:szCs w:val="20"/>
              </w:rPr>
              <w:t>7.5B</w:t>
            </w:r>
          </w:p>
        </w:tc>
        <w:tc>
          <w:tcPr>
            <w:tcW w:w="4635" w:type="dxa"/>
            <w:tcBorders>
              <w:top w:val="nil"/>
              <w:left w:val="nil"/>
              <w:bottom w:val="single" w:sz="4" w:space="0" w:color="auto"/>
              <w:right w:val="single" w:sz="4" w:space="0" w:color="auto"/>
            </w:tcBorders>
            <w:shd w:val="clear" w:color="auto" w:fill="auto"/>
            <w:hideMark/>
          </w:tcPr>
          <w:p w14:paraId="3DA80A1C" w14:textId="77777777" w:rsidR="00380C53" w:rsidRPr="00380C53" w:rsidRDefault="00380C53">
            <w:pPr>
              <w:rPr>
                <w:color w:val="000000"/>
                <w:sz w:val="20"/>
                <w:szCs w:val="20"/>
              </w:rPr>
            </w:pPr>
            <w:r w:rsidRPr="00380C53">
              <w:rPr>
                <w:color w:val="000000"/>
                <w:sz w:val="20"/>
                <w:szCs w:val="20"/>
              </w:rPr>
              <w:t>Adjacent channel selectivity for NR-DC</w:t>
            </w:r>
          </w:p>
        </w:tc>
        <w:tc>
          <w:tcPr>
            <w:tcW w:w="5940" w:type="dxa"/>
            <w:tcBorders>
              <w:top w:val="nil"/>
              <w:left w:val="nil"/>
              <w:bottom w:val="single" w:sz="4" w:space="0" w:color="auto"/>
              <w:right w:val="single" w:sz="4" w:space="0" w:color="auto"/>
            </w:tcBorders>
            <w:shd w:val="clear" w:color="auto" w:fill="auto"/>
            <w:vAlign w:val="bottom"/>
            <w:hideMark/>
          </w:tcPr>
          <w:p w14:paraId="7298B953"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552708DB"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76F2D9CB" w14:textId="77777777" w:rsidR="00380C53" w:rsidRPr="00380C53" w:rsidRDefault="00380C53">
            <w:pPr>
              <w:rPr>
                <w:color w:val="000000"/>
                <w:sz w:val="20"/>
                <w:szCs w:val="20"/>
              </w:rPr>
            </w:pPr>
            <w:r w:rsidRPr="00380C53">
              <w:rPr>
                <w:color w:val="000000"/>
                <w:sz w:val="20"/>
                <w:szCs w:val="20"/>
              </w:rPr>
              <w:t>7.6B</w:t>
            </w:r>
          </w:p>
        </w:tc>
        <w:tc>
          <w:tcPr>
            <w:tcW w:w="4635" w:type="dxa"/>
            <w:tcBorders>
              <w:top w:val="nil"/>
              <w:left w:val="nil"/>
              <w:bottom w:val="single" w:sz="4" w:space="0" w:color="auto"/>
              <w:right w:val="single" w:sz="4" w:space="0" w:color="auto"/>
            </w:tcBorders>
            <w:shd w:val="clear" w:color="auto" w:fill="auto"/>
            <w:hideMark/>
          </w:tcPr>
          <w:p w14:paraId="5D9A2825" w14:textId="77777777" w:rsidR="00380C53" w:rsidRPr="00380C53" w:rsidRDefault="00380C53">
            <w:pPr>
              <w:rPr>
                <w:color w:val="000000"/>
                <w:sz w:val="20"/>
                <w:szCs w:val="20"/>
              </w:rPr>
            </w:pPr>
            <w:r w:rsidRPr="00380C53">
              <w:rPr>
                <w:color w:val="000000"/>
                <w:sz w:val="20"/>
                <w:szCs w:val="20"/>
              </w:rPr>
              <w:t>Blocking characteristics for NR-DC</w:t>
            </w:r>
          </w:p>
        </w:tc>
        <w:tc>
          <w:tcPr>
            <w:tcW w:w="5940" w:type="dxa"/>
            <w:tcBorders>
              <w:top w:val="nil"/>
              <w:left w:val="nil"/>
              <w:bottom w:val="single" w:sz="4" w:space="0" w:color="auto"/>
              <w:right w:val="single" w:sz="4" w:space="0" w:color="auto"/>
            </w:tcBorders>
            <w:shd w:val="clear" w:color="auto" w:fill="auto"/>
            <w:vAlign w:val="bottom"/>
            <w:hideMark/>
          </w:tcPr>
          <w:p w14:paraId="7E0306C1"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69ABFD41"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558BA561" w14:textId="77777777" w:rsidR="00380C53" w:rsidRPr="00380C53" w:rsidRDefault="00380C53">
            <w:pPr>
              <w:rPr>
                <w:color w:val="000000"/>
                <w:sz w:val="20"/>
                <w:szCs w:val="20"/>
              </w:rPr>
            </w:pPr>
            <w:r w:rsidRPr="00380C53">
              <w:rPr>
                <w:color w:val="000000"/>
                <w:sz w:val="20"/>
                <w:szCs w:val="20"/>
              </w:rPr>
              <w:t>7.7B</w:t>
            </w:r>
          </w:p>
        </w:tc>
        <w:tc>
          <w:tcPr>
            <w:tcW w:w="4635" w:type="dxa"/>
            <w:tcBorders>
              <w:top w:val="nil"/>
              <w:left w:val="nil"/>
              <w:bottom w:val="single" w:sz="4" w:space="0" w:color="auto"/>
              <w:right w:val="single" w:sz="4" w:space="0" w:color="auto"/>
            </w:tcBorders>
            <w:shd w:val="clear" w:color="auto" w:fill="auto"/>
            <w:hideMark/>
          </w:tcPr>
          <w:p w14:paraId="695462B0" w14:textId="77777777" w:rsidR="00380C53" w:rsidRPr="00380C53" w:rsidRDefault="00380C53">
            <w:pPr>
              <w:rPr>
                <w:color w:val="000000"/>
                <w:sz w:val="20"/>
                <w:szCs w:val="20"/>
              </w:rPr>
            </w:pPr>
            <w:r w:rsidRPr="00380C53">
              <w:rPr>
                <w:color w:val="000000"/>
                <w:sz w:val="20"/>
                <w:szCs w:val="20"/>
              </w:rPr>
              <w:t>Spurious response for NR-DC</w:t>
            </w:r>
          </w:p>
        </w:tc>
        <w:tc>
          <w:tcPr>
            <w:tcW w:w="5940" w:type="dxa"/>
            <w:tcBorders>
              <w:top w:val="nil"/>
              <w:left w:val="nil"/>
              <w:bottom w:val="single" w:sz="4" w:space="0" w:color="auto"/>
              <w:right w:val="single" w:sz="4" w:space="0" w:color="auto"/>
            </w:tcBorders>
            <w:shd w:val="clear" w:color="auto" w:fill="auto"/>
            <w:vAlign w:val="bottom"/>
            <w:hideMark/>
          </w:tcPr>
          <w:p w14:paraId="655ADBB8"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5891DC51"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061F9789" w14:textId="77777777" w:rsidR="00380C53" w:rsidRPr="00380C53" w:rsidRDefault="00380C53">
            <w:pPr>
              <w:rPr>
                <w:color w:val="000000"/>
                <w:sz w:val="20"/>
                <w:szCs w:val="20"/>
              </w:rPr>
            </w:pPr>
            <w:r w:rsidRPr="00380C53">
              <w:rPr>
                <w:color w:val="000000"/>
                <w:sz w:val="20"/>
                <w:szCs w:val="20"/>
              </w:rPr>
              <w:t>7.8B</w:t>
            </w:r>
          </w:p>
        </w:tc>
        <w:tc>
          <w:tcPr>
            <w:tcW w:w="4635" w:type="dxa"/>
            <w:tcBorders>
              <w:top w:val="nil"/>
              <w:left w:val="nil"/>
              <w:bottom w:val="single" w:sz="4" w:space="0" w:color="auto"/>
              <w:right w:val="single" w:sz="4" w:space="0" w:color="auto"/>
            </w:tcBorders>
            <w:shd w:val="clear" w:color="auto" w:fill="auto"/>
            <w:hideMark/>
          </w:tcPr>
          <w:p w14:paraId="05050BFC" w14:textId="77777777" w:rsidR="00380C53" w:rsidRPr="00380C53" w:rsidRDefault="00380C53">
            <w:pPr>
              <w:rPr>
                <w:color w:val="000000"/>
                <w:sz w:val="20"/>
                <w:szCs w:val="20"/>
              </w:rPr>
            </w:pPr>
            <w:r w:rsidRPr="00380C53">
              <w:rPr>
                <w:color w:val="000000"/>
                <w:sz w:val="20"/>
                <w:szCs w:val="20"/>
              </w:rPr>
              <w:t>Intermodulation characteristics for NR-DC</w:t>
            </w:r>
          </w:p>
        </w:tc>
        <w:tc>
          <w:tcPr>
            <w:tcW w:w="5940" w:type="dxa"/>
            <w:tcBorders>
              <w:top w:val="nil"/>
              <w:left w:val="nil"/>
              <w:bottom w:val="single" w:sz="4" w:space="0" w:color="auto"/>
              <w:right w:val="single" w:sz="4" w:space="0" w:color="auto"/>
            </w:tcBorders>
            <w:shd w:val="clear" w:color="auto" w:fill="auto"/>
            <w:vAlign w:val="bottom"/>
            <w:hideMark/>
          </w:tcPr>
          <w:p w14:paraId="2DA97247"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r w:rsidR="00380C53" w:rsidRPr="00380C53" w14:paraId="300B4EFB" w14:textId="77777777" w:rsidTr="00380C53">
        <w:trPr>
          <w:trHeight w:val="340"/>
          <w:jc w:val="center"/>
        </w:trPr>
        <w:tc>
          <w:tcPr>
            <w:tcW w:w="1395" w:type="dxa"/>
            <w:tcBorders>
              <w:top w:val="nil"/>
              <w:left w:val="single" w:sz="4" w:space="0" w:color="auto"/>
              <w:bottom w:val="single" w:sz="4" w:space="0" w:color="auto"/>
              <w:right w:val="single" w:sz="4" w:space="0" w:color="auto"/>
            </w:tcBorders>
            <w:shd w:val="clear" w:color="auto" w:fill="auto"/>
            <w:hideMark/>
          </w:tcPr>
          <w:p w14:paraId="6EBDF70D" w14:textId="77777777" w:rsidR="00380C53" w:rsidRPr="00380C53" w:rsidRDefault="00380C53">
            <w:pPr>
              <w:rPr>
                <w:color w:val="000000"/>
                <w:sz w:val="20"/>
                <w:szCs w:val="20"/>
              </w:rPr>
            </w:pPr>
            <w:r w:rsidRPr="00380C53">
              <w:rPr>
                <w:color w:val="000000"/>
                <w:sz w:val="20"/>
                <w:szCs w:val="20"/>
              </w:rPr>
              <w:t>7.9B</w:t>
            </w:r>
          </w:p>
        </w:tc>
        <w:tc>
          <w:tcPr>
            <w:tcW w:w="4635" w:type="dxa"/>
            <w:tcBorders>
              <w:top w:val="nil"/>
              <w:left w:val="nil"/>
              <w:bottom w:val="single" w:sz="4" w:space="0" w:color="auto"/>
              <w:right w:val="single" w:sz="4" w:space="0" w:color="auto"/>
            </w:tcBorders>
            <w:shd w:val="clear" w:color="auto" w:fill="auto"/>
            <w:hideMark/>
          </w:tcPr>
          <w:p w14:paraId="08BB8F95" w14:textId="77777777" w:rsidR="00380C53" w:rsidRPr="00380C53" w:rsidRDefault="00380C53">
            <w:pPr>
              <w:rPr>
                <w:color w:val="000000"/>
                <w:sz w:val="20"/>
                <w:szCs w:val="20"/>
              </w:rPr>
            </w:pPr>
            <w:r w:rsidRPr="00380C53">
              <w:rPr>
                <w:color w:val="000000"/>
                <w:sz w:val="20"/>
                <w:szCs w:val="20"/>
              </w:rPr>
              <w:t>Spurious emissions for NR-DC</w:t>
            </w:r>
          </w:p>
        </w:tc>
        <w:tc>
          <w:tcPr>
            <w:tcW w:w="5940" w:type="dxa"/>
            <w:tcBorders>
              <w:top w:val="nil"/>
              <w:left w:val="nil"/>
              <w:bottom w:val="single" w:sz="4" w:space="0" w:color="auto"/>
              <w:right w:val="single" w:sz="4" w:space="0" w:color="auto"/>
            </w:tcBorders>
            <w:shd w:val="clear" w:color="auto" w:fill="auto"/>
            <w:vAlign w:val="bottom"/>
            <w:hideMark/>
          </w:tcPr>
          <w:p w14:paraId="1E80034C" w14:textId="77777777" w:rsidR="00380C53" w:rsidRPr="00380C53" w:rsidRDefault="00380C53">
            <w:pPr>
              <w:rPr>
                <w:color w:val="000000"/>
                <w:sz w:val="20"/>
                <w:szCs w:val="20"/>
              </w:rPr>
            </w:pPr>
            <w:r w:rsidRPr="00380C53">
              <w:rPr>
                <w:color w:val="000000"/>
                <w:sz w:val="20"/>
                <w:szCs w:val="20"/>
              </w:rPr>
              <w:t>No exception requirements. Pointer to NR CA sub-clause</w:t>
            </w:r>
          </w:p>
        </w:tc>
      </w:tr>
    </w:tbl>
    <w:p w14:paraId="37012165" w14:textId="77777777" w:rsidR="00380C53" w:rsidRPr="00380C53" w:rsidRDefault="00380C53" w:rsidP="00380C53">
      <w:pPr>
        <w:jc w:val="center"/>
        <w:rPr>
          <w:rFonts w:eastAsia="MS Mincho"/>
          <w:lang w:val="en-GB"/>
        </w:rPr>
      </w:pPr>
    </w:p>
    <w:p w14:paraId="3C595E66" w14:textId="1CEFBF9B" w:rsidR="0017745E" w:rsidRPr="00CE7E87" w:rsidRDefault="0017745E" w:rsidP="00CE7E87">
      <w:pPr>
        <w:rPr>
          <w:rFonts w:eastAsia="MS Mincho"/>
          <w:b/>
          <w:bCs/>
        </w:rPr>
      </w:pPr>
      <w:r w:rsidRPr="00CE7E87">
        <w:rPr>
          <w:rFonts w:eastAsia="MS Mincho"/>
          <w:b/>
          <w:bCs/>
        </w:rPr>
        <w:t>Observation 1: Apart from NR-DC FR1 MOP test which have some specific requirements defined to be tested and have dependency on the NR-DC</w:t>
      </w:r>
      <w:r w:rsidR="00513D7C" w:rsidRPr="00CE7E87">
        <w:rPr>
          <w:rFonts w:eastAsia="MS Mincho"/>
          <w:b/>
          <w:bCs/>
        </w:rPr>
        <w:t xml:space="preserve"> </w:t>
      </w:r>
      <w:r w:rsidRPr="00CE7E87">
        <w:rPr>
          <w:rFonts w:eastAsia="MS Mincho"/>
          <w:b/>
          <w:bCs/>
        </w:rPr>
        <w:t>Configuration under test, all other NR-DC clauses</w:t>
      </w:r>
      <w:r w:rsidR="00212585" w:rsidRPr="00CE7E87">
        <w:rPr>
          <w:rFonts w:eastAsia="MS Mincho"/>
          <w:b/>
          <w:bCs/>
        </w:rPr>
        <w:t xml:space="preserve"> are coupled to NR-CA clauses</w:t>
      </w:r>
    </w:p>
    <w:p w14:paraId="3204DE45" w14:textId="49B1E461" w:rsidR="0017745E" w:rsidRDefault="0017745E" w:rsidP="0017745E">
      <w:pPr>
        <w:rPr>
          <w:rFonts w:eastAsia="MS Mincho"/>
          <w:lang w:val="en-GB"/>
        </w:rPr>
      </w:pPr>
    </w:p>
    <w:p w14:paraId="48934337" w14:textId="483DC76B" w:rsidR="004D06E1" w:rsidRDefault="004D06E1" w:rsidP="0017745E">
      <w:pPr>
        <w:rPr>
          <w:rFonts w:eastAsia="MS Mincho"/>
          <w:lang w:val="en-GB"/>
        </w:rPr>
      </w:pPr>
      <w:r>
        <w:rPr>
          <w:rFonts w:eastAsia="MS Mincho"/>
          <w:lang w:val="en-GB"/>
        </w:rPr>
        <w:t xml:space="preserve">It should be noted that the NR-DC configurations defined in TS 38.101-1 also derive the bandwidth combination sets from the corresponding NR-CA configuration. </w:t>
      </w:r>
      <w:proofErr w:type="gramStart"/>
      <w:r>
        <w:rPr>
          <w:rFonts w:eastAsia="MS Mincho"/>
          <w:lang w:val="en-GB"/>
        </w:rPr>
        <w:t>Therefore</w:t>
      </w:r>
      <w:proofErr w:type="gramEnd"/>
      <w:r>
        <w:rPr>
          <w:rFonts w:eastAsia="MS Mincho"/>
          <w:lang w:val="en-GB"/>
        </w:rPr>
        <w:t xml:space="preserve"> it is not likely that </w:t>
      </w:r>
      <w:r w:rsidR="00D66B87">
        <w:rPr>
          <w:rFonts w:eastAsia="MS Mincho"/>
          <w:lang w:val="en-GB"/>
        </w:rPr>
        <w:t>any new NR-DC configuration is likely to be picked to be tested.</w:t>
      </w:r>
    </w:p>
    <w:p w14:paraId="6F068C7C" w14:textId="69486A6E" w:rsidR="004D06E1" w:rsidRDefault="004D06E1" w:rsidP="0017745E">
      <w:pPr>
        <w:rPr>
          <w:rFonts w:eastAsia="MS Mincho"/>
          <w:lang w:val="en-GB"/>
        </w:rPr>
      </w:pPr>
    </w:p>
    <w:p w14:paraId="1A27E1B1" w14:textId="3A624E13" w:rsidR="004D06E1" w:rsidRDefault="004D06E1" w:rsidP="0017745E">
      <w:pPr>
        <w:rPr>
          <w:rFonts w:eastAsia="MS Mincho"/>
          <w:lang w:val="en-GB"/>
        </w:rPr>
      </w:pPr>
      <w:r w:rsidRPr="004D06E1">
        <w:rPr>
          <w:rFonts w:eastAsia="MS Mincho"/>
          <w:noProof/>
          <w:lang w:val="en-GB"/>
        </w:rPr>
        <w:drawing>
          <wp:inline distT="0" distB="0" distL="0" distR="0" wp14:anchorId="6859F1A9" wp14:editId="624E1FBD">
            <wp:extent cx="6472989" cy="1014070"/>
            <wp:effectExtent l="0" t="0" r="0" b="254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0"/>
                    <a:stretch>
                      <a:fillRect/>
                    </a:stretch>
                  </pic:blipFill>
                  <pic:spPr>
                    <a:xfrm>
                      <a:off x="0" y="0"/>
                      <a:ext cx="6514447" cy="1020565"/>
                    </a:xfrm>
                    <a:prstGeom prst="rect">
                      <a:avLst/>
                    </a:prstGeom>
                  </pic:spPr>
                </pic:pic>
              </a:graphicData>
            </a:graphic>
          </wp:inline>
        </w:drawing>
      </w:r>
    </w:p>
    <w:p w14:paraId="62BC5C3A" w14:textId="5740C85F" w:rsidR="0017745E" w:rsidRPr="00D66B87" w:rsidRDefault="00D66B87" w:rsidP="0017745E">
      <w:pPr>
        <w:rPr>
          <w:rFonts w:eastAsia="MS Mincho"/>
          <w:b/>
          <w:bCs/>
          <w:lang w:val="en-GB"/>
        </w:rPr>
      </w:pPr>
      <w:r w:rsidRPr="00D66B87">
        <w:rPr>
          <w:rFonts w:eastAsia="MS Mincho"/>
          <w:b/>
          <w:bCs/>
          <w:lang w:val="en-GB"/>
        </w:rPr>
        <w:t>Observation 2: No new/unique NR-DC configurations are expected to be tested as they map to the bandwidth combination sets already defined for NR-CA combos.</w:t>
      </w:r>
    </w:p>
    <w:p w14:paraId="634B60E5" w14:textId="13A98A0B" w:rsidR="0017745E" w:rsidRDefault="0017745E" w:rsidP="00513D7C">
      <w:pPr>
        <w:pStyle w:val="Heading2"/>
        <w:rPr>
          <w:rFonts w:eastAsia="MS Mincho"/>
        </w:rPr>
      </w:pPr>
      <w:r>
        <w:rPr>
          <w:rFonts w:eastAsia="MS Mincho"/>
        </w:rPr>
        <w:t>2.2 Work Plan Approach to define NR-DC tests.</w:t>
      </w:r>
    </w:p>
    <w:p w14:paraId="38C4DB59" w14:textId="731FA5D8" w:rsidR="0017745E" w:rsidRDefault="0017745E" w:rsidP="0017745E">
      <w:pPr>
        <w:rPr>
          <w:rFonts w:eastAsia="MS Mincho"/>
          <w:lang w:val="en-GB"/>
        </w:rPr>
      </w:pPr>
    </w:p>
    <w:p w14:paraId="202A385F" w14:textId="3FBCC12A" w:rsidR="0017745E" w:rsidRDefault="0017745E" w:rsidP="0017745E">
      <w:pPr>
        <w:rPr>
          <w:rFonts w:eastAsia="MS Mincho"/>
          <w:lang w:val="en-GB"/>
        </w:rPr>
      </w:pPr>
      <w:r>
        <w:rPr>
          <w:rFonts w:eastAsia="MS Mincho"/>
          <w:lang w:val="en-GB"/>
        </w:rPr>
        <w:t>After an email discussion during RAN5#95e, RAN5 WG decided to adopt the option to leverage as much of the NR-CA test case content as possible due to the close coup</w:t>
      </w:r>
      <w:r w:rsidR="00513D7C">
        <w:rPr>
          <w:rFonts w:eastAsia="MS Mincho"/>
          <w:lang w:val="en-GB"/>
        </w:rPr>
        <w:t>l</w:t>
      </w:r>
      <w:r>
        <w:rPr>
          <w:rFonts w:eastAsia="MS Mincho"/>
          <w:lang w:val="en-GB"/>
        </w:rPr>
        <w:t>ing between these two sub-clauses. This further bolsters the observation made in Section 2.1 of this document</w:t>
      </w:r>
      <w:r w:rsidR="00380C53">
        <w:rPr>
          <w:rFonts w:eastAsia="MS Mincho"/>
          <w:lang w:val="en-GB"/>
        </w:rPr>
        <w:t>. The agreement was captured as “Option 1.5” by the rapporteur.</w:t>
      </w:r>
    </w:p>
    <w:p w14:paraId="474B385B" w14:textId="2BBDDB91" w:rsidR="004D06E1" w:rsidRDefault="004D06E1" w:rsidP="0017745E">
      <w:pPr>
        <w:rPr>
          <w:rFonts w:eastAsia="MS Mincho"/>
          <w:lang w:val="en-GB"/>
        </w:rPr>
      </w:pPr>
    </w:p>
    <w:p w14:paraId="2D9D21B8" w14:textId="69ADB948" w:rsidR="004D06E1" w:rsidRDefault="004D06E1" w:rsidP="0017745E">
      <w:pPr>
        <w:rPr>
          <w:rFonts w:eastAsia="MS Mincho"/>
          <w:lang w:val="en-GB"/>
        </w:rPr>
      </w:pPr>
      <w:r>
        <w:rPr>
          <w:rFonts w:eastAsia="MS Mincho"/>
          <w:b/>
          <w:bCs/>
          <w:i/>
          <w:iCs/>
          <w:lang w:val="en-GB"/>
        </w:rPr>
        <w:t>“</w:t>
      </w:r>
      <w:r w:rsidRPr="004D06E1">
        <w:rPr>
          <w:rFonts w:eastAsia="MS Mincho"/>
          <w:b/>
          <w:bCs/>
          <w:i/>
          <w:iCs/>
          <w:lang w:val="en-GB"/>
        </w:rPr>
        <w:t>Option 1.5</w:t>
      </w:r>
      <w:r>
        <w:rPr>
          <w:rFonts w:eastAsia="MS Mincho"/>
          <w:b/>
          <w:bCs/>
          <w:i/>
          <w:iCs/>
          <w:lang w:val="en-GB"/>
        </w:rPr>
        <w:t>”</w:t>
      </w:r>
      <w:r>
        <w:rPr>
          <w:rFonts w:eastAsia="MS Mincho"/>
          <w:lang w:val="en-GB"/>
        </w:rPr>
        <w:t xml:space="preserve"> is stated below:</w:t>
      </w:r>
    </w:p>
    <w:p w14:paraId="609865F6" w14:textId="518C7EE9" w:rsidR="0017745E" w:rsidRDefault="0017745E" w:rsidP="0017745E">
      <w:pPr>
        <w:rPr>
          <w:rFonts w:eastAsia="MS Mincho"/>
          <w:lang w:val="en-GB"/>
        </w:rPr>
      </w:pPr>
    </w:p>
    <w:p w14:paraId="15ED83BE" w14:textId="4AE7D67F" w:rsidR="0017745E" w:rsidRPr="0017745E" w:rsidRDefault="00380C53" w:rsidP="0017745E">
      <w:pPr>
        <w:rPr>
          <w:rFonts w:eastAsia="MS Mincho"/>
          <w:lang w:val="en-GB"/>
        </w:rPr>
      </w:pPr>
      <w:r w:rsidRPr="00380C53">
        <w:rPr>
          <w:rFonts w:eastAsia="MS Mincho"/>
          <w:noProof/>
          <w:lang w:val="en-GB"/>
        </w:rPr>
        <w:drawing>
          <wp:inline distT="0" distB="0" distL="0" distR="0" wp14:anchorId="3B1C95B6" wp14:editId="4D8D45D4">
            <wp:extent cx="5358063" cy="4330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17277" cy="437847"/>
                    </a:xfrm>
                    <a:prstGeom prst="rect">
                      <a:avLst/>
                    </a:prstGeom>
                  </pic:spPr>
                </pic:pic>
              </a:graphicData>
            </a:graphic>
          </wp:inline>
        </w:drawing>
      </w:r>
    </w:p>
    <w:p w14:paraId="727ED579" w14:textId="2ED8570B" w:rsidR="00570795" w:rsidRDefault="00570795" w:rsidP="00570795">
      <w:pPr>
        <w:pStyle w:val="Heading2"/>
        <w:rPr>
          <w:rFonts w:eastAsia="MS Mincho"/>
        </w:rPr>
      </w:pPr>
      <w:r w:rsidRPr="00442FDC">
        <w:rPr>
          <w:rFonts w:eastAsia="MS Mincho" w:hint="eastAsia"/>
        </w:rPr>
        <w:lastRenderedPageBreak/>
        <w:t>2.</w:t>
      </w:r>
      <w:r w:rsidR="008A0AC5">
        <w:rPr>
          <w:rFonts w:eastAsia="MS Mincho"/>
        </w:rPr>
        <w:t>3</w:t>
      </w:r>
      <w:r w:rsidRPr="00442FDC">
        <w:rPr>
          <w:rFonts w:eastAsia="MS Mincho" w:hint="eastAsia"/>
        </w:rPr>
        <w:t xml:space="preserve"> </w:t>
      </w:r>
      <w:r>
        <w:rPr>
          <w:rFonts w:eastAsia="MS Mincho"/>
        </w:rPr>
        <w:t xml:space="preserve">   </w:t>
      </w:r>
      <w:r w:rsidR="008A0AC5">
        <w:rPr>
          <w:rFonts w:eastAsia="MS Mincho"/>
        </w:rPr>
        <w:t>RAN5 test requirements for NR-DC/NR-CA RF</w:t>
      </w:r>
    </w:p>
    <w:p w14:paraId="07841411" w14:textId="6E4DAB13" w:rsidR="00570795" w:rsidRDefault="008A0AC5" w:rsidP="00C454BE">
      <w:pPr>
        <w:rPr>
          <w:rFonts w:eastAsia="MS Mincho"/>
          <w:lang w:val="en-GB"/>
        </w:rPr>
      </w:pPr>
      <w:r>
        <w:rPr>
          <w:rFonts w:eastAsia="MS Mincho"/>
          <w:lang w:val="en-GB"/>
        </w:rPr>
        <w:t xml:space="preserve">From an architecture standpoint, there should not be any variation expected in performance between NR-DC and NR-CA since all that changes is the way the component carriers are </w:t>
      </w:r>
      <w:r w:rsidR="00212585">
        <w:rPr>
          <w:rFonts w:eastAsia="MS Mincho"/>
          <w:lang w:val="en-GB"/>
        </w:rPr>
        <w:t>aggregated;</w:t>
      </w:r>
      <w:r>
        <w:rPr>
          <w:rFonts w:eastAsia="MS Mincho"/>
          <w:lang w:val="en-GB"/>
        </w:rPr>
        <w:t xml:space="preserve"> at MAC layer in case of NR-CA versus PDCP in case of NR-DC. RF Tx/Rx performance should therefore be agnostic to whether the configuration is NR-DC or NR-CA since the per-component carrier measurement (which is the basic principle behind both NR-CA and NR-DC) would ensure the requirements are verified similarly in both configs.</w:t>
      </w:r>
    </w:p>
    <w:p w14:paraId="15AB2F90" w14:textId="634C6D72" w:rsidR="008A0AC5" w:rsidRDefault="008A0AC5" w:rsidP="00C454BE">
      <w:pPr>
        <w:rPr>
          <w:rFonts w:eastAsia="MS Mincho"/>
          <w:lang w:val="en-GB"/>
        </w:rPr>
      </w:pPr>
    </w:p>
    <w:p w14:paraId="060F88DB" w14:textId="6241E6A5" w:rsidR="008A0AC5" w:rsidRPr="00D66B87" w:rsidRDefault="008A0AC5" w:rsidP="00C454BE">
      <w:pPr>
        <w:rPr>
          <w:rFonts w:eastAsia="MS Mincho"/>
          <w:b/>
          <w:bCs/>
          <w:lang w:val="en-GB"/>
        </w:rPr>
      </w:pPr>
      <w:r w:rsidRPr="00D66B87">
        <w:rPr>
          <w:rFonts w:eastAsia="MS Mincho"/>
          <w:b/>
          <w:bCs/>
          <w:lang w:val="en-GB"/>
        </w:rPr>
        <w:t>Observation</w:t>
      </w:r>
      <w:r w:rsidR="00D66B87" w:rsidRPr="00D66B87">
        <w:rPr>
          <w:rFonts w:eastAsia="MS Mincho"/>
          <w:b/>
          <w:bCs/>
          <w:lang w:val="en-GB"/>
        </w:rPr>
        <w:t xml:space="preserve"> </w:t>
      </w:r>
      <w:r w:rsidR="00212585" w:rsidRPr="00D66B87">
        <w:rPr>
          <w:rFonts w:eastAsia="MS Mincho"/>
          <w:b/>
          <w:bCs/>
          <w:lang w:val="en-GB"/>
        </w:rPr>
        <w:t>3:</w:t>
      </w:r>
      <w:r w:rsidRPr="00D66B87">
        <w:rPr>
          <w:rFonts w:eastAsia="MS Mincho"/>
          <w:b/>
          <w:bCs/>
          <w:lang w:val="en-GB"/>
        </w:rPr>
        <w:t xml:space="preserve"> There should not be any variation expected in performance between NR-DC and NR-CA</w:t>
      </w:r>
      <w:r w:rsidR="00D66B87">
        <w:rPr>
          <w:rFonts w:eastAsia="MS Mincho"/>
          <w:b/>
          <w:bCs/>
          <w:lang w:val="en-GB"/>
        </w:rPr>
        <w:t xml:space="preserve"> for equivalent combos/configurations involving the same component carriers/bands</w:t>
      </w:r>
      <w:r w:rsidRPr="00D66B87">
        <w:rPr>
          <w:rFonts w:eastAsia="MS Mincho"/>
          <w:b/>
          <w:bCs/>
          <w:lang w:val="en-GB"/>
        </w:rPr>
        <w:t xml:space="preserve"> since all that changes is the way the component carriers are </w:t>
      </w:r>
      <w:r w:rsidR="00784917" w:rsidRPr="00D66B87">
        <w:rPr>
          <w:rFonts w:eastAsia="MS Mincho"/>
          <w:b/>
          <w:bCs/>
          <w:lang w:val="en-GB"/>
        </w:rPr>
        <w:t>aggregated;</w:t>
      </w:r>
      <w:r w:rsidRPr="00D66B87">
        <w:rPr>
          <w:rFonts w:eastAsia="MS Mincho"/>
          <w:b/>
          <w:bCs/>
          <w:lang w:val="en-GB"/>
        </w:rPr>
        <w:t xml:space="preserve"> at MAC layer in case of NR-CA versus PDCP in case of NR-DC</w:t>
      </w:r>
    </w:p>
    <w:p w14:paraId="11B4950A" w14:textId="77777777" w:rsidR="00212585" w:rsidRDefault="00212585" w:rsidP="00C454BE">
      <w:pPr>
        <w:rPr>
          <w:rFonts w:eastAsia="MS Mincho"/>
          <w:lang w:val="en-GB"/>
        </w:rPr>
      </w:pPr>
    </w:p>
    <w:p w14:paraId="785B6BCF" w14:textId="77777777" w:rsidR="00D66B87" w:rsidRDefault="00D66B87" w:rsidP="00D66B87">
      <w:pPr>
        <w:rPr>
          <w:rFonts w:eastAsia="MS Mincho"/>
          <w:b/>
          <w:bCs/>
          <w:sz w:val="20"/>
          <w:szCs w:val="20"/>
          <w:lang w:val="en-GB"/>
        </w:rPr>
      </w:pPr>
    </w:p>
    <w:p w14:paraId="13E450E7" w14:textId="416096E8" w:rsidR="006979E6" w:rsidRPr="006979E6" w:rsidRDefault="006979E6" w:rsidP="006979E6">
      <w:pPr>
        <w:jc w:val="center"/>
        <w:rPr>
          <w:rFonts w:eastAsia="MS Mincho"/>
          <w:b/>
          <w:bCs/>
          <w:sz w:val="20"/>
          <w:szCs w:val="20"/>
          <w:lang w:val="en-GB"/>
        </w:rPr>
      </w:pPr>
      <w:r w:rsidRPr="006979E6">
        <w:rPr>
          <w:rFonts w:eastAsia="MS Mincho"/>
          <w:b/>
          <w:bCs/>
          <w:sz w:val="20"/>
          <w:szCs w:val="20"/>
          <w:lang w:val="en-GB"/>
        </w:rPr>
        <w:t>Table 2.3-1 NR-DC vs NR-CA</w:t>
      </w:r>
      <w:r>
        <w:rPr>
          <w:rFonts w:eastAsia="MS Mincho"/>
          <w:b/>
          <w:bCs/>
          <w:sz w:val="20"/>
          <w:szCs w:val="20"/>
          <w:lang w:val="en-GB"/>
        </w:rPr>
        <w:t xml:space="preserve"> [3]</w:t>
      </w:r>
    </w:p>
    <w:p w14:paraId="68643DB4" w14:textId="689FFF26" w:rsidR="006979E6" w:rsidRDefault="006979E6" w:rsidP="00C454BE">
      <w:pPr>
        <w:rPr>
          <w:rFonts w:eastAsia="MS Mincho"/>
          <w:lang w:val="en-GB"/>
        </w:rPr>
      </w:pPr>
    </w:p>
    <w:p w14:paraId="5D0C500F" w14:textId="0B884F47" w:rsidR="006979E6" w:rsidRDefault="006979E6" w:rsidP="006979E6">
      <w:pPr>
        <w:jc w:val="center"/>
        <w:rPr>
          <w:rFonts w:eastAsia="MS Mincho"/>
          <w:lang w:val="en-GB"/>
        </w:rPr>
      </w:pPr>
      <w:r w:rsidRPr="006979E6">
        <w:rPr>
          <w:rFonts w:eastAsia="MS Mincho"/>
          <w:noProof/>
          <w:lang w:val="en-GB"/>
        </w:rPr>
        <w:drawing>
          <wp:inline distT="0" distB="0" distL="0" distR="0" wp14:anchorId="07561C41" wp14:editId="00CD9A3E">
            <wp:extent cx="4937003" cy="2277979"/>
            <wp:effectExtent l="0" t="0" r="381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2"/>
                    <a:stretch>
                      <a:fillRect/>
                    </a:stretch>
                  </pic:blipFill>
                  <pic:spPr>
                    <a:xfrm>
                      <a:off x="0" y="0"/>
                      <a:ext cx="4964303" cy="2290575"/>
                    </a:xfrm>
                    <a:prstGeom prst="rect">
                      <a:avLst/>
                    </a:prstGeom>
                  </pic:spPr>
                </pic:pic>
              </a:graphicData>
            </a:graphic>
          </wp:inline>
        </w:drawing>
      </w:r>
    </w:p>
    <w:p w14:paraId="7BE17DC3" w14:textId="77777777" w:rsidR="008A0AC5" w:rsidRDefault="008A0AC5" w:rsidP="00C454BE">
      <w:pPr>
        <w:rPr>
          <w:rFonts w:eastAsia="MS Mincho"/>
          <w:lang w:val="en-GB"/>
        </w:rPr>
      </w:pPr>
    </w:p>
    <w:p w14:paraId="3C7A45D6" w14:textId="39D5FE01" w:rsidR="00F1292D" w:rsidRDefault="00F1292D" w:rsidP="0058118F">
      <w:pPr>
        <w:rPr>
          <w:rFonts w:eastAsia="MS Mincho"/>
          <w:b/>
          <w:bCs/>
          <w:lang w:val="en-GB"/>
        </w:rPr>
      </w:pPr>
    </w:p>
    <w:p w14:paraId="617E4F58" w14:textId="119D05C9" w:rsidR="00F1292D" w:rsidRDefault="00F1292D" w:rsidP="00012BD1">
      <w:pPr>
        <w:jc w:val="center"/>
        <w:rPr>
          <w:rFonts w:eastAsia="MS Mincho"/>
          <w:b/>
          <w:bCs/>
          <w:lang w:val="en-GB"/>
        </w:rPr>
      </w:pPr>
    </w:p>
    <w:p w14:paraId="04156C66" w14:textId="77777777" w:rsidR="00C85A46" w:rsidRDefault="00C85A46" w:rsidP="00851E7A">
      <w:pPr>
        <w:rPr>
          <w:rFonts w:eastAsia="MS Mincho"/>
          <w:lang w:val="en-GB"/>
        </w:rPr>
      </w:pPr>
    </w:p>
    <w:p w14:paraId="08F2CB7F" w14:textId="4FF39E8D" w:rsidR="004862E4" w:rsidRDefault="004862E4" w:rsidP="0013454C">
      <w:pPr>
        <w:jc w:val="center"/>
        <w:rPr>
          <w:rFonts w:eastAsia="MS Mincho"/>
          <w:lang w:val="en-GB"/>
        </w:rPr>
      </w:pPr>
    </w:p>
    <w:p w14:paraId="50165958" w14:textId="01C6F2E5" w:rsidR="004D06E1" w:rsidRPr="004D06E1" w:rsidRDefault="004D06E1" w:rsidP="004D06E1">
      <w:pPr>
        <w:rPr>
          <w:rFonts w:eastAsia="MS Mincho"/>
          <w:lang w:val="en-GB"/>
        </w:rPr>
      </w:pPr>
      <w:r w:rsidRPr="004D06E1">
        <w:rPr>
          <w:rFonts w:eastAsia="MS Mincho"/>
          <w:b/>
          <w:bCs/>
          <w:lang w:val="en-GB"/>
        </w:rPr>
        <w:t xml:space="preserve">Proposal 1: Introduce a test leverage statement in TS 38.521-1 common clause that, unless there are exception requirements defined: </w:t>
      </w:r>
      <w:r w:rsidRPr="004D06E1">
        <w:rPr>
          <w:rFonts w:eastAsia="MS Mincho"/>
          <w:b/>
          <w:bCs/>
        </w:rPr>
        <w:t xml:space="preserve">if a DUT is tested on an FR1 NR-CA configuration, the DUT need not be re-tested for the FR1 NR-DC configuration involving the same </w:t>
      </w:r>
      <w:r w:rsidR="00784917">
        <w:rPr>
          <w:rFonts w:eastAsia="MS Mincho"/>
          <w:b/>
          <w:bCs/>
        </w:rPr>
        <w:t>bands within the component carriers/carrier groups (CGs).</w:t>
      </w:r>
    </w:p>
    <w:p w14:paraId="2993B4CC" w14:textId="1EC78CE7" w:rsidR="008E7986" w:rsidRPr="00DB2F35" w:rsidRDefault="008E7986" w:rsidP="008E7986">
      <w:pPr>
        <w:pStyle w:val="Heading1"/>
        <w:rPr>
          <w:rFonts w:cs="Arial"/>
        </w:rPr>
      </w:pPr>
      <w:r w:rsidRPr="00DB2F35">
        <w:rPr>
          <w:rFonts w:cs="Arial"/>
        </w:rPr>
        <w:lastRenderedPageBreak/>
        <w:t>3</w:t>
      </w:r>
      <w:r w:rsidRPr="00DB2F35">
        <w:rPr>
          <w:rFonts w:cs="Arial"/>
        </w:rPr>
        <w:tab/>
      </w:r>
      <w:r w:rsidR="007B2019">
        <w:rPr>
          <w:rFonts w:cs="Arial"/>
        </w:rPr>
        <w:t>Summary</w:t>
      </w:r>
    </w:p>
    <w:p w14:paraId="21CC3DDB" w14:textId="7FD7C4E5" w:rsidR="00BA5BD9" w:rsidRDefault="00736713" w:rsidP="00BA5BD9">
      <w:pPr>
        <w:rPr>
          <w:rFonts w:eastAsia="MS Mincho"/>
        </w:rPr>
      </w:pPr>
      <w:r>
        <w:rPr>
          <w:rFonts w:eastAsia="MS Mincho"/>
        </w:rPr>
        <w:t xml:space="preserve">Below are the observations and </w:t>
      </w:r>
      <w:r w:rsidR="00212585">
        <w:rPr>
          <w:rFonts w:eastAsia="MS Mincho"/>
        </w:rPr>
        <w:t>proposal</w:t>
      </w:r>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0C4C0A17" w14:textId="77777777" w:rsidR="00D66B87" w:rsidRPr="00CE7E87" w:rsidRDefault="00D66B87" w:rsidP="00CE7E87">
      <w:pPr>
        <w:rPr>
          <w:rFonts w:eastAsia="MS Mincho"/>
          <w:b/>
          <w:bCs/>
        </w:rPr>
      </w:pPr>
    </w:p>
    <w:p w14:paraId="07B12928" w14:textId="77777777" w:rsidR="00212585" w:rsidRPr="00CE7E87" w:rsidRDefault="00212585" w:rsidP="00CE7E87">
      <w:pPr>
        <w:rPr>
          <w:rFonts w:eastAsia="MS Mincho"/>
          <w:b/>
          <w:bCs/>
        </w:rPr>
      </w:pPr>
      <w:r w:rsidRPr="00CE7E87">
        <w:rPr>
          <w:rFonts w:eastAsia="MS Mincho"/>
          <w:b/>
          <w:bCs/>
        </w:rPr>
        <w:t>Observation 1: Apart from NR-DC FR1 MOP test which have some specific requirements defined to be tested and have dependency on the NR-DC Configuration under test, all other NR-DC clauses are coupled to NR-CA clauses</w:t>
      </w:r>
    </w:p>
    <w:p w14:paraId="66909276" w14:textId="77777777" w:rsidR="00736713" w:rsidRDefault="00736713" w:rsidP="00BA5BD9">
      <w:pPr>
        <w:rPr>
          <w:rFonts w:eastAsia="MS Mincho"/>
        </w:rPr>
      </w:pPr>
    </w:p>
    <w:p w14:paraId="23FDBB67" w14:textId="77777777" w:rsidR="00D66B87" w:rsidRPr="00D66B87" w:rsidRDefault="00D66B87" w:rsidP="00D66B87">
      <w:pPr>
        <w:rPr>
          <w:rFonts w:eastAsia="MS Mincho"/>
          <w:b/>
          <w:bCs/>
          <w:lang w:val="en-GB"/>
        </w:rPr>
      </w:pPr>
      <w:r w:rsidRPr="00D66B87">
        <w:rPr>
          <w:rFonts w:eastAsia="MS Mincho"/>
          <w:b/>
          <w:bCs/>
          <w:lang w:val="en-GB"/>
        </w:rPr>
        <w:t>Observation 2: No new/unique NR-DC configurations are expected to be tested as they map to the bandwidth combination sets already defined for NR-CA combos.</w:t>
      </w:r>
    </w:p>
    <w:p w14:paraId="1429D5DA" w14:textId="77777777" w:rsidR="00D66B87" w:rsidRDefault="00D66B87" w:rsidP="00D66B87">
      <w:pPr>
        <w:rPr>
          <w:rFonts w:eastAsia="MS Mincho"/>
          <w:b/>
          <w:bCs/>
          <w:lang w:val="en-GB"/>
        </w:rPr>
      </w:pPr>
    </w:p>
    <w:p w14:paraId="14630F75" w14:textId="4BFB4D6A" w:rsidR="00D66B87" w:rsidRDefault="00D66B87" w:rsidP="00D66B87">
      <w:pPr>
        <w:rPr>
          <w:rFonts w:eastAsia="MS Mincho"/>
          <w:b/>
          <w:bCs/>
          <w:lang w:val="en-GB"/>
        </w:rPr>
      </w:pPr>
      <w:r w:rsidRPr="00D66B87">
        <w:rPr>
          <w:rFonts w:eastAsia="MS Mincho"/>
          <w:b/>
          <w:bCs/>
          <w:lang w:val="en-GB"/>
        </w:rPr>
        <w:t xml:space="preserve">Observation </w:t>
      </w:r>
      <w:r w:rsidR="00784917" w:rsidRPr="00D66B87">
        <w:rPr>
          <w:rFonts w:eastAsia="MS Mincho"/>
          <w:b/>
          <w:bCs/>
          <w:lang w:val="en-GB"/>
        </w:rPr>
        <w:t>3:</w:t>
      </w:r>
      <w:r w:rsidRPr="00D66B87">
        <w:rPr>
          <w:rFonts w:eastAsia="MS Mincho"/>
          <w:b/>
          <w:bCs/>
          <w:lang w:val="en-GB"/>
        </w:rPr>
        <w:t xml:space="preserve"> There should not be any variation expected in performance between NR-DC and NR-CA</w:t>
      </w:r>
      <w:r>
        <w:rPr>
          <w:rFonts w:eastAsia="MS Mincho"/>
          <w:b/>
          <w:bCs/>
          <w:lang w:val="en-GB"/>
        </w:rPr>
        <w:t xml:space="preserve"> for equivalent combos/configurations involving the same component carriers/bands</w:t>
      </w:r>
      <w:r w:rsidRPr="00D66B87">
        <w:rPr>
          <w:rFonts w:eastAsia="MS Mincho"/>
          <w:b/>
          <w:bCs/>
          <w:lang w:val="en-GB"/>
        </w:rPr>
        <w:t xml:space="preserve"> since all that changes is the way the component carriers are </w:t>
      </w:r>
      <w:r w:rsidR="00784917" w:rsidRPr="00D66B87">
        <w:rPr>
          <w:rFonts w:eastAsia="MS Mincho"/>
          <w:b/>
          <w:bCs/>
          <w:lang w:val="en-GB"/>
        </w:rPr>
        <w:t>aggregated;</w:t>
      </w:r>
      <w:r w:rsidRPr="00D66B87">
        <w:rPr>
          <w:rFonts w:eastAsia="MS Mincho"/>
          <w:b/>
          <w:bCs/>
          <w:lang w:val="en-GB"/>
        </w:rPr>
        <w:t xml:space="preserve"> at MAC layer in case of NR-CA versus PDCP in case of NR-DC</w:t>
      </w:r>
    </w:p>
    <w:p w14:paraId="4839944D" w14:textId="77777777" w:rsidR="00D66B87" w:rsidRPr="00D66B87" w:rsidRDefault="00D66B87" w:rsidP="00D66B87">
      <w:pPr>
        <w:rPr>
          <w:rFonts w:eastAsia="MS Mincho"/>
          <w:b/>
          <w:bCs/>
          <w:lang w:val="en-GB"/>
        </w:rPr>
      </w:pPr>
    </w:p>
    <w:p w14:paraId="39A30E9D" w14:textId="68CE1D04" w:rsidR="00212585" w:rsidRPr="004D06E1" w:rsidRDefault="00212585" w:rsidP="00212585">
      <w:pPr>
        <w:rPr>
          <w:rFonts w:eastAsia="MS Mincho"/>
          <w:lang w:val="en-GB"/>
        </w:rPr>
      </w:pPr>
      <w:r w:rsidRPr="004D06E1">
        <w:rPr>
          <w:rFonts w:eastAsia="MS Mincho"/>
          <w:b/>
          <w:bCs/>
          <w:lang w:val="en-GB"/>
        </w:rPr>
        <w:t xml:space="preserve">Proposal 1: Introduce a test leverage statement in TS 38.521-1 common clause that, unless there are exception requirements defined: </w:t>
      </w:r>
      <w:r w:rsidRPr="004D06E1">
        <w:rPr>
          <w:rFonts w:eastAsia="MS Mincho"/>
          <w:b/>
          <w:bCs/>
        </w:rPr>
        <w:t xml:space="preserve">if a DUT is tested on an FR1 NR-CA configuration, the DUT need not be re-tested for the FR1 NR-DC configuration involving the same </w:t>
      </w:r>
      <w:r w:rsidR="00784917">
        <w:rPr>
          <w:rFonts w:eastAsia="MS Mincho"/>
          <w:b/>
          <w:bCs/>
        </w:rPr>
        <w:t>bands within the component carriers/carrier groups (CGs)</w:t>
      </w:r>
      <w:r w:rsidRPr="004D06E1">
        <w:rPr>
          <w:rFonts w:eastAsia="MS Mincho"/>
        </w:rPr>
        <w:t>.</w:t>
      </w:r>
    </w:p>
    <w:p w14:paraId="0F005753" w14:textId="77777777" w:rsidR="00810BB9" w:rsidRPr="00DB7627" w:rsidRDefault="00810BB9" w:rsidP="00810BB9">
      <w:pPr>
        <w:rPr>
          <w:rFonts w:eastAsia="MS Mincho"/>
          <w:b/>
          <w:bCs/>
          <w:lang w:val="en-GB"/>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09ED9131" w:rsidR="001F0FB3" w:rsidRPr="00A400E1" w:rsidRDefault="001F0FB3" w:rsidP="001F0FB3">
      <w:pPr>
        <w:pStyle w:val="EX"/>
        <w:rPr>
          <w:rFonts w:ascii="Arial" w:eastAsia="Calibri" w:hAnsi="Arial" w:cs="Arial"/>
          <w:lang w:val="en-US"/>
        </w:rPr>
      </w:pPr>
      <w:r>
        <w:rPr>
          <w:rFonts w:ascii="Arial" w:eastAsia="Calibri" w:hAnsi="Arial" w:cs="Arial"/>
        </w:rPr>
        <w:t>TS 38.521-</w:t>
      </w:r>
      <w:r w:rsidR="006979E6">
        <w:rPr>
          <w:rFonts w:ascii="Arial" w:eastAsia="Calibri" w:hAnsi="Arial" w:cs="Arial"/>
        </w:rPr>
        <w:t>1</w:t>
      </w:r>
      <w:r w:rsidR="00CB5682">
        <w:rPr>
          <w:rFonts w:ascii="Arial" w:eastAsia="Calibri" w:hAnsi="Arial" w:cs="Arial"/>
        </w:rPr>
        <w:t>, FR</w:t>
      </w:r>
      <w:r w:rsidR="006979E6">
        <w:rPr>
          <w:rFonts w:ascii="Arial" w:eastAsia="Calibri" w:hAnsi="Arial" w:cs="Arial"/>
        </w:rPr>
        <w:t>1</w:t>
      </w:r>
      <w:r>
        <w:rPr>
          <w:rFonts w:ascii="Arial" w:eastAsia="Calibri" w:hAnsi="Arial" w:cs="Arial"/>
        </w:rPr>
        <w:t xml:space="preserve"> RF Test Specification</w:t>
      </w:r>
    </w:p>
    <w:p w14:paraId="6155D263" w14:textId="355E84C9" w:rsidR="00A400E1" w:rsidRPr="00E57D9E" w:rsidRDefault="00A400E1" w:rsidP="001F0FB3">
      <w:pPr>
        <w:pStyle w:val="EX"/>
        <w:rPr>
          <w:rFonts w:ascii="Arial" w:eastAsia="Calibri" w:hAnsi="Arial" w:cs="Arial"/>
          <w:lang w:val="en-US"/>
        </w:rPr>
      </w:pPr>
      <w:r>
        <w:rPr>
          <w:rFonts w:ascii="Arial" w:eastAsia="Calibri" w:hAnsi="Arial" w:cs="Arial"/>
        </w:rPr>
        <w:t>R</w:t>
      </w:r>
      <w:r w:rsidR="004D06E1">
        <w:rPr>
          <w:rFonts w:ascii="Arial" w:eastAsia="Calibri" w:hAnsi="Arial" w:cs="Arial"/>
        </w:rPr>
        <w:t>5</w:t>
      </w:r>
      <w:r>
        <w:rPr>
          <w:rFonts w:ascii="Arial" w:eastAsia="Calibri" w:hAnsi="Arial" w:cs="Arial"/>
        </w:rPr>
        <w:t>-</w:t>
      </w:r>
      <w:r w:rsidR="004D06E1">
        <w:rPr>
          <w:rFonts w:ascii="Arial" w:eastAsia="Calibri" w:hAnsi="Arial" w:cs="Arial"/>
        </w:rPr>
        <w:t xml:space="preserve">223262, Work Plan for </w:t>
      </w:r>
      <w:r w:rsidR="004D06E1" w:rsidRPr="004D06E1">
        <w:rPr>
          <w:rFonts w:ascii="Arial" w:eastAsia="Calibri" w:hAnsi="Arial" w:cs="Arial"/>
        </w:rPr>
        <w:t xml:space="preserve">WP LTE-NR &amp; NR-NR Dual Connectivity and NR CA </w:t>
      </w:r>
      <w:proofErr w:type="gramStart"/>
      <w:r w:rsidR="004D06E1" w:rsidRPr="004D06E1">
        <w:rPr>
          <w:rFonts w:ascii="Arial" w:eastAsia="Calibri" w:hAnsi="Arial" w:cs="Arial"/>
        </w:rPr>
        <w:t xml:space="preserve">enhancements </w:t>
      </w:r>
      <w:r w:rsidR="004D06E1">
        <w:rPr>
          <w:rFonts w:ascii="Arial" w:eastAsia="Calibri" w:hAnsi="Arial" w:cs="Arial"/>
        </w:rPr>
        <w:t>,</w:t>
      </w:r>
      <w:proofErr w:type="gramEnd"/>
      <w:r w:rsidR="004D06E1">
        <w:rPr>
          <w:rFonts w:ascii="Arial" w:eastAsia="Calibri" w:hAnsi="Arial" w:cs="Arial"/>
        </w:rPr>
        <w:t xml:space="preserve"> Nokia, 3GPP RAN#95e, 9</w:t>
      </w:r>
      <w:r w:rsidR="004D06E1" w:rsidRPr="004D06E1">
        <w:rPr>
          <w:rFonts w:ascii="Arial" w:eastAsia="Calibri" w:hAnsi="Arial" w:cs="Arial"/>
          <w:vertAlign w:val="superscript"/>
        </w:rPr>
        <w:t>th</w:t>
      </w:r>
      <w:r w:rsidR="004D06E1">
        <w:rPr>
          <w:rFonts w:ascii="Arial" w:eastAsia="Calibri" w:hAnsi="Arial" w:cs="Arial"/>
        </w:rPr>
        <w:t xml:space="preserve"> May-22</w:t>
      </w:r>
      <w:r w:rsidR="004D06E1" w:rsidRPr="004D06E1">
        <w:rPr>
          <w:rFonts w:ascii="Arial" w:eastAsia="Calibri" w:hAnsi="Arial" w:cs="Arial"/>
          <w:vertAlign w:val="superscript"/>
        </w:rPr>
        <w:t>nd</w:t>
      </w:r>
      <w:r w:rsidR="004D06E1">
        <w:rPr>
          <w:rFonts w:ascii="Arial" w:eastAsia="Calibri" w:hAnsi="Arial" w:cs="Arial"/>
        </w:rPr>
        <w:t xml:space="preserve"> May 2022.</w:t>
      </w:r>
    </w:p>
    <w:p w14:paraId="61EBD36D" w14:textId="17C592CA" w:rsidR="00985AC6" w:rsidRDefault="004D06E1" w:rsidP="00A12A70">
      <w:pPr>
        <w:pStyle w:val="EX"/>
        <w:numPr>
          <w:ilvl w:val="0"/>
          <w:numId w:val="0"/>
        </w:numPr>
        <w:ind w:left="369" w:hanging="369"/>
        <w:rPr>
          <w:rFonts w:ascii="Arial" w:eastAsia="Calibri" w:hAnsi="Arial" w:cs="Arial"/>
          <w:lang w:val="en-US"/>
        </w:rPr>
      </w:pPr>
      <w:r>
        <w:rPr>
          <w:rFonts w:ascii="Arial" w:eastAsia="Calibri" w:hAnsi="Arial" w:cs="Arial"/>
          <w:lang w:val="en-US"/>
        </w:rPr>
        <w:t>[3]</w:t>
      </w:r>
      <w:r>
        <w:rPr>
          <w:rFonts w:ascii="Arial" w:eastAsia="Calibri" w:hAnsi="Arial" w:cs="Arial"/>
          <w:lang w:val="en-US"/>
        </w:rPr>
        <w:tab/>
        <w:t xml:space="preserve">Diagram reference: </w:t>
      </w:r>
      <w:hyperlink r:id="rId13" w:history="1">
        <w:r w:rsidRPr="00897BD3">
          <w:rPr>
            <w:rStyle w:val="Hyperlink"/>
            <w:rFonts w:ascii="Arial" w:eastAsia="Calibri" w:hAnsi="Arial" w:cs="Arial"/>
            <w:lang w:val="en-US"/>
          </w:rPr>
          <w:t>https://www.grandmetric.com/wp-content/uploads/2020/05/CA-vs-DC.png</w:t>
        </w:r>
      </w:hyperlink>
    </w:p>
    <w:p w14:paraId="464F9459" w14:textId="77777777" w:rsidR="004D06E1" w:rsidRDefault="004D06E1"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D20312">
          <w:headerReference w:type="default" r:id="rId14"/>
          <w:footerReference w:type="default" r:id="rId15"/>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7D8E9" w14:textId="77777777" w:rsidR="0034614E" w:rsidRDefault="0034614E">
      <w:r>
        <w:separator/>
      </w:r>
    </w:p>
  </w:endnote>
  <w:endnote w:type="continuationSeparator" w:id="0">
    <w:p w14:paraId="4EA171C6" w14:textId="77777777" w:rsidR="0034614E" w:rsidRDefault="0034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3FA1E" w14:textId="77777777" w:rsidR="0034614E" w:rsidRDefault="0034614E">
      <w:r>
        <w:separator/>
      </w:r>
    </w:p>
  </w:footnote>
  <w:footnote w:type="continuationSeparator" w:id="0">
    <w:p w14:paraId="5F64BC5F" w14:textId="77777777" w:rsidR="0034614E" w:rsidRDefault="0034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7"/>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4"/>
  </w:num>
  <w:num w:numId="10" w16cid:durableId="401952006">
    <w:abstractNumId w:val="14"/>
  </w:num>
  <w:num w:numId="11" w16cid:durableId="1611163366">
    <w:abstractNumId w:val="20"/>
  </w:num>
  <w:num w:numId="12" w16cid:durableId="1028337022">
    <w:abstractNumId w:val="21"/>
  </w:num>
  <w:num w:numId="13" w16cid:durableId="912664678">
    <w:abstractNumId w:val="25"/>
  </w:num>
  <w:num w:numId="14" w16cid:durableId="1469199730">
    <w:abstractNumId w:val="11"/>
  </w:num>
  <w:num w:numId="15" w16cid:durableId="802651799">
    <w:abstractNumId w:val="8"/>
  </w:num>
  <w:num w:numId="16" w16cid:durableId="906573600">
    <w:abstractNumId w:val="28"/>
  </w:num>
  <w:num w:numId="17" w16cid:durableId="1085766418">
    <w:abstractNumId w:val="13"/>
  </w:num>
  <w:num w:numId="18" w16cid:durableId="449666617">
    <w:abstractNumId w:val="18"/>
  </w:num>
  <w:num w:numId="19" w16cid:durableId="451748405">
    <w:abstractNumId w:val="26"/>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9"/>
  </w:num>
  <w:num w:numId="26" w16cid:durableId="2059938780">
    <w:abstractNumId w:val="16"/>
  </w:num>
  <w:num w:numId="27" w16cid:durableId="1075667446">
    <w:abstractNumId w:val="17"/>
  </w:num>
  <w:num w:numId="28" w16cid:durableId="1671904141">
    <w:abstractNumId w:val="23"/>
  </w:num>
  <w:num w:numId="29" w16cid:durableId="1307975204">
    <w:abstractNumId w:val="2"/>
  </w:num>
  <w:num w:numId="30" w16cid:durableId="115106009">
    <w:abstractNumId w:val="6"/>
  </w:num>
  <w:num w:numId="31" w16cid:durableId="1910533278">
    <w:abstractNumId w:val="19"/>
  </w:num>
  <w:num w:numId="32" w16cid:durableId="700669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7745E"/>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12585"/>
    <w:rsid w:val="00232BCD"/>
    <w:rsid w:val="002347A2"/>
    <w:rsid w:val="00234829"/>
    <w:rsid w:val="0024331B"/>
    <w:rsid w:val="002434EC"/>
    <w:rsid w:val="00247926"/>
    <w:rsid w:val="002534CE"/>
    <w:rsid w:val="00257499"/>
    <w:rsid w:val="0026070C"/>
    <w:rsid w:val="002675F0"/>
    <w:rsid w:val="00276EE4"/>
    <w:rsid w:val="0028318B"/>
    <w:rsid w:val="002842E8"/>
    <w:rsid w:val="00290F83"/>
    <w:rsid w:val="00291348"/>
    <w:rsid w:val="002969F6"/>
    <w:rsid w:val="00297B1B"/>
    <w:rsid w:val="002A0AFF"/>
    <w:rsid w:val="002A4FD7"/>
    <w:rsid w:val="002B6339"/>
    <w:rsid w:val="002C150F"/>
    <w:rsid w:val="002D75B0"/>
    <w:rsid w:val="002E00EE"/>
    <w:rsid w:val="00314613"/>
    <w:rsid w:val="003172DC"/>
    <w:rsid w:val="003226C1"/>
    <w:rsid w:val="00322BC6"/>
    <w:rsid w:val="00323440"/>
    <w:rsid w:val="00325F2B"/>
    <w:rsid w:val="0033716D"/>
    <w:rsid w:val="0034614E"/>
    <w:rsid w:val="00350E4F"/>
    <w:rsid w:val="0035462D"/>
    <w:rsid w:val="003607D9"/>
    <w:rsid w:val="00360FE4"/>
    <w:rsid w:val="00363271"/>
    <w:rsid w:val="00375BF5"/>
    <w:rsid w:val="003765B8"/>
    <w:rsid w:val="00380C53"/>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06E1"/>
    <w:rsid w:val="004D3578"/>
    <w:rsid w:val="004E091C"/>
    <w:rsid w:val="004E213A"/>
    <w:rsid w:val="004E7298"/>
    <w:rsid w:val="004F0988"/>
    <w:rsid w:val="004F0AA7"/>
    <w:rsid w:val="004F3340"/>
    <w:rsid w:val="004F3E3D"/>
    <w:rsid w:val="00511017"/>
    <w:rsid w:val="00513D7C"/>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979E6"/>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84917"/>
    <w:rsid w:val="0078571D"/>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10E9B"/>
    <w:rsid w:val="00820B25"/>
    <w:rsid w:val="0082214F"/>
    <w:rsid w:val="00822E27"/>
    <w:rsid w:val="00830747"/>
    <w:rsid w:val="00847A61"/>
    <w:rsid w:val="00851E7A"/>
    <w:rsid w:val="008731F8"/>
    <w:rsid w:val="008768CA"/>
    <w:rsid w:val="00876A44"/>
    <w:rsid w:val="00886330"/>
    <w:rsid w:val="008942B3"/>
    <w:rsid w:val="00896D88"/>
    <w:rsid w:val="008A0AC5"/>
    <w:rsid w:val="008A3891"/>
    <w:rsid w:val="008A5340"/>
    <w:rsid w:val="008B4E0E"/>
    <w:rsid w:val="008C384C"/>
    <w:rsid w:val="008D67A1"/>
    <w:rsid w:val="008E7986"/>
    <w:rsid w:val="008F5F3A"/>
    <w:rsid w:val="0090167F"/>
    <w:rsid w:val="0090271F"/>
    <w:rsid w:val="00902E23"/>
    <w:rsid w:val="0090475B"/>
    <w:rsid w:val="009114D7"/>
    <w:rsid w:val="0091348E"/>
    <w:rsid w:val="00917399"/>
    <w:rsid w:val="00917CCB"/>
    <w:rsid w:val="00920C57"/>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E7E87"/>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6B87"/>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91FF3"/>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51064460">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0525822">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14271866">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8384843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284185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randmetric.com/wp-content/uploads/2020/05/CA-vs-DC.pn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157</TotalTime>
  <Pages>7</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17</cp:revision>
  <cp:lastPrinted>2019-02-25T23:05:00Z</cp:lastPrinted>
  <dcterms:created xsi:type="dcterms:W3CDTF">2022-07-31T23:20:00Z</dcterms:created>
  <dcterms:modified xsi:type="dcterms:W3CDTF">2022-08-15T13:16:00Z</dcterms:modified>
  <cp:category/>
</cp:coreProperties>
</file>